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29458B" w14:paraId="26E63876" w14:textId="77777777" w:rsidTr="009B0563">
        <w:trPr>
          <w:cantSplit/>
        </w:trPr>
        <w:tc>
          <w:tcPr>
            <w:tcW w:w="6613" w:type="dxa"/>
            <w:vAlign w:val="center"/>
          </w:tcPr>
          <w:p w14:paraId="257B5C2F" w14:textId="77777777" w:rsidR="009B0563" w:rsidRPr="0029458B" w:rsidRDefault="009B0563" w:rsidP="000237E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9458B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88C2EC0" w14:textId="77777777" w:rsidR="009B0563" w:rsidRPr="0029458B" w:rsidRDefault="00D87EC9" w:rsidP="000237E5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9458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 w:rsidRPr="0029458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04EA2DA8" w14:textId="77777777" w:rsidR="009B0563" w:rsidRPr="0029458B" w:rsidRDefault="009B0563" w:rsidP="000237E5">
            <w:pPr>
              <w:spacing w:before="0"/>
            </w:pPr>
            <w:r w:rsidRPr="0029458B">
              <w:rPr>
                <w:noProof/>
                <w:lang w:eastAsia="zh-CN"/>
              </w:rPr>
              <w:drawing>
                <wp:inline distT="0" distB="0" distL="0" distR="0" wp14:anchorId="55C3D33E" wp14:editId="548BCE4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29458B" w14:paraId="4593884D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10C3B5" w14:textId="77777777" w:rsidR="00F0220A" w:rsidRPr="0029458B" w:rsidRDefault="00F0220A" w:rsidP="000237E5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330E37A" w14:textId="77777777" w:rsidR="00F0220A" w:rsidRPr="0029458B" w:rsidRDefault="00F0220A" w:rsidP="000237E5">
            <w:pPr>
              <w:spacing w:before="0"/>
            </w:pPr>
          </w:p>
        </w:tc>
      </w:tr>
      <w:tr w:rsidR="005A374D" w:rsidRPr="0029458B" w14:paraId="446FC3C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7E0C8AA" w14:textId="77777777" w:rsidR="005A374D" w:rsidRPr="0029458B" w:rsidRDefault="005A374D" w:rsidP="000237E5">
            <w:pPr>
              <w:spacing w:before="0"/>
            </w:pPr>
          </w:p>
        </w:tc>
        <w:tc>
          <w:tcPr>
            <w:tcW w:w="3198" w:type="dxa"/>
          </w:tcPr>
          <w:p w14:paraId="157F01AB" w14:textId="77777777" w:rsidR="005A374D" w:rsidRPr="0029458B" w:rsidRDefault="005A374D" w:rsidP="000237E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85C12" w:rsidRPr="0029458B" w14:paraId="74BE6A7E" w14:textId="77777777" w:rsidTr="004B520A">
        <w:trPr>
          <w:cantSplit/>
        </w:trPr>
        <w:tc>
          <w:tcPr>
            <w:tcW w:w="6613" w:type="dxa"/>
          </w:tcPr>
          <w:p w14:paraId="0EB68E26" w14:textId="453A9519" w:rsidR="00685C12" w:rsidRPr="0029458B" w:rsidRDefault="00685C12" w:rsidP="000237E5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</w:p>
        </w:tc>
        <w:tc>
          <w:tcPr>
            <w:tcW w:w="3198" w:type="dxa"/>
          </w:tcPr>
          <w:p w14:paraId="0C780E04" w14:textId="4624A571" w:rsidR="00685C12" w:rsidRPr="0029458B" w:rsidRDefault="00685C12" w:rsidP="000237E5">
            <w:pPr>
              <w:pStyle w:val="DocNumber"/>
              <w:rPr>
                <w:bCs/>
                <w:lang w:val="es-ES_tradnl"/>
              </w:rPr>
            </w:pPr>
            <w:bookmarkStart w:id="0" w:name="lt_pId005"/>
            <w:r w:rsidRPr="0029458B">
              <w:rPr>
                <w:lang w:val="es-ES_tradnl"/>
              </w:rPr>
              <w:t>Document</w:t>
            </w:r>
            <w:r w:rsidR="00267215" w:rsidRPr="0029458B">
              <w:rPr>
                <w:lang w:val="es-ES_tradnl"/>
              </w:rPr>
              <w:t>o</w:t>
            </w:r>
            <w:r w:rsidRPr="0029458B">
              <w:rPr>
                <w:lang w:val="es-ES_tradnl"/>
              </w:rPr>
              <w:t xml:space="preserve"> 34-</w:t>
            </w:r>
            <w:bookmarkEnd w:id="0"/>
            <w:r w:rsidR="00267215" w:rsidRPr="0029458B">
              <w:rPr>
                <w:lang w:val="es-ES_tradnl"/>
              </w:rPr>
              <w:t>S</w:t>
            </w:r>
          </w:p>
        </w:tc>
      </w:tr>
      <w:tr w:rsidR="00685C12" w:rsidRPr="0029458B" w14:paraId="5A779E99" w14:textId="77777777" w:rsidTr="004B520A">
        <w:trPr>
          <w:cantSplit/>
        </w:trPr>
        <w:tc>
          <w:tcPr>
            <w:tcW w:w="6613" w:type="dxa"/>
          </w:tcPr>
          <w:p w14:paraId="48086912" w14:textId="7376AFBA" w:rsidR="00685C12" w:rsidRPr="0029458B" w:rsidRDefault="00685C12" w:rsidP="000237E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5B3B6C7" w14:textId="4FFBE0AA" w:rsidR="00685C12" w:rsidRPr="0029458B" w:rsidRDefault="00685C12" w:rsidP="000237E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9458B">
              <w:rPr>
                <w:rFonts w:ascii="Verdana" w:hAnsi="Verdana"/>
                <w:b/>
                <w:bCs/>
                <w:sz w:val="20"/>
                <w:szCs w:val="16"/>
              </w:rPr>
              <w:t xml:space="preserve">18 </w:t>
            </w:r>
            <w:bookmarkStart w:id="1" w:name="lt_pId007"/>
            <w:r w:rsidR="00267215" w:rsidRPr="0029458B">
              <w:rPr>
                <w:rFonts w:ascii="Verdana" w:hAnsi="Verdana"/>
                <w:b/>
                <w:bCs/>
                <w:sz w:val="20"/>
                <w:szCs w:val="16"/>
              </w:rPr>
              <w:t>de enero de</w:t>
            </w:r>
            <w:r w:rsidRPr="0029458B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  <w:bookmarkEnd w:id="1"/>
          </w:p>
        </w:tc>
      </w:tr>
      <w:tr w:rsidR="00685C12" w:rsidRPr="0029458B" w14:paraId="6642B874" w14:textId="77777777" w:rsidTr="004B520A">
        <w:trPr>
          <w:cantSplit/>
        </w:trPr>
        <w:tc>
          <w:tcPr>
            <w:tcW w:w="6613" w:type="dxa"/>
          </w:tcPr>
          <w:p w14:paraId="3A0C372A" w14:textId="77777777" w:rsidR="00685C12" w:rsidRPr="0029458B" w:rsidRDefault="00685C12" w:rsidP="000237E5">
            <w:pPr>
              <w:spacing w:before="0"/>
            </w:pPr>
          </w:p>
        </w:tc>
        <w:tc>
          <w:tcPr>
            <w:tcW w:w="3198" w:type="dxa"/>
          </w:tcPr>
          <w:p w14:paraId="01AD0919" w14:textId="0C69B3A6" w:rsidR="00685C12" w:rsidRPr="0029458B" w:rsidRDefault="00685C12" w:rsidP="000237E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2" w:name="lt_pId008"/>
            <w:r w:rsidRPr="0029458B">
              <w:rPr>
                <w:rFonts w:ascii="Verdana" w:hAnsi="Verdana"/>
                <w:b/>
                <w:bCs/>
                <w:sz w:val="20"/>
                <w:szCs w:val="16"/>
              </w:rPr>
              <w:t xml:space="preserve">Original: </w:t>
            </w:r>
            <w:bookmarkEnd w:id="2"/>
            <w:r w:rsidR="00267215" w:rsidRPr="0029458B">
              <w:rPr>
                <w:rFonts w:ascii="Verdana" w:hAnsi="Verdana"/>
                <w:b/>
                <w:bCs/>
                <w:sz w:val="20"/>
                <w:szCs w:val="16"/>
              </w:rPr>
              <w:t>inglés</w:t>
            </w:r>
          </w:p>
        </w:tc>
      </w:tr>
      <w:tr w:rsidR="00681766" w:rsidRPr="0029458B" w14:paraId="4BB94CD7" w14:textId="77777777" w:rsidTr="004B520A">
        <w:trPr>
          <w:cantSplit/>
        </w:trPr>
        <w:tc>
          <w:tcPr>
            <w:tcW w:w="9811" w:type="dxa"/>
            <w:gridSpan w:val="2"/>
          </w:tcPr>
          <w:p w14:paraId="28AB3913" w14:textId="77777777" w:rsidR="00681766" w:rsidRPr="0029458B" w:rsidRDefault="00681766" w:rsidP="000237E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9458B" w14:paraId="2401C84F" w14:textId="77777777" w:rsidTr="004B520A">
        <w:trPr>
          <w:cantSplit/>
        </w:trPr>
        <w:tc>
          <w:tcPr>
            <w:tcW w:w="9811" w:type="dxa"/>
            <w:gridSpan w:val="2"/>
          </w:tcPr>
          <w:p w14:paraId="1EC5C420" w14:textId="1E40DEEF" w:rsidR="00E83D45" w:rsidRPr="0029458B" w:rsidRDefault="00685C12" w:rsidP="000237E5">
            <w:pPr>
              <w:pStyle w:val="Source"/>
            </w:pPr>
            <w:bookmarkStart w:id="3" w:name="lt_pId009"/>
            <w:r w:rsidRPr="0029458B">
              <w:t>Director de la TSB</w:t>
            </w:r>
            <w:bookmarkEnd w:id="3"/>
          </w:p>
        </w:tc>
      </w:tr>
      <w:tr w:rsidR="00E83D45" w:rsidRPr="0029458B" w14:paraId="66A16D58" w14:textId="77777777" w:rsidTr="004B520A">
        <w:trPr>
          <w:cantSplit/>
        </w:trPr>
        <w:tc>
          <w:tcPr>
            <w:tcW w:w="9811" w:type="dxa"/>
            <w:gridSpan w:val="2"/>
          </w:tcPr>
          <w:p w14:paraId="736E3984" w14:textId="16E40E45" w:rsidR="00E83D45" w:rsidRPr="0029458B" w:rsidRDefault="00685C12" w:rsidP="005D450C">
            <w:pPr>
              <w:pStyle w:val="Title1"/>
            </w:pPr>
            <w:bookmarkStart w:id="4" w:name="lt_pId011"/>
            <w:r w:rsidRPr="0029458B">
              <w:t xml:space="preserve">PLAN DE ACCIÓN RELATIVO A LAS RESOLUCIONES </w:t>
            </w:r>
            <w:r w:rsidRPr="0029458B">
              <w:br/>
              <w:t xml:space="preserve">Y LA Opinión DE LA AMNT-16 </w:t>
            </w:r>
            <w:r w:rsidR="003B1C3A" w:rsidRPr="0029458B">
              <w:t xml:space="preserve">E </w:t>
            </w:r>
            <w:r w:rsidR="005D450C" w:rsidRPr="0029458B">
              <w:t xml:space="preserve">informes del director de </w:t>
            </w:r>
            <w:r w:rsidR="005D450C" w:rsidRPr="0029458B">
              <w:br/>
              <w:t xml:space="preserve">la TSB a </w:t>
            </w:r>
            <w:r w:rsidR="006C3BB2">
              <w:t>la</w:t>
            </w:r>
            <w:r w:rsidR="005D450C" w:rsidRPr="0029458B">
              <w:t xml:space="preserve"> AMNT-20 sobre las Resoluciones</w:t>
            </w:r>
            <w:r w:rsidRPr="0029458B">
              <w:t xml:space="preserve"> 40, 44, 55, 64, </w:t>
            </w:r>
            <w:r w:rsidR="005D450C" w:rsidRPr="0029458B">
              <w:br/>
            </w:r>
            <w:r w:rsidRPr="0029458B">
              <w:t>65, 68, 69, 72, 73</w:t>
            </w:r>
            <w:r w:rsidR="005D450C" w:rsidRPr="0029458B">
              <w:t xml:space="preserve"> y</w:t>
            </w:r>
            <w:r w:rsidRPr="0029458B">
              <w:t xml:space="preserve"> 89, </w:t>
            </w:r>
            <w:r w:rsidR="005D450C" w:rsidRPr="0029458B">
              <w:t xml:space="preserve">y la resolución </w:t>
            </w:r>
            <w:r w:rsidRPr="0029458B">
              <w:t>102</w:t>
            </w:r>
            <w:bookmarkEnd w:id="4"/>
            <w:r w:rsidR="005D450C" w:rsidRPr="0029458B">
              <w:t xml:space="preserve"> de la pp</w:t>
            </w:r>
          </w:p>
        </w:tc>
      </w:tr>
      <w:tr w:rsidR="00E83D45" w:rsidRPr="0029458B" w14:paraId="68D51259" w14:textId="77777777" w:rsidTr="004B520A">
        <w:trPr>
          <w:cantSplit/>
        </w:trPr>
        <w:tc>
          <w:tcPr>
            <w:tcW w:w="9811" w:type="dxa"/>
            <w:gridSpan w:val="2"/>
          </w:tcPr>
          <w:p w14:paraId="59ECB47D" w14:textId="3780501B" w:rsidR="00E83D45" w:rsidRPr="0029458B" w:rsidRDefault="00E83D45" w:rsidP="000237E5">
            <w:pPr>
              <w:pStyle w:val="Title2"/>
            </w:pPr>
          </w:p>
        </w:tc>
      </w:tr>
      <w:tr w:rsidR="00E83D45" w:rsidRPr="0029458B" w14:paraId="65F5117E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512DD299" w14:textId="77777777" w:rsidR="00E83D45" w:rsidRPr="0029458B" w:rsidRDefault="00E83D45" w:rsidP="000237E5">
            <w:pPr>
              <w:pStyle w:val="Agendaitem"/>
            </w:pPr>
          </w:p>
        </w:tc>
      </w:tr>
    </w:tbl>
    <w:p w14:paraId="05AD0DC8" w14:textId="77777777" w:rsidR="006B0F54" w:rsidRPr="0029458B" w:rsidRDefault="006B0F54" w:rsidP="000237E5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29458B" w14:paraId="018AD33E" w14:textId="77777777" w:rsidTr="00193AD1">
        <w:trPr>
          <w:cantSplit/>
        </w:trPr>
        <w:tc>
          <w:tcPr>
            <w:tcW w:w="1560" w:type="dxa"/>
          </w:tcPr>
          <w:p w14:paraId="5AF6608F" w14:textId="77777777" w:rsidR="006B0F54" w:rsidRPr="0029458B" w:rsidRDefault="006B0F54" w:rsidP="000237E5">
            <w:r w:rsidRPr="0029458B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37B8AC1B69E54225A7F8EE75B927742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  <w:gridSpan w:val="2"/>
              </w:tcPr>
              <w:p w14:paraId="38E342EA" w14:textId="585A3C90" w:rsidR="006B0F54" w:rsidRPr="0029458B" w:rsidRDefault="00B96471" w:rsidP="00B96471">
                <w:pPr>
                  <w:rPr>
                    <w:color w:val="000000" w:themeColor="text1"/>
                  </w:rPr>
                </w:pPr>
                <w:r w:rsidRPr="0029458B">
                  <w:rPr>
                    <w:color w:val="000000" w:themeColor="text1"/>
                  </w:rPr>
                  <w:t xml:space="preserve">El plan de acción de la AMNT-16 es una herramienta de supervisión y notificación para hacer un seguimiento de la aplicación de las Resoluciones y </w:t>
                </w:r>
                <w:r w:rsidR="00D151A9" w:rsidRPr="0029458B">
                  <w:rPr>
                    <w:color w:val="000000" w:themeColor="text1"/>
                  </w:rPr>
                  <w:t>Opiniones</w:t>
                </w:r>
                <w:r w:rsidRPr="0029458B">
                  <w:rPr>
                    <w:color w:val="000000" w:themeColor="text1"/>
                  </w:rPr>
                  <w:t xml:space="preserve"> de la AMNT. El presente documento contiene el plan de acción de la AMNT-16 y su aplicación y evaluación para el periodo de estudio 2017-2021. Este documento también incluye los informes del Director de la TSB a la AMNT-20 sobre las Resoluciones 40, 44, 55, 64, 65, 68, 69, 72, 73 y 89 y la Resolución 102 del PP.</w:t>
                </w:r>
              </w:p>
            </w:tc>
          </w:sdtContent>
        </w:sdt>
      </w:tr>
      <w:tr w:rsidR="0051705A" w:rsidRPr="0029458B" w14:paraId="107E8B5C" w14:textId="77777777" w:rsidTr="00B479EE">
        <w:trPr>
          <w:cantSplit/>
        </w:trPr>
        <w:tc>
          <w:tcPr>
            <w:tcW w:w="1560" w:type="dxa"/>
          </w:tcPr>
          <w:p w14:paraId="45D6A8E5" w14:textId="77777777" w:rsidR="0051705A" w:rsidRPr="0029458B" w:rsidRDefault="0051705A" w:rsidP="000237E5">
            <w:pPr>
              <w:rPr>
                <w:b/>
                <w:bCs/>
              </w:rPr>
            </w:pPr>
            <w:r w:rsidRPr="0029458B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571A3BF2" w14:textId="29A30C2D" w:rsidR="0051705A" w:rsidRPr="0029458B" w:rsidRDefault="00685C12" w:rsidP="000237E5">
            <w:bookmarkStart w:id="5" w:name="lt_pId014"/>
            <w:r w:rsidRPr="0029458B">
              <w:t>Sr. Martin Euchner</w:t>
            </w:r>
            <w:bookmarkEnd w:id="5"/>
            <w:r w:rsidRPr="0029458B">
              <w:br/>
            </w:r>
            <w:bookmarkStart w:id="6" w:name="lt_pId015"/>
            <w:r w:rsidRPr="0029458B">
              <w:t xml:space="preserve">TSB, </w:t>
            </w:r>
            <w:r w:rsidR="00B96471" w:rsidRPr="0029458B">
              <w:t>Director de Programas de la</w:t>
            </w:r>
            <w:r w:rsidR="006C3BB2">
              <w:t> </w:t>
            </w:r>
            <w:r w:rsidR="00B96471" w:rsidRPr="0029458B">
              <w:t>AMNT</w:t>
            </w:r>
            <w:bookmarkEnd w:id="6"/>
          </w:p>
        </w:tc>
        <w:tc>
          <w:tcPr>
            <w:tcW w:w="4126" w:type="dxa"/>
          </w:tcPr>
          <w:p w14:paraId="247AA7A8" w14:textId="2764F433" w:rsidR="0051705A" w:rsidRPr="0029458B" w:rsidRDefault="0051705A" w:rsidP="000237E5">
            <w:pPr>
              <w:tabs>
                <w:tab w:val="clear" w:pos="1134"/>
                <w:tab w:val="clear" w:pos="1871"/>
                <w:tab w:val="clear" w:pos="2268"/>
                <w:tab w:val="left" w:pos="1014"/>
              </w:tabs>
            </w:pPr>
            <w:r w:rsidRPr="0029458B">
              <w:t>Tel</w:t>
            </w:r>
            <w:r w:rsidR="00551A28" w:rsidRPr="0029458B">
              <w:t>.</w:t>
            </w:r>
            <w:r w:rsidRPr="0029458B">
              <w:t>:</w:t>
            </w:r>
            <w:r w:rsidR="007E5A28" w:rsidRPr="0029458B">
              <w:tab/>
            </w:r>
            <w:r w:rsidR="00685C12" w:rsidRPr="0029458B">
              <w:t>+41 79 592 4688</w:t>
            </w:r>
            <w:r w:rsidRPr="0029458B">
              <w:br/>
              <w:t>Correo</w:t>
            </w:r>
            <w:r w:rsidR="00551A28" w:rsidRPr="0029458B">
              <w:t>-e</w:t>
            </w:r>
            <w:r w:rsidRPr="0029458B">
              <w:t>:</w:t>
            </w:r>
            <w:r w:rsidR="007E5A28" w:rsidRPr="0029458B">
              <w:tab/>
            </w:r>
            <w:hyperlink r:id="rId9" w:history="1">
              <w:r w:rsidR="00685C12" w:rsidRPr="0029458B">
                <w:rPr>
                  <w:rStyle w:val="Hyperlink"/>
                </w:rPr>
                <w:t>martin.euchner@itu.int</w:t>
              </w:r>
            </w:hyperlink>
          </w:p>
        </w:tc>
      </w:tr>
    </w:tbl>
    <w:p w14:paraId="61B50C28" w14:textId="77777777" w:rsidR="0051705A" w:rsidRPr="0029458B" w:rsidRDefault="0051705A" w:rsidP="000237E5"/>
    <w:p w14:paraId="79A03C29" w14:textId="77777777" w:rsidR="00B07178" w:rsidRPr="0029458B" w:rsidRDefault="00B07178" w:rsidP="000237E5">
      <w:r w:rsidRPr="0029458B">
        <w:br w:type="page"/>
      </w:r>
    </w:p>
    <w:p w14:paraId="2CBDB660" w14:textId="19E8AA9D" w:rsidR="00685C12" w:rsidRPr="0029458B" w:rsidRDefault="00685C12" w:rsidP="000237E5">
      <w:pPr>
        <w:pStyle w:val="Heading1"/>
      </w:pPr>
      <w:bookmarkStart w:id="7" w:name="lt_pId019"/>
      <w:r w:rsidRPr="0029458B">
        <w:lastRenderedPageBreak/>
        <w:t>1</w:t>
      </w:r>
      <w:r w:rsidRPr="0029458B">
        <w:tab/>
      </w:r>
      <w:bookmarkEnd w:id="7"/>
      <w:r w:rsidR="00B96471" w:rsidRPr="0029458B">
        <w:t>Introducción</w:t>
      </w:r>
    </w:p>
    <w:p w14:paraId="050A5087" w14:textId="3D8E943A" w:rsidR="00685C12" w:rsidRPr="0029458B" w:rsidRDefault="00B96471" w:rsidP="000237E5">
      <w:bookmarkStart w:id="8" w:name="lt_pId020"/>
      <w:r w:rsidRPr="0029458B">
        <w:t xml:space="preserve">La </w:t>
      </w:r>
      <w:hyperlink r:id="rId10" w:history="1">
        <w:r w:rsidR="00685C12" w:rsidRPr="0029458B">
          <w:rPr>
            <w:rStyle w:val="Hyperlink"/>
            <w:szCs w:val="24"/>
          </w:rPr>
          <w:t>A</w:t>
        </w:r>
        <w:r w:rsidRPr="0029458B">
          <w:rPr>
            <w:rStyle w:val="Hyperlink"/>
            <w:szCs w:val="24"/>
          </w:rPr>
          <w:t>MNT</w:t>
        </w:r>
        <w:r w:rsidR="00685C12" w:rsidRPr="0029458B">
          <w:rPr>
            <w:rStyle w:val="Hyperlink"/>
            <w:szCs w:val="24"/>
          </w:rPr>
          <w:t>-16</w:t>
        </w:r>
      </w:hyperlink>
      <w:r w:rsidR="00685C12" w:rsidRPr="0029458B">
        <w:t xml:space="preserve"> (Hammamet, 25 </w:t>
      </w:r>
      <w:r w:rsidRPr="0029458B">
        <w:t xml:space="preserve">de octubre </w:t>
      </w:r>
      <w:r w:rsidR="00685C12" w:rsidRPr="0029458B">
        <w:t xml:space="preserve">– 3 </w:t>
      </w:r>
      <w:r w:rsidRPr="0029458B">
        <w:t xml:space="preserve">de noviembre </w:t>
      </w:r>
      <w:r w:rsidR="00685C12" w:rsidRPr="0029458B">
        <w:t xml:space="preserve">2016) </w:t>
      </w:r>
      <w:r w:rsidRPr="0029458B">
        <w:t xml:space="preserve">aprobó </w:t>
      </w:r>
      <w:r w:rsidR="00685C12" w:rsidRPr="0029458B">
        <w:t xml:space="preserve">61 </w:t>
      </w:r>
      <w:r w:rsidR="005B1C0B" w:rsidRPr="0029458B">
        <w:t>Resoluciones</w:t>
      </w:r>
      <w:r w:rsidRPr="0029458B">
        <w:t xml:space="preserve"> nuevas o revisada</w:t>
      </w:r>
      <w:r w:rsidR="006C3BB2">
        <w:t>s</w:t>
      </w:r>
      <w:r w:rsidR="00685C12" w:rsidRPr="0029458B">
        <w:t>.</w:t>
      </w:r>
      <w:bookmarkEnd w:id="8"/>
      <w:r w:rsidR="00685C12" w:rsidRPr="0029458B">
        <w:t xml:space="preserve"> </w:t>
      </w:r>
      <w:bookmarkStart w:id="9" w:name="lt_pId021"/>
      <w:r w:rsidR="005622EB" w:rsidRPr="0029458B">
        <w:t xml:space="preserve">Para hacer un seguimiento de la aplicación de tantas Resoluciones, la TSB siguió aplicando la práctica utilizada en el anterior </w:t>
      </w:r>
      <w:r w:rsidR="0029458B">
        <w:t>periodo</w:t>
      </w:r>
      <w:r w:rsidR="005622EB" w:rsidRPr="0029458B">
        <w:t xml:space="preserve"> de estudio 2013-2016 </w:t>
      </w:r>
      <w:r w:rsidR="00685C12" w:rsidRPr="0029458B">
        <w:t>(</w:t>
      </w:r>
      <w:r w:rsidR="005622EB" w:rsidRPr="0029458B">
        <w:t xml:space="preserve">véase </w:t>
      </w:r>
      <w:hyperlink r:id="rId11" w:history="1">
        <w:r w:rsidR="00685C12" w:rsidRPr="0029458B">
          <w:rPr>
            <w:rStyle w:val="Hyperlink"/>
            <w:szCs w:val="24"/>
          </w:rPr>
          <w:t>https://www.itu.int/en/ITU-T/wtsa16/Documents/WTSA-Action-Plan/WTSA-ActionPlan-201609.zip</w:t>
        </w:r>
      </w:hyperlink>
      <w:r w:rsidR="00685C12" w:rsidRPr="0029458B">
        <w:t xml:space="preserve">, </w:t>
      </w:r>
      <w:r w:rsidR="005622EB" w:rsidRPr="0029458B">
        <w:t xml:space="preserve">y </w:t>
      </w:r>
      <w:hyperlink r:id="rId12" w:history="1">
        <w:r w:rsidR="00685C12" w:rsidRPr="0029458B">
          <w:rPr>
            <w:rStyle w:val="Hyperlink"/>
            <w:szCs w:val="24"/>
          </w:rPr>
          <w:t>WTSA-16 Doc.35 - WTSA-12 Action Plan</w:t>
        </w:r>
      </w:hyperlink>
      <w:r w:rsidR="00685C12" w:rsidRPr="0029458B">
        <w:t xml:space="preserve">) </w:t>
      </w:r>
      <w:r w:rsidR="005622EB" w:rsidRPr="0029458B">
        <w:t>y preparó y mantuvo actualizado un nuevo plan de acción de la AMNT para la supervisión y notificación durante el periodo de estudios</w:t>
      </w:r>
      <w:r w:rsidR="006C3BB2">
        <w:t> </w:t>
      </w:r>
      <w:r w:rsidR="00685C12" w:rsidRPr="0029458B">
        <w:t>2017-2021.</w:t>
      </w:r>
      <w:bookmarkEnd w:id="9"/>
    </w:p>
    <w:p w14:paraId="77C001BD" w14:textId="52154E16" w:rsidR="00685C12" w:rsidRPr="0029458B" w:rsidRDefault="00685C12" w:rsidP="000237E5">
      <w:pPr>
        <w:pStyle w:val="Heading1"/>
      </w:pPr>
      <w:r w:rsidRPr="0029458B">
        <w:t>2</w:t>
      </w:r>
      <w:r w:rsidRPr="0029458B">
        <w:tab/>
      </w:r>
      <w:r w:rsidR="0023191D" w:rsidRPr="0029458B">
        <w:t>Resumen ejecutivo</w:t>
      </w:r>
    </w:p>
    <w:p w14:paraId="228EE6E0" w14:textId="6796A8FA" w:rsidR="0023191D" w:rsidRPr="0029458B" w:rsidRDefault="0023191D" w:rsidP="00764239">
      <w:r w:rsidRPr="0029458B">
        <w:t xml:space="preserve">El plan de acción para el periodo de estudio 2017-2021 detalla 375 </w:t>
      </w:r>
      <w:r w:rsidR="005B1C0B" w:rsidRPr="0029458B">
        <w:t>puntos para acción</w:t>
      </w:r>
      <w:r w:rsidRPr="0029458B">
        <w:t xml:space="preserve">, </w:t>
      </w:r>
      <w:r w:rsidR="000322A8" w:rsidRPr="0029458B">
        <w:t xml:space="preserve">con </w:t>
      </w:r>
      <w:r w:rsidRPr="0029458B">
        <w:t xml:space="preserve">sus </w:t>
      </w:r>
      <w:r w:rsidR="000322A8" w:rsidRPr="0029458B">
        <w:t xml:space="preserve">correspondientes </w:t>
      </w:r>
      <w:r w:rsidRPr="0029458B">
        <w:t>responsabilidades, las colaboraciones necesarias, los informes y el estado actual.</w:t>
      </w:r>
    </w:p>
    <w:p w14:paraId="1E8A5DAD" w14:textId="12E7FC29" w:rsidR="00685C12" w:rsidRPr="0029458B" w:rsidRDefault="0023191D" w:rsidP="00764239">
      <w:r w:rsidRPr="0029458B">
        <w:t>Este documento contiene dos anexos</w:t>
      </w:r>
      <w:r w:rsidR="00967481" w:rsidRPr="0029458B">
        <w:t>:</w:t>
      </w:r>
    </w:p>
    <w:p w14:paraId="3D3874CA" w14:textId="2B1B4D6A" w:rsidR="00685C12" w:rsidRPr="0029458B" w:rsidRDefault="00685C12" w:rsidP="00764239">
      <w:pPr>
        <w:pStyle w:val="enumlev1"/>
      </w:pPr>
      <w:bookmarkStart w:id="10" w:name="lt_pId026"/>
      <w:r w:rsidRPr="0029458B">
        <w:rPr>
          <w:rFonts w:eastAsia="Malgun Gothic"/>
        </w:rPr>
        <w:t>–</w:t>
      </w:r>
      <w:r w:rsidRPr="0029458B">
        <w:tab/>
      </w:r>
      <w:r w:rsidR="00967481" w:rsidRPr="0029458B">
        <w:t xml:space="preserve">un documento </w:t>
      </w:r>
      <w:r w:rsidRPr="0029458B">
        <w:t>WORD</w:t>
      </w:r>
      <w:r w:rsidR="00967481" w:rsidRPr="0029458B">
        <w:t xml:space="preserve"> que detalla los progresos de su aplicación</w:t>
      </w:r>
      <w:r w:rsidRPr="0029458B">
        <w:t>;</w:t>
      </w:r>
      <w:bookmarkEnd w:id="10"/>
    </w:p>
    <w:p w14:paraId="39E5330A" w14:textId="4A320ED4" w:rsidR="00685C12" w:rsidRPr="0029458B" w:rsidRDefault="00685C12" w:rsidP="00764239">
      <w:pPr>
        <w:pStyle w:val="enumlev1"/>
      </w:pPr>
      <w:bookmarkStart w:id="11" w:name="lt_pId027"/>
      <w:r w:rsidRPr="0029458B">
        <w:rPr>
          <w:rFonts w:eastAsia="Malgun Gothic"/>
        </w:rPr>
        <w:t>–</w:t>
      </w:r>
      <w:r w:rsidRPr="0029458B">
        <w:tab/>
      </w:r>
      <w:r w:rsidR="00967481" w:rsidRPr="0029458B">
        <w:t xml:space="preserve">y una hoja </w:t>
      </w:r>
      <w:r w:rsidRPr="0029458B">
        <w:t xml:space="preserve">EXCEL </w:t>
      </w:r>
      <w:r w:rsidR="00967481" w:rsidRPr="0029458B">
        <w:t xml:space="preserve">que ilustra </w:t>
      </w:r>
      <w:r w:rsidR="005B1C0B" w:rsidRPr="0029458B">
        <w:t xml:space="preserve">en qué situación se encuentra cada punto para acción </w:t>
      </w:r>
      <w:r w:rsidR="00967481" w:rsidRPr="0029458B">
        <w:t>y las estadísticas correspondientes</w:t>
      </w:r>
      <w:r w:rsidRPr="0029458B">
        <w:t>.</w:t>
      </w:r>
      <w:bookmarkEnd w:id="11"/>
    </w:p>
    <w:p w14:paraId="23968538" w14:textId="37526455" w:rsidR="00967481" w:rsidRPr="0029458B" w:rsidRDefault="00685C12" w:rsidP="000237E5">
      <w:pPr>
        <w:pStyle w:val="enumlev1"/>
        <w:rPr>
          <w:bCs/>
          <w:szCs w:val="24"/>
        </w:rPr>
      </w:pPr>
      <w:bookmarkStart w:id="12" w:name="lt_pId028"/>
      <w:r w:rsidRPr="0029458B">
        <w:tab/>
      </w:r>
      <w:r w:rsidRPr="0029458B">
        <w:rPr>
          <w:bCs/>
          <w:szCs w:val="24"/>
        </w:rPr>
        <w:t>Not</w:t>
      </w:r>
      <w:r w:rsidR="00967481" w:rsidRPr="0029458B">
        <w:rPr>
          <w:bCs/>
          <w:szCs w:val="24"/>
        </w:rPr>
        <w:t>a</w:t>
      </w:r>
      <w:r w:rsidRPr="0029458B">
        <w:rPr>
          <w:bCs/>
          <w:szCs w:val="24"/>
        </w:rPr>
        <w:t xml:space="preserve">: </w:t>
      </w:r>
      <w:r w:rsidR="00B66477" w:rsidRPr="0029458B">
        <w:rPr>
          <w:bCs/>
          <w:szCs w:val="24"/>
        </w:rPr>
        <w:t>Las</w:t>
      </w:r>
      <w:r w:rsidR="00967481" w:rsidRPr="0029458B">
        <w:rPr>
          <w:bCs/>
          <w:szCs w:val="24"/>
        </w:rPr>
        <w:t xml:space="preserve"> casilla</w:t>
      </w:r>
      <w:r w:rsidR="00B66477" w:rsidRPr="0029458B">
        <w:rPr>
          <w:bCs/>
          <w:szCs w:val="24"/>
        </w:rPr>
        <w:t>s</w:t>
      </w:r>
      <w:r w:rsidR="00967481" w:rsidRPr="0029458B">
        <w:rPr>
          <w:bCs/>
          <w:szCs w:val="24"/>
        </w:rPr>
        <w:t xml:space="preserve"> con un pequeño triángulo rojo en la esquina superior derecha </w:t>
      </w:r>
      <w:r w:rsidR="00B66477" w:rsidRPr="0029458B">
        <w:rPr>
          <w:bCs/>
          <w:szCs w:val="24"/>
        </w:rPr>
        <w:t>con</w:t>
      </w:r>
      <w:r w:rsidR="00967481" w:rsidRPr="0029458B">
        <w:rPr>
          <w:bCs/>
          <w:szCs w:val="24"/>
        </w:rPr>
        <w:t>tiene un comentario. Sitúe el cursor sobre la casilla para mostrar el comentario. El comentario de cada casilla "Acción solicitada" se corresponde con la parte dispositiva de la Resolución.</w:t>
      </w:r>
    </w:p>
    <w:p w14:paraId="4695113F" w14:textId="6C5171AE" w:rsidR="00685C12" w:rsidRPr="0029458B" w:rsidRDefault="00B66477" w:rsidP="000237E5">
      <w:bookmarkStart w:id="13" w:name="lt_pId031"/>
      <w:bookmarkEnd w:id="12"/>
      <w:r w:rsidRPr="0029458B">
        <w:t>El informe en formato</w:t>
      </w:r>
      <w:r w:rsidR="00685C12" w:rsidRPr="0029458B">
        <w:t xml:space="preserve"> WORD </w:t>
      </w:r>
      <w:r w:rsidRPr="0029458B">
        <w:t xml:space="preserve">se basa en el documento </w:t>
      </w:r>
      <w:hyperlink r:id="rId13" w:history="1">
        <w:r w:rsidR="00685C12" w:rsidRPr="0029458B">
          <w:rPr>
            <w:rStyle w:val="Hyperlink"/>
            <w:szCs w:val="24"/>
          </w:rPr>
          <w:t>WTSA-16 C 0035</w:t>
        </w:r>
      </w:hyperlink>
      <w:r w:rsidR="00685C12" w:rsidRPr="0029458B">
        <w:t xml:space="preserve"> </w:t>
      </w:r>
      <w:r w:rsidRPr="0029458B">
        <w:t xml:space="preserve">que es la última </w:t>
      </w:r>
      <w:r w:rsidR="00AD77B5" w:rsidRPr="0029458B">
        <w:t>versión</w:t>
      </w:r>
      <w:r w:rsidRPr="0029458B">
        <w:t xml:space="preserve"> del plan de acción para el periodo de estudios </w:t>
      </w:r>
      <w:r w:rsidR="00685C12" w:rsidRPr="0029458B">
        <w:t xml:space="preserve">2013-2016 </w:t>
      </w:r>
      <w:r w:rsidRPr="0029458B">
        <w:t>transmitido a la AMNT</w:t>
      </w:r>
      <w:r w:rsidR="00685C12" w:rsidRPr="0029458B">
        <w:t xml:space="preserve">-16, </w:t>
      </w:r>
      <w:r w:rsidRPr="0029458B">
        <w:t xml:space="preserve">y se ha actualizado para incluir </w:t>
      </w:r>
      <w:r w:rsidR="00AD77B5" w:rsidRPr="0029458B">
        <w:t>las novedades</w:t>
      </w:r>
      <w:r w:rsidRPr="0029458B">
        <w:t xml:space="preserve"> desde septiembre de </w:t>
      </w:r>
      <w:r w:rsidR="00685C12" w:rsidRPr="0029458B">
        <w:t>2016.</w:t>
      </w:r>
      <w:bookmarkEnd w:id="13"/>
    </w:p>
    <w:p w14:paraId="5FC367EA" w14:textId="40C1FB46" w:rsidR="00685C12" w:rsidRPr="0029458B" w:rsidRDefault="00AD77B5" w:rsidP="000237E5">
      <w:bookmarkStart w:id="14" w:name="lt_pId034"/>
      <w:r w:rsidRPr="0029458B">
        <w:t xml:space="preserve">La hoja EXCEL permite visualizar todos </w:t>
      </w:r>
      <w:r w:rsidR="005B1C0B" w:rsidRPr="0029458B">
        <w:t xml:space="preserve">los puntos para acción </w:t>
      </w:r>
      <w:r w:rsidRPr="0029458B">
        <w:t>en una sola hoja, u ordenarl</w:t>
      </w:r>
      <w:r w:rsidR="005B1C0B" w:rsidRPr="0029458B">
        <w:t>o</w:t>
      </w:r>
      <w:r w:rsidRPr="0029458B">
        <w:t>s por cualquiera de las columnas, por ejemplo, tod</w:t>
      </w:r>
      <w:r w:rsidR="005B1C0B" w:rsidRPr="0029458B">
        <w:t>o</w:t>
      </w:r>
      <w:r w:rsidRPr="0029458B">
        <w:t>s l</w:t>
      </w:r>
      <w:r w:rsidR="005B1C0B" w:rsidRPr="0029458B">
        <w:t>o</w:t>
      </w:r>
      <w:r w:rsidRPr="0029458B">
        <w:t>s que requieren una acción de la TSB, o tod</w:t>
      </w:r>
      <w:r w:rsidR="005B1C0B" w:rsidRPr="0029458B">
        <w:t>o</w:t>
      </w:r>
      <w:r w:rsidRPr="0029458B">
        <w:t>s l</w:t>
      </w:r>
      <w:r w:rsidR="005B1C0B" w:rsidRPr="0029458B">
        <w:t>o</w:t>
      </w:r>
      <w:r w:rsidRPr="0029458B">
        <w:t xml:space="preserve">s que requieren un informe al Consejo, etc. </w:t>
      </w:r>
      <w:r w:rsidR="005B1C0B" w:rsidRPr="0029458B">
        <w:t xml:space="preserve">Además, se </w:t>
      </w:r>
      <w:r w:rsidRPr="0029458B">
        <w:t>utiliza</w:t>
      </w:r>
      <w:r w:rsidR="005B1C0B" w:rsidRPr="0029458B">
        <w:t>n</w:t>
      </w:r>
      <w:r w:rsidRPr="0029458B">
        <w:t xml:space="preserve"> colores para </w:t>
      </w:r>
      <w:r w:rsidR="005B1C0B" w:rsidRPr="0029458B">
        <w:t xml:space="preserve">mostrar en qué </w:t>
      </w:r>
      <w:r w:rsidRPr="0029458B">
        <w:t xml:space="preserve">estado de finalización </w:t>
      </w:r>
      <w:r w:rsidR="005B1C0B" w:rsidRPr="0029458B">
        <w:t>se encuentran los puntos para acción</w:t>
      </w:r>
      <w:r w:rsidRPr="0029458B">
        <w:t xml:space="preserve">. La hoja EXCEL ilustra en cifras </w:t>
      </w:r>
      <w:r w:rsidR="005B1C0B" w:rsidRPr="0029458B">
        <w:t>el grado de ejecución de cada punto para acción</w:t>
      </w:r>
      <w:r w:rsidR="00685C12" w:rsidRPr="0029458B">
        <w:t>:</w:t>
      </w:r>
      <w:bookmarkEnd w:id="14"/>
    </w:p>
    <w:p w14:paraId="66766787" w14:textId="160AF2FC" w:rsidR="00685C12" w:rsidRPr="0029458B" w:rsidRDefault="00685C12" w:rsidP="000237E5">
      <w:pPr>
        <w:pStyle w:val="enumlev1"/>
      </w:pPr>
      <w:bookmarkStart w:id="15" w:name="lt_pId035"/>
      <w:r w:rsidRPr="0029458B">
        <w:rPr>
          <w:szCs w:val="24"/>
        </w:rPr>
        <w:t>•</w:t>
      </w:r>
      <w:r w:rsidRPr="0029458B">
        <w:rPr>
          <w:szCs w:val="24"/>
        </w:rPr>
        <w:tab/>
      </w:r>
      <w:r w:rsidR="00AD77B5" w:rsidRPr="0029458B">
        <w:t xml:space="preserve">En resumen, este plan de acción contiene 375 </w:t>
      </w:r>
      <w:r w:rsidR="005B1C0B" w:rsidRPr="0029458B">
        <w:t xml:space="preserve">puntos para acción </w:t>
      </w:r>
      <w:r w:rsidR="00AD77B5" w:rsidRPr="0029458B">
        <w:t>detallad</w:t>
      </w:r>
      <w:r w:rsidR="005B1C0B" w:rsidRPr="0029458B">
        <w:t>o</w:t>
      </w:r>
      <w:r w:rsidR="00AD77B5" w:rsidRPr="0029458B">
        <w:t xml:space="preserve">s </w:t>
      </w:r>
      <w:r w:rsidR="005B1C0B" w:rsidRPr="0029458B">
        <w:t xml:space="preserve">de </w:t>
      </w:r>
      <w:r w:rsidR="00AD77B5" w:rsidRPr="0029458B">
        <w:t>las 61 Resoluciones de la AMNT-16</w:t>
      </w:r>
      <w:r w:rsidRPr="0029458B">
        <w:t>.</w:t>
      </w:r>
      <w:bookmarkEnd w:id="15"/>
    </w:p>
    <w:p w14:paraId="676E98FB" w14:textId="3FB2F4AD" w:rsidR="00685C12" w:rsidRPr="0029458B" w:rsidRDefault="00685C12" w:rsidP="000237E5">
      <w:pPr>
        <w:pStyle w:val="enumlev1"/>
        <w:rPr>
          <w:szCs w:val="24"/>
        </w:rPr>
      </w:pPr>
      <w:bookmarkStart w:id="16" w:name="lt_pId036"/>
      <w:r w:rsidRPr="0029458B">
        <w:rPr>
          <w:szCs w:val="24"/>
        </w:rPr>
        <w:t>•</w:t>
      </w:r>
      <w:r w:rsidRPr="0029458B">
        <w:rPr>
          <w:szCs w:val="24"/>
        </w:rPr>
        <w:tab/>
      </w:r>
      <w:r w:rsidR="00AD77B5" w:rsidRPr="0029458B">
        <w:rPr>
          <w:szCs w:val="24"/>
        </w:rPr>
        <w:t xml:space="preserve">La TSB y el Director de la TSB son responsables de 215 </w:t>
      </w:r>
      <w:r w:rsidR="005B1C0B" w:rsidRPr="0029458B">
        <w:rPr>
          <w:szCs w:val="24"/>
        </w:rPr>
        <w:t>puntos para acción</w:t>
      </w:r>
      <w:r w:rsidR="00AD77B5" w:rsidRPr="0029458B">
        <w:rPr>
          <w:szCs w:val="24"/>
        </w:rPr>
        <w:t>, mientras que los miembros son responsables de 162</w:t>
      </w:r>
      <w:r w:rsidRPr="0029458B">
        <w:rPr>
          <w:szCs w:val="24"/>
        </w:rPr>
        <w:t>.</w:t>
      </w:r>
      <w:bookmarkEnd w:id="16"/>
    </w:p>
    <w:p w14:paraId="18EFC774" w14:textId="5079A2E0" w:rsidR="00685C12" w:rsidRPr="0029458B" w:rsidRDefault="00AD77B5" w:rsidP="000237E5">
      <w:bookmarkStart w:id="17" w:name="lt_pId038"/>
      <w:r w:rsidRPr="0029458B">
        <w:t>En diversos resuelve y encarga de las Resoluciones 40, 44, 55, 64, 65, 68, 69, 72, 73 y 89 de la AMNT, así como en la Resolución 102 del PP, se pide al Director de la TSB que presente un informe a la AMNT-20. Estos informes del Director de la TSB se encuentran en el plan de acción de la AMNT en los siguientes puntos de acción, véase el Cuadro 1 para una visión general</w:t>
      </w:r>
      <w:r w:rsidR="00685C12" w:rsidRPr="0029458B">
        <w:t>:</w:t>
      </w:r>
      <w:bookmarkEnd w:id="17"/>
    </w:p>
    <w:p w14:paraId="69A06968" w14:textId="77777777" w:rsidR="00AD77B5" w:rsidRPr="0029458B" w:rsidRDefault="00AD77B5" w:rsidP="000237E5"/>
    <w:p w14:paraId="41C360B1" w14:textId="4413239C" w:rsidR="00685C12" w:rsidRPr="0029458B" w:rsidRDefault="00967481" w:rsidP="000237E5">
      <w:pPr>
        <w:pStyle w:val="Tabletitle"/>
        <w:rPr>
          <w:sz w:val="24"/>
          <w:szCs w:val="24"/>
        </w:rPr>
      </w:pPr>
      <w:bookmarkStart w:id="18" w:name="lt_pId039"/>
      <w:r w:rsidRPr="0029458B">
        <w:rPr>
          <w:sz w:val="24"/>
          <w:szCs w:val="24"/>
        </w:rPr>
        <w:t>Cuadro</w:t>
      </w:r>
      <w:r w:rsidR="00685C12" w:rsidRPr="0029458B">
        <w:rPr>
          <w:sz w:val="24"/>
          <w:szCs w:val="24"/>
        </w:rPr>
        <w:t xml:space="preserve"> 1 – </w:t>
      </w:r>
      <w:r w:rsidR="00D151A9" w:rsidRPr="0029458B">
        <w:rPr>
          <w:sz w:val="24"/>
          <w:szCs w:val="24"/>
        </w:rPr>
        <w:t xml:space="preserve">Informe del Director de la TSB sobre las Resoluciones </w:t>
      </w:r>
      <w:bookmarkEnd w:id="18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409"/>
      </w:tblGrid>
      <w:tr w:rsidR="00685C12" w:rsidRPr="0029458B" w14:paraId="4FFFDF0A" w14:textId="77777777" w:rsidTr="00913DA9">
        <w:trPr>
          <w:trHeight w:val="149"/>
          <w:tblHeader/>
        </w:trPr>
        <w:tc>
          <w:tcPr>
            <w:tcW w:w="7225" w:type="dxa"/>
            <w:vAlign w:val="center"/>
          </w:tcPr>
          <w:p w14:paraId="7F613EF0" w14:textId="4AA808ED" w:rsidR="00685C12" w:rsidRPr="0029458B" w:rsidRDefault="00685C12" w:rsidP="000237E5">
            <w:pPr>
              <w:pStyle w:val="Tablehead"/>
              <w:rPr>
                <w:sz w:val="22"/>
                <w:szCs w:val="22"/>
                <w:lang w:eastAsia="zh-CN"/>
              </w:rPr>
            </w:pPr>
            <w:r w:rsidRPr="0029458B">
              <w:rPr>
                <w:sz w:val="22"/>
                <w:szCs w:val="22"/>
                <w:lang w:eastAsia="zh-CN"/>
              </w:rPr>
              <w:t>Resolución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78D2" w14:textId="05E217A9" w:rsidR="00685C12" w:rsidRPr="0029458B" w:rsidRDefault="005B1C0B" w:rsidP="000237E5">
            <w:pPr>
              <w:pStyle w:val="Tablehead"/>
              <w:rPr>
                <w:b w:val="0"/>
                <w:bCs/>
                <w:sz w:val="22"/>
                <w:szCs w:val="22"/>
                <w:lang w:eastAsia="zh-CN"/>
              </w:rPr>
            </w:pPr>
            <w:bookmarkStart w:id="19" w:name="lt_pId041"/>
            <w:r w:rsidRPr="0029458B">
              <w:rPr>
                <w:sz w:val="22"/>
                <w:szCs w:val="22"/>
                <w:lang w:eastAsia="zh-CN"/>
              </w:rPr>
              <w:t xml:space="preserve">Lugar en el informe del Director de la 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TSB </w:t>
            </w:r>
            <w:bookmarkEnd w:id="19"/>
          </w:p>
        </w:tc>
      </w:tr>
      <w:tr w:rsidR="00685C12" w:rsidRPr="0029458B" w14:paraId="7F193806" w14:textId="77777777" w:rsidTr="00913DA9">
        <w:trPr>
          <w:trHeight w:val="311"/>
        </w:trPr>
        <w:tc>
          <w:tcPr>
            <w:tcW w:w="7225" w:type="dxa"/>
          </w:tcPr>
          <w:p w14:paraId="288785F8" w14:textId="3CE1CE9D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0" w:name="lt_pId042"/>
            <w:r w:rsidRPr="0029458B">
              <w:rPr>
                <w:sz w:val="22"/>
                <w:szCs w:val="22"/>
                <w:lang w:eastAsia="zh-CN"/>
              </w:rPr>
              <w:t>Resolución 1 (Rev. Hammamet, 2016)</w:t>
            </w:r>
            <w:bookmarkEnd w:id="20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21" w:name="_Toc477787106"/>
            <w:r w:rsidRPr="0029458B">
              <w:rPr>
                <w:sz w:val="22"/>
                <w:szCs w:val="22"/>
                <w:lang w:eastAsia="zh-CN"/>
              </w:rPr>
              <w:t>Reglamento Interno del Sector de Normalización de las Telecomunicaciones de la UIT</w:t>
            </w:r>
            <w:bookmarkEnd w:id="21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383C" w14:textId="50CAEEF2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2" w:name="lt_pId044"/>
            <w:r w:rsidRPr="0029458B">
              <w:rPr>
                <w:sz w:val="22"/>
                <w:szCs w:val="22"/>
                <w:lang w:eastAsia="zh-CN"/>
              </w:rPr>
              <w:t>Véase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</w:t>
            </w:r>
            <w:hyperlink r:id="rId14" w:history="1">
              <w:r w:rsidR="00685C12" w:rsidRPr="0029458B">
                <w:rPr>
                  <w:rStyle w:val="Hyperlink"/>
                  <w:rFonts w:eastAsia="Wingdings" w:cstheme="minorHAnsi"/>
                  <w:sz w:val="22"/>
                  <w:szCs w:val="22"/>
                </w:rPr>
                <w:t>WTSA-C28</w:t>
              </w:r>
            </w:hyperlink>
            <w:bookmarkEnd w:id="22"/>
          </w:p>
        </w:tc>
      </w:tr>
      <w:tr w:rsidR="00685C12" w:rsidRPr="0029458B" w14:paraId="45E7E241" w14:textId="77777777" w:rsidTr="00913DA9">
        <w:trPr>
          <w:trHeight w:val="311"/>
        </w:trPr>
        <w:tc>
          <w:tcPr>
            <w:tcW w:w="7225" w:type="dxa"/>
          </w:tcPr>
          <w:p w14:paraId="0587437B" w14:textId="5FBA458A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3" w:name="lt_pId045"/>
            <w:r w:rsidRPr="0029458B">
              <w:rPr>
                <w:sz w:val="22"/>
                <w:szCs w:val="22"/>
                <w:lang w:eastAsia="zh-CN"/>
              </w:rPr>
              <w:t>Resolución 40 (Rev. Hammamet, 2016)</w:t>
            </w:r>
            <w:bookmarkEnd w:id="23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24" w:name="_Toc477787130"/>
            <w:r w:rsidRPr="0029458B">
              <w:rPr>
                <w:sz w:val="22"/>
                <w:szCs w:val="22"/>
                <w:lang w:eastAsia="zh-CN"/>
              </w:rPr>
              <w:t>Aspectos reglamentarios de la labor del Sector de Normalización de las Telecomunicaciones de la UIT</w:t>
            </w:r>
            <w:bookmarkEnd w:id="24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7E8E" w14:textId="1CF1FD36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5" w:name="lt_pId047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40-02</w:t>
            </w:r>
            <w:bookmarkEnd w:id="25"/>
          </w:p>
        </w:tc>
      </w:tr>
      <w:tr w:rsidR="00685C12" w:rsidRPr="0029458B" w14:paraId="57C74ABD" w14:textId="77777777" w:rsidTr="00913DA9">
        <w:tc>
          <w:tcPr>
            <w:tcW w:w="7225" w:type="dxa"/>
          </w:tcPr>
          <w:p w14:paraId="6BDFBB31" w14:textId="5E5C5E07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6" w:name="lt_pId048"/>
            <w:r w:rsidRPr="0029458B">
              <w:rPr>
                <w:sz w:val="22"/>
                <w:szCs w:val="22"/>
                <w:lang w:eastAsia="zh-CN"/>
              </w:rPr>
              <w:lastRenderedPageBreak/>
              <w:t>Resolución 44 (Rev. Hammamet, 2016)</w:t>
            </w:r>
            <w:bookmarkEnd w:id="26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27" w:name="_Toc477787134"/>
            <w:r w:rsidRPr="0029458B">
              <w:rPr>
                <w:sz w:val="22"/>
                <w:szCs w:val="22"/>
              </w:rPr>
              <w:t>Reducción de la brecha de normalización entre los países en desarrollo</w:t>
            </w:r>
            <w:r w:rsidRPr="0029458B">
              <w:rPr>
                <w:rStyle w:val="FootnoteReference"/>
                <w:sz w:val="22"/>
                <w:szCs w:val="22"/>
              </w:rPr>
              <w:footnoteReference w:customMarkFollows="1" w:id="1"/>
              <w:t>1</w:t>
            </w:r>
            <w:r w:rsidRPr="0029458B">
              <w:rPr>
                <w:sz w:val="22"/>
                <w:szCs w:val="22"/>
              </w:rPr>
              <w:t xml:space="preserve"> y desarrollados</w:t>
            </w:r>
            <w:bookmarkEnd w:id="27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3001" w14:textId="1D81C89C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8" w:name="lt_pId050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44-36</w:t>
            </w:r>
            <w:bookmarkEnd w:id="28"/>
          </w:p>
        </w:tc>
      </w:tr>
      <w:tr w:rsidR="00685C12" w:rsidRPr="0029458B" w14:paraId="58423372" w14:textId="77777777" w:rsidTr="00913DA9">
        <w:tc>
          <w:tcPr>
            <w:tcW w:w="7225" w:type="dxa"/>
          </w:tcPr>
          <w:p w14:paraId="138B0D3B" w14:textId="5351C37F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29" w:name="lt_pId051"/>
            <w:r w:rsidRPr="0029458B">
              <w:rPr>
                <w:sz w:val="22"/>
                <w:szCs w:val="22"/>
                <w:lang w:eastAsia="zh-CN"/>
              </w:rPr>
              <w:t>Resolución 55 (Rev. Hammamet, 2016)</w:t>
            </w:r>
            <w:bookmarkEnd w:id="29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30" w:name="_Toc477787150"/>
            <w:r w:rsidRPr="0029458B">
              <w:rPr>
                <w:sz w:val="22"/>
                <w:szCs w:val="22"/>
                <w:lang w:eastAsia="zh-CN"/>
              </w:rPr>
              <w:t>Promoción de la igualdad de género en las actividades del Sector de Normalización de las Telecomunicaciones de la UIT</w:t>
            </w:r>
            <w:bookmarkEnd w:id="30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43D5" w14:textId="002A49E4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31" w:name="lt_pId053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55-05</w:t>
            </w:r>
            <w:bookmarkEnd w:id="31"/>
          </w:p>
        </w:tc>
      </w:tr>
      <w:tr w:rsidR="00685C12" w:rsidRPr="0029458B" w14:paraId="1614A7A1" w14:textId="77777777" w:rsidTr="00913DA9">
        <w:tc>
          <w:tcPr>
            <w:tcW w:w="7225" w:type="dxa"/>
          </w:tcPr>
          <w:p w14:paraId="7EBC79EC" w14:textId="0B56172C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32" w:name="lt_pId054"/>
            <w:r w:rsidRPr="0029458B">
              <w:rPr>
                <w:sz w:val="22"/>
                <w:szCs w:val="22"/>
                <w:lang w:eastAsia="zh-CN"/>
              </w:rPr>
              <w:t>Resolución 64 (Rev. Hammamet, 2016)</w:t>
            </w:r>
            <w:bookmarkEnd w:id="32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33" w:name="_Toc477787162"/>
            <w:r w:rsidRPr="0029458B">
              <w:rPr>
                <w:sz w:val="22"/>
                <w:szCs w:val="22"/>
                <w:lang w:eastAsia="zh-CN"/>
              </w:rPr>
              <w:t>Asignación de direcciones IP y medidas encaminadas a facilitar la transición a IPv6 y su implantación</w:t>
            </w:r>
            <w:bookmarkEnd w:id="33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46F3" w14:textId="07A3F696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34" w:name="lt_pId056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64-09</w:t>
            </w:r>
            <w:bookmarkEnd w:id="34"/>
          </w:p>
        </w:tc>
      </w:tr>
      <w:tr w:rsidR="00685C12" w:rsidRPr="0029458B" w14:paraId="58BA49CC" w14:textId="77777777" w:rsidTr="00913DA9">
        <w:tc>
          <w:tcPr>
            <w:tcW w:w="7225" w:type="dxa"/>
          </w:tcPr>
          <w:p w14:paraId="316F8CAD" w14:textId="20785D23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35" w:name="lt_pId057"/>
            <w:r w:rsidRPr="0029458B">
              <w:rPr>
                <w:sz w:val="22"/>
                <w:szCs w:val="22"/>
                <w:lang w:eastAsia="zh-CN"/>
              </w:rPr>
              <w:t>Resolución 65 (Rev. Hammamet, 2016)</w:t>
            </w:r>
            <w:bookmarkEnd w:id="35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36" w:name="_Toc477787164"/>
            <w:r w:rsidRPr="0029458B">
              <w:rPr>
                <w:sz w:val="22"/>
                <w:szCs w:val="22"/>
                <w:lang w:eastAsia="zh-CN"/>
              </w:rPr>
              <w:t>Comunicación del número de la parte llamante, identificación de la línea llamante e información sobre la identificación del origen</w:t>
            </w:r>
            <w:bookmarkEnd w:id="36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A3BD" w14:textId="7E800ACC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37" w:name="lt_pId059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65-03</w:t>
            </w:r>
            <w:bookmarkEnd w:id="37"/>
          </w:p>
        </w:tc>
      </w:tr>
      <w:tr w:rsidR="00685C12" w:rsidRPr="0029458B" w14:paraId="46CDB7B3" w14:textId="77777777" w:rsidTr="00913DA9">
        <w:tc>
          <w:tcPr>
            <w:tcW w:w="7225" w:type="dxa"/>
          </w:tcPr>
          <w:p w14:paraId="7DAE0387" w14:textId="5FA8CC3F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38" w:name="lt_pId060"/>
            <w:r w:rsidRPr="0029458B">
              <w:rPr>
                <w:sz w:val="22"/>
                <w:szCs w:val="22"/>
                <w:lang w:eastAsia="zh-CN"/>
              </w:rPr>
              <w:t>Resolución 68 (Rev. Hammamet, 2016)</w:t>
            </w:r>
            <w:bookmarkEnd w:id="38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39" w:name="_Toc477787170"/>
            <w:r w:rsidRPr="0029458B">
              <w:rPr>
                <w:sz w:val="22"/>
                <w:szCs w:val="22"/>
                <w:lang w:eastAsia="zh-CN"/>
              </w:rPr>
              <w:t>Evolución del papel de la industria en el Sector de Normalización de las Telecomunicaciones de la UIT</w:t>
            </w:r>
            <w:bookmarkEnd w:id="39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BE1" w14:textId="38A96BA0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0" w:name="lt_pId062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68-04</w:t>
            </w:r>
            <w:bookmarkEnd w:id="40"/>
          </w:p>
        </w:tc>
      </w:tr>
      <w:tr w:rsidR="00685C12" w:rsidRPr="0029458B" w14:paraId="1629EB2D" w14:textId="77777777" w:rsidTr="00913DA9">
        <w:tc>
          <w:tcPr>
            <w:tcW w:w="7225" w:type="dxa"/>
          </w:tcPr>
          <w:p w14:paraId="5D0D3A5F" w14:textId="67EE41DE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1" w:name="lt_pId063"/>
            <w:r w:rsidRPr="0029458B">
              <w:rPr>
                <w:sz w:val="22"/>
                <w:szCs w:val="22"/>
                <w:lang w:eastAsia="zh-CN"/>
              </w:rPr>
              <w:t>Resolución 69 (Rev. Hammamet, 2016)</w:t>
            </w:r>
            <w:bookmarkEnd w:id="41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42" w:name="_Toc477787172"/>
            <w:r w:rsidRPr="0029458B">
              <w:rPr>
                <w:sz w:val="22"/>
                <w:szCs w:val="22"/>
                <w:lang w:eastAsia="zh-CN"/>
              </w:rPr>
              <w:t>Acceso y utilización no discriminatorios de los recursos de Internet y de telecomunicaciones/tecnologías de la información y la comunicación</w:t>
            </w:r>
            <w:bookmarkEnd w:id="42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4160" w14:textId="22EE66C5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3" w:name="lt_pId065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69-04</w:t>
            </w:r>
            <w:bookmarkEnd w:id="43"/>
          </w:p>
        </w:tc>
      </w:tr>
      <w:tr w:rsidR="00685C12" w:rsidRPr="0029458B" w14:paraId="7D5F736A" w14:textId="77777777" w:rsidTr="00913DA9">
        <w:tc>
          <w:tcPr>
            <w:tcW w:w="7225" w:type="dxa"/>
          </w:tcPr>
          <w:p w14:paraId="612FD505" w14:textId="1B7C90AE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4" w:name="lt_pId066"/>
            <w:r w:rsidRPr="0029458B">
              <w:rPr>
                <w:sz w:val="22"/>
                <w:szCs w:val="22"/>
                <w:lang w:eastAsia="zh-CN"/>
              </w:rPr>
              <w:t>Resolución 72 (Rev. Hammamet, 2016)</w:t>
            </w:r>
            <w:bookmarkEnd w:id="44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45" w:name="_Toc477787176"/>
            <w:r w:rsidRPr="0029458B">
              <w:rPr>
                <w:sz w:val="22"/>
                <w:szCs w:val="22"/>
                <w:lang w:eastAsia="zh-CN"/>
              </w:rPr>
              <w:t>Problemas de medición y evaluación relativos a la exposición de las personas a los campos electromagnéticos</w:t>
            </w:r>
            <w:bookmarkEnd w:id="45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F916" w14:textId="3A756DAC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6" w:name="lt_pId068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72-08</w:t>
            </w:r>
            <w:bookmarkEnd w:id="46"/>
          </w:p>
        </w:tc>
      </w:tr>
      <w:tr w:rsidR="00685C12" w:rsidRPr="0029458B" w14:paraId="50393746" w14:textId="77777777" w:rsidTr="00913DA9">
        <w:tc>
          <w:tcPr>
            <w:tcW w:w="7225" w:type="dxa"/>
          </w:tcPr>
          <w:p w14:paraId="51DBB314" w14:textId="0B93058F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7" w:name="lt_pId069"/>
            <w:r w:rsidRPr="0029458B">
              <w:rPr>
                <w:sz w:val="22"/>
                <w:szCs w:val="22"/>
                <w:lang w:eastAsia="zh-CN"/>
              </w:rPr>
              <w:t>Resolución 73 (Rev. Hammamet, 2016)</w:t>
            </w:r>
            <w:bookmarkEnd w:id="47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48" w:name="_Toc477787178"/>
            <w:r w:rsidRPr="0029458B">
              <w:rPr>
                <w:sz w:val="22"/>
                <w:szCs w:val="22"/>
                <w:lang w:eastAsia="zh-CN"/>
              </w:rPr>
              <w:t>Tecnologías de la información y la comunicación, medio ambiente y cambio climático</w:t>
            </w:r>
            <w:bookmarkEnd w:id="48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E3B3" w14:textId="636E1129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49" w:name="lt_pId071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73-20</w:t>
            </w:r>
            <w:bookmarkEnd w:id="49"/>
          </w:p>
        </w:tc>
      </w:tr>
      <w:tr w:rsidR="00685C12" w:rsidRPr="0029458B" w14:paraId="360C573C" w14:textId="77777777" w:rsidTr="00913DA9">
        <w:tc>
          <w:tcPr>
            <w:tcW w:w="7225" w:type="dxa"/>
          </w:tcPr>
          <w:p w14:paraId="3E0A4BFA" w14:textId="4984DEFB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50" w:name="lt_pId072"/>
            <w:r w:rsidRPr="0029458B">
              <w:rPr>
                <w:sz w:val="22"/>
                <w:szCs w:val="22"/>
                <w:lang w:eastAsia="zh-CN"/>
              </w:rPr>
              <w:t>Resolución 89 (Hammamet, 2016)</w:t>
            </w:r>
            <w:bookmarkEnd w:id="50"/>
            <w:r w:rsidRPr="0029458B">
              <w:rPr>
                <w:sz w:val="22"/>
                <w:szCs w:val="22"/>
                <w:lang w:eastAsia="zh-CN"/>
              </w:rPr>
              <w:br/>
            </w:r>
            <w:bookmarkStart w:id="51" w:name="_Toc477787202"/>
            <w:r w:rsidRPr="0029458B">
              <w:rPr>
                <w:sz w:val="22"/>
                <w:szCs w:val="22"/>
                <w:lang w:eastAsia="zh-CN"/>
              </w:rPr>
              <w:t>Promoción de la utilización de las tecnologías de la información y la comunicación para reducir la brecha de inclusión financiera</w:t>
            </w:r>
            <w:bookmarkEnd w:id="51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7D9A" w14:textId="4F307062" w:rsidR="00685C12" w:rsidRPr="0029458B" w:rsidRDefault="005B1C0B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52" w:name="lt_pId074"/>
            <w:r w:rsidRPr="0029458B">
              <w:rPr>
                <w:sz w:val="22"/>
                <w:szCs w:val="22"/>
                <w:lang w:eastAsia="zh-CN"/>
              </w:rPr>
              <w:t>Punto para acción de la AMNT</w:t>
            </w:r>
            <w:r w:rsidR="00685C12" w:rsidRPr="0029458B">
              <w:rPr>
                <w:sz w:val="22"/>
                <w:szCs w:val="22"/>
                <w:lang w:eastAsia="zh-CN"/>
              </w:rPr>
              <w:t xml:space="preserve"> 89-04</w:t>
            </w:r>
            <w:bookmarkEnd w:id="52"/>
          </w:p>
        </w:tc>
      </w:tr>
      <w:tr w:rsidR="00685C12" w:rsidRPr="0029458B" w14:paraId="74B71402" w14:textId="77777777" w:rsidTr="00913DA9">
        <w:tc>
          <w:tcPr>
            <w:tcW w:w="7225" w:type="dxa"/>
          </w:tcPr>
          <w:p w14:paraId="127B6DEB" w14:textId="4AB14525" w:rsidR="00685C12" w:rsidRPr="0029458B" w:rsidRDefault="00685C12" w:rsidP="000237E5">
            <w:pPr>
              <w:pStyle w:val="Tabletext"/>
              <w:rPr>
                <w:rFonts w:ascii="Calibri" w:hAnsi="Calibri" w:cs="Calibri"/>
                <w:b/>
                <w:color w:val="800000"/>
                <w:sz w:val="22"/>
                <w:szCs w:val="22"/>
                <w:lang w:eastAsia="zh-CN"/>
              </w:rPr>
            </w:pPr>
            <w:bookmarkStart w:id="53" w:name="lt_pId075"/>
            <w:r w:rsidRPr="0029458B">
              <w:rPr>
                <w:sz w:val="22"/>
                <w:szCs w:val="22"/>
                <w:lang w:eastAsia="zh-CN"/>
              </w:rPr>
              <w:t>Resolución 102 (Rev. Dub</w:t>
            </w:r>
            <w:r w:rsidR="0070245E" w:rsidRPr="0029458B">
              <w:rPr>
                <w:sz w:val="22"/>
                <w:szCs w:val="22"/>
                <w:lang w:eastAsia="zh-CN"/>
              </w:rPr>
              <w:t>á</w:t>
            </w:r>
            <w:r w:rsidRPr="0029458B">
              <w:rPr>
                <w:sz w:val="22"/>
                <w:szCs w:val="22"/>
                <w:lang w:eastAsia="zh-CN"/>
              </w:rPr>
              <w:t>i, 2018)</w:t>
            </w:r>
            <w:bookmarkEnd w:id="53"/>
            <w:r w:rsidRPr="0029458B">
              <w:rPr>
                <w:sz w:val="22"/>
                <w:szCs w:val="22"/>
                <w:lang w:eastAsia="zh-CN"/>
              </w:rPr>
              <w:br/>
            </w:r>
            <w:r w:rsidR="0070245E" w:rsidRPr="0029458B">
              <w:rPr>
                <w:sz w:val="22"/>
                <w:szCs w:val="22"/>
                <w:lang w:eastAsia="zh-CN"/>
              </w:rPr>
              <w:t>Promoción de la utilización de las tecnologías de la información y la comunicación para reducir la brecha de inclusión financiera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9109" w14:textId="3FDD77D5" w:rsidR="00685C12" w:rsidRPr="0029458B" w:rsidRDefault="00943296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54" w:name="lt_pId077"/>
            <w:r w:rsidRPr="0029458B">
              <w:rPr>
                <w:sz w:val="22"/>
                <w:szCs w:val="22"/>
                <w:lang w:eastAsia="zh-CN"/>
              </w:rPr>
              <w:t>Incluida en el p</w:t>
            </w:r>
            <w:r w:rsidR="005B1C0B" w:rsidRPr="0029458B">
              <w:rPr>
                <w:sz w:val="22"/>
                <w:szCs w:val="22"/>
                <w:lang w:eastAsia="zh-CN"/>
              </w:rPr>
              <w:t>unto para acción de la AMNT</w:t>
            </w:r>
            <w:r w:rsidR="007252AE">
              <w:rPr>
                <w:sz w:val="22"/>
                <w:szCs w:val="22"/>
                <w:lang w:eastAsia="zh-CN"/>
              </w:rPr>
              <w:t> </w:t>
            </w:r>
            <w:r w:rsidR="00685C12" w:rsidRPr="0029458B">
              <w:rPr>
                <w:sz w:val="22"/>
                <w:szCs w:val="22"/>
                <w:lang w:eastAsia="zh-CN"/>
              </w:rPr>
              <w:t>64</w:t>
            </w:r>
            <w:r w:rsidR="007252AE">
              <w:rPr>
                <w:sz w:val="22"/>
                <w:szCs w:val="22"/>
                <w:lang w:eastAsia="zh-CN"/>
              </w:rPr>
              <w:noBreakHyphen/>
            </w:r>
            <w:r w:rsidR="00685C12" w:rsidRPr="0029458B">
              <w:rPr>
                <w:sz w:val="22"/>
                <w:szCs w:val="22"/>
                <w:lang w:eastAsia="zh-CN"/>
              </w:rPr>
              <w:t>09</w:t>
            </w:r>
            <w:bookmarkEnd w:id="54"/>
          </w:p>
          <w:p w14:paraId="0FACD6BF" w14:textId="32AEC864" w:rsidR="00685C12" w:rsidRPr="0029458B" w:rsidRDefault="00685C12" w:rsidP="000237E5">
            <w:pPr>
              <w:pStyle w:val="Tabletext"/>
              <w:rPr>
                <w:sz w:val="22"/>
                <w:szCs w:val="22"/>
                <w:lang w:eastAsia="zh-CN"/>
              </w:rPr>
            </w:pPr>
            <w:bookmarkStart w:id="55" w:name="lt_pId078"/>
            <w:r w:rsidRPr="0029458B">
              <w:rPr>
                <w:sz w:val="22"/>
                <w:szCs w:val="22"/>
                <w:lang w:eastAsia="zh-CN"/>
              </w:rPr>
              <w:t>(ref.</w:t>
            </w:r>
            <w:bookmarkEnd w:id="55"/>
            <w:r w:rsidRPr="0029458B">
              <w:rPr>
                <w:sz w:val="22"/>
                <w:szCs w:val="22"/>
                <w:lang w:eastAsia="zh-CN"/>
              </w:rPr>
              <w:t xml:space="preserve"> </w:t>
            </w:r>
            <w:bookmarkStart w:id="56" w:name="lt_pId079"/>
            <w:r w:rsidRPr="0029458B">
              <w:rPr>
                <w:sz w:val="22"/>
                <w:szCs w:val="22"/>
                <w:lang w:eastAsia="zh-CN"/>
              </w:rPr>
              <w:t>Res.102</w:t>
            </w:r>
            <w:r w:rsidR="00943296" w:rsidRPr="0029458B">
              <w:rPr>
                <w:sz w:val="22"/>
                <w:szCs w:val="22"/>
                <w:lang w:eastAsia="zh-CN"/>
              </w:rPr>
              <w:t xml:space="preserve"> de la PP, punto</w:t>
            </w:r>
            <w:r w:rsidRPr="0029458B">
              <w:rPr>
                <w:sz w:val="22"/>
                <w:szCs w:val="22"/>
                <w:lang w:eastAsia="zh-CN"/>
              </w:rPr>
              <w:t xml:space="preserve"> 102-07)</w:t>
            </w:r>
            <w:bookmarkEnd w:id="56"/>
          </w:p>
        </w:tc>
      </w:tr>
    </w:tbl>
    <w:p w14:paraId="2E877A87" w14:textId="4BF2AF2C" w:rsidR="00685C12" w:rsidRPr="0029458B" w:rsidRDefault="00685C12" w:rsidP="000237E5">
      <w:pPr>
        <w:pStyle w:val="Heading1"/>
      </w:pPr>
      <w:r w:rsidRPr="0029458B">
        <w:t>3</w:t>
      </w:r>
      <w:r w:rsidRPr="0029458B">
        <w:tab/>
      </w:r>
      <w:bookmarkStart w:id="57" w:name="lt_pId081"/>
      <w:r w:rsidR="00691293" w:rsidRPr="0029458B">
        <w:t>Análisis de la aplicación de las Resoluciones de la AMNT</w:t>
      </w:r>
      <w:bookmarkEnd w:id="57"/>
    </w:p>
    <w:p w14:paraId="1E7452CE" w14:textId="5CF172C1" w:rsidR="00685C12" w:rsidRPr="0029458B" w:rsidRDefault="00E14FAE" w:rsidP="000237E5">
      <w:bookmarkStart w:id="58" w:name="lt_pId082"/>
      <w:r w:rsidRPr="0029458B">
        <w:t>En la Resolución 83 de la AMNT</w:t>
      </w:r>
      <w:r w:rsidR="00685C12" w:rsidRPr="0029458B">
        <w:t xml:space="preserve">-16 </w:t>
      </w:r>
      <w:r w:rsidRPr="0029458B">
        <w:t>se encarga al Director de la TSB que evalúe la aplicación de las Resoluciones de la AMNT por todas las partes interesadas</w:t>
      </w:r>
      <w:r w:rsidR="00685C12" w:rsidRPr="0029458B">
        <w:t>.</w:t>
      </w:r>
      <w:bookmarkEnd w:id="58"/>
    </w:p>
    <w:p w14:paraId="6F99606E" w14:textId="223DE1D3" w:rsidR="00685C12" w:rsidRPr="0029458B" w:rsidRDefault="00D32E2B" w:rsidP="000237E5">
      <w:bookmarkStart w:id="59" w:name="lt_pId083"/>
      <w:r w:rsidRPr="0029458B">
        <w:t xml:space="preserve">El </w:t>
      </w:r>
      <w:r w:rsidR="00685C12" w:rsidRPr="0029458B">
        <w:t xml:space="preserve">plan </w:t>
      </w:r>
      <w:r w:rsidRPr="0029458B">
        <w:t>de acción clasifica la situación de cada punto para acción en cuatro tipos, en función de los progresos logrados</w:t>
      </w:r>
      <w:r w:rsidR="00685C12" w:rsidRPr="0029458B">
        <w:t>:</w:t>
      </w:r>
      <w:bookmarkEnd w:id="59"/>
    </w:p>
    <w:p w14:paraId="4F35D7BF" w14:textId="3746DC05" w:rsidR="00685C12" w:rsidRPr="0029458B" w:rsidRDefault="0070245E" w:rsidP="000237E5">
      <w:pPr>
        <w:pStyle w:val="enumlev1"/>
      </w:pPr>
      <w:bookmarkStart w:id="60" w:name="lt_pId084"/>
      <w:r w:rsidRPr="0029458B">
        <w:rPr>
          <w:szCs w:val="24"/>
        </w:rPr>
        <w:t>•</w:t>
      </w:r>
      <w:r w:rsidRPr="0029458B">
        <w:rPr>
          <w:szCs w:val="24"/>
        </w:rPr>
        <w:tab/>
      </w:r>
      <w:r w:rsidR="00685C12" w:rsidRPr="0029458B">
        <w:rPr>
          <w:highlight w:val="cyan"/>
        </w:rPr>
        <w:t>Comple</w:t>
      </w:r>
      <w:r w:rsidR="00685C12" w:rsidRPr="007252AE">
        <w:rPr>
          <w:highlight w:val="cyan"/>
        </w:rPr>
        <w:t>t</w:t>
      </w:r>
      <w:r w:rsidR="00D32E2B" w:rsidRPr="007252AE">
        <w:rPr>
          <w:highlight w:val="cyan"/>
        </w:rPr>
        <w:t>ado</w:t>
      </w:r>
      <w:r w:rsidR="00685C12" w:rsidRPr="0029458B">
        <w:t xml:space="preserve">: </w:t>
      </w:r>
      <w:r w:rsidR="00D32E2B" w:rsidRPr="0029458B">
        <w:t>El punto para acción se considera finalizado y cumple sus objetivos</w:t>
      </w:r>
      <w:r w:rsidR="00685C12" w:rsidRPr="0029458B">
        <w:t>.</w:t>
      </w:r>
      <w:bookmarkEnd w:id="60"/>
    </w:p>
    <w:p w14:paraId="5FA2A42F" w14:textId="50EB1FED" w:rsidR="00685C12" w:rsidRPr="0029458B" w:rsidRDefault="0070245E" w:rsidP="000237E5">
      <w:pPr>
        <w:pStyle w:val="enumlev1"/>
        <w:rPr>
          <w:rFonts w:asciiTheme="majorBidi" w:hAnsiTheme="majorBidi" w:cstheme="majorBidi"/>
          <w:szCs w:val="24"/>
        </w:rPr>
      </w:pPr>
      <w:bookmarkStart w:id="61" w:name="lt_pId085"/>
      <w:r w:rsidRPr="0029458B">
        <w:rPr>
          <w:szCs w:val="24"/>
        </w:rPr>
        <w:t>•</w:t>
      </w:r>
      <w:r w:rsidRPr="0029458B">
        <w:rPr>
          <w:szCs w:val="24"/>
        </w:rPr>
        <w:tab/>
      </w:r>
      <w:r w:rsidR="00D32E2B" w:rsidRPr="0029458B">
        <w:rPr>
          <w:rFonts w:asciiTheme="majorBidi" w:hAnsiTheme="majorBidi" w:cstheme="majorBidi"/>
          <w:szCs w:val="24"/>
          <w:highlight w:val="green"/>
        </w:rPr>
        <w:t>En curso</w:t>
      </w:r>
      <w:r w:rsidR="00685C12" w:rsidRPr="0029458B">
        <w:rPr>
          <w:rFonts w:asciiTheme="majorBidi" w:hAnsiTheme="majorBidi" w:cstheme="majorBidi"/>
          <w:szCs w:val="24"/>
          <w:highlight w:val="green"/>
        </w:rPr>
        <w:t xml:space="preserve"> </w:t>
      </w:r>
      <w:r w:rsidR="008E5B89" w:rsidRPr="0029458B">
        <w:rPr>
          <w:rFonts w:asciiTheme="majorBidi" w:hAnsiTheme="majorBidi" w:cstheme="majorBidi"/>
          <w:szCs w:val="24"/>
          <w:highlight w:val="green"/>
        </w:rPr>
        <w:t xml:space="preserve">por su naturaleza, con </w:t>
      </w:r>
      <w:r w:rsidR="00D32E2B" w:rsidRPr="0029458B">
        <w:rPr>
          <w:rFonts w:asciiTheme="majorBidi" w:hAnsiTheme="majorBidi" w:cstheme="majorBidi"/>
          <w:szCs w:val="24"/>
          <w:highlight w:val="green"/>
        </w:rPr>
        <w:t>objetivos periódicos cumplidos</w:t>
      </w:r>
      <w:r w:rsidR="00685C12" w:rsidRPr="0029458B">
        <w:rPr>
          <w:rFonts w:asciiTheme="majorBidi" w:hAnsiTheme="majorBidi" w:cstheme="majorBidi"/>
          <w:szCs w:val="24"/>
        </w:rPr>
        <w:t xml:space="preserve">: </w:t>
      </w:r>
      <w:r w:rsidR="008E5B89" w:rsidRPr="0029458B">
        <w:rPr>
          <w:rFonts w:asciiTheme="majorBidi" w:hAnsiTheme="majorBidi" w:cstheme="majorBidi"/>
          <w:szCs w:val="24"/>
        </w:rPr>
        <w:t>El punto para acción ha progresado adecuadamente con arreglo a los objetivos previstos</w:t>
      </w:r>
      <w:r w:rsidR="00685C12" w:rsidRPr="0029458B">
        <w:rPr>
          <w:rFonts w:asciiTheme="majorBidi" w:hAnsiTheme="majorBidi" w:cstheme="majorBidi"/>
          <w:szCs w:val="24"/>
        </w:rPr>
        <w:t>.</w:t>
      </w:r>
      <w:bookmarkEnd w:id="61"/>
    </w:p>
    <w:p w14:paraId="7D818B31" w14:textId="49F0C167" w:rsidR="00685C12" w:rsidRPr="0029458B" w:rsidRDefault="0070245E" w:rsidP="000237E5">
      <w:pPr>
        <w:pStyle w:val="enumlev1"/>
        <w:rPr>
          <w:rFonts w:asciiTheme="majorBidi" w:hAnsiTheme="majorBidi" w:cstheme="majorBidi"/>
          <w:szCs w:val="24"/>
        </w:rPr>
      </w:pPr>
      <w:bookmarkStart w:id="62" w:name="lt_pId086"/>
      <w:r w:rsidRPr="0029458B">
        <w:rPr>
          <w:szCs w:val="24"/>
        </w:rPr>
        <w:t>•</w:t>
      </w:r>
      <w:r w:rsidRPr="0029458B">
        <w:rPr>
          <w:szCs w:val="24"/>
        </w:rPr>
        <w:tab/>
      </w:r>
      <w:r w:rsidR="008E5B89" w:rsidRPr="007252AE">
        <w:rPr>
          <w:rFonts w:asciiTheme="majorBidi" w:hAnsiTheme="majorBidi" w:cstheme="majorBidi"/>
          <w:szCs w:val="24"/>
          <w:highlight w:val="yellow"/>
        </w:rPr>
        <w:t>En curso</w:t>
      </w:r>
      <w:r w:rsidR="00685C12" w:rsidRPr="0029458B">
        <w:rPr>
          <w:rFonts w:asciiTheme="majorBidi" w:hAnsiTheme="majorBidi" w:cstheme="majorBidi"/>
          <w:szCs w:val="24"/>
        </w:rPr>
        <w:t xml:space="preserve">: </w:t>
      </w:r>
      <w:r w:rsidR="008E5B89" w:rsidRPr="0029458B">
        <w:rPr>
          <w:rFonts w:asciiTheme="majorBidi" w:hAnsiTheme="majorBidi" w:cstheme="majorBidi"/>
          <w:szCs w:val="24"/>
        </w:rPr>
        <w:t>El punto para acción se está considerando, pero se requiere más tiempo y esfuerzos para lograr progresos o informar al respecto; o está pendiente de iniciarse</w:t>
      </w:r>
      <w:r w:rsidR="00685C12" w:rsidRPr="0029458B">
        <w:rPr>
          <w:rFonts w:asciiTheme="majorBidi" w:hAnsiTheme="majorBidi" w:cstheme="majorBidi"/>
          <w:szCs w:val="24"/>
        </w:rPr>
        <w:t>.</w:t>
      </w:r>
      <w:bookmarkEnd w:id="62"/>
    </w:p>
    <w:p w14:paraId="6DC5DB1F" w14:textId="22508F5C" w:rsidR="00685C12" w:rsidRPr="0029458B" w:rsidRDefault="0070245E" w:rsidP="00764239">
      <w:pPr>
        <w:pStyle w:val="enumlev1"/>
      </w:pPr>
      <w:bookmarkStart w:id="63" w:name="lt_pId087"/>
      <w:r w:rsidRPr="0029458B">
        <w:lastRenderedPageBreak/>
        <w:t>•</w:t>
      </w:r>
      <w:r w:rsidRPr="0029458B">
        <w:tab/>
      </w:r>
      <w:r w:rsidR="00590D5C" w:rsidRPr="0029458B">
        <w:rPr>
          <w:highlight w:val="red"/>
        </w:rPr>
        <w:t>Sin acción</w:t>
      </w:r>
      <w:r w:rsidR="00685C12" w:rsidRPr="0029458B">
        <w:rPr>
          <w:highlight w:val="red"/>
        </w:rPr>
        <w:t xml:space="preserve">/ </w:t>
      </w:r>
      <w:r w:rsidR="00590D5C" w:rsidRPr="0029458B">
        <w:rPr>
          <w:highlight w:val="red"/>
        </w:rPr>
        <w:t>necesita atención</w:t>
      </w:r>
      <w:r w:rsidR="00685C12" w:rsidRPr="0029458B">
        <w:t xml:space="preserve">: </w:t>
      </w:r>
      <w:r w:rsidR="00590D5C" w:rsidRPr="0029458B">
        <w:t>El punto para acción no ha progresado lo necesario y requiere atención</w:t>
      </w:r>
      <w:r w:rsidR="00685C12" w:rsidRPr="0029458B">
        <w:t>.</w:t>
      </w:r>
      <w:bookmarkEnd w:id="63"/>
    </w:p>
    <w:p w14:paraId="5A742C12" w14:textId="34F1867A" w:rsidR="00685C12" w:rsidRPr="0029458B" w:rsidRDefault="00590D5C" w:rsidP="000237E5">
      <w:bookmarkStart w:id="64" w:name="lt_pId088"/>
      <w:r w:rsidRPr="0029458B">
        <w:t xml:space="preserve">Al </w:t>
      </w:r>
      <w:r w:rsidR="00685C12" w:rsidRPr="0029458B">
        <w:t xml:space="preserve">18 </w:t>
      </w:r>
      <w:r w:rsidRPr="0029458B">
        <w:t xml:space="preserve">de enero de </w:t>
      </w:r>
      <w:r w:rsidR="00685C12" w:rsidRPr="0029458B">
        <w:t>2022</w:t>
      </w:r>
      <w:bookmarkEnd w:id="64"/>
    </w:p>
    <w:p w14:paraId="35CB9976" w14:textId="753C7CAB" w:rsidR="00685C12" w:rsidRPr="0029458B" w:rsidRDefault="0070245E" w:rsidP="000237E5">
      <w:pPr>
        <w:pStyle w:val="enumlev1"/>
      </w:pPr>
      <w:bookmarkStart w:id="65" w:name="lt_pId089"/>
      <w:r w:rsidRPr="0029458B">
        <w:rPr>
          <w:rFonts w:eastAsia="Malgun Gothic"/>
        </w:rPr>
        <w:t>–</w:t>
      </w:r>
      <w:r w:rsidRPr="0029458B">
        <w:tab/>
      </w:r>
      <w:r w:rsidR="00685C12" w:rsidRPr="0029458B">
        <w:t xml:space="preserve">39 </w:t>
      </w:r>
      <w:r w:rsidR="00590D5C" w:rsidRPr="0029458B">
        <w:t>puntos para acción</w:t>
      </w:r>
      <w:r w:rsidR="00685C12" w:rsidRPr="0029458B">
        <w:t xml:space="preserve"> (10%) </w:t>
      </w:r>
      <w:r w:rsidR="00590D5C" w:rsidRPr="0029458B">
        <w:t>son acciones puntuales con objetivos/criterios cuantificables, y ya se han ejecutado en su totalidad y pueden considerarse completos</w:t>
      </w:r>
      <w:r w:rsidR="00685C12" w:rsidRPr="0029458B">
        <w:t>.</w:t>
      </w:r>
      <w:bookmarkEnd w:id="65"/>
    </w:p>
    <w:p w14:paraId="5ECB256C" w14:textId="3E4410ED" w:rsidR="00685C12" w:rsidRPr="0029458B" w:rsidRDefault="0070245E" w:rsidP="000237E5">
      <w:pPr>
        <w:pStyle w:val="enumlev1"/>
        <w:rPr>
          <w:szCs w:val="24"/>
        </w:rPr>
      </w:pPr>
      <w:bookmarkStart w:id="66" w:name="lt_pId090"/>
      <w:r w:rsidRPr="0029458B">
        <w:rPr>
          <w:rFonts w:eastAsia="Malgun Gothic"/>
        </w:rPr>
        <w:t>–</w:t>
      </w:r>
      <w:r w:rsidRPr="0029458B">
        <w:tab/>
      </w:r>
      <w:r w:rsidR="00685C12" w:rsidRPr="0029458B">
        <w:rPr>
          <w:szCs w:val="24"/>
        </w:rPr>
        <w:t xml:space="preserve">331 </w:t>
      </w:r>
      <w:r w:rsidR="00590D5C" w:rsidRPr="0029458B">
        <w:t xml:space="preserve">puntos para acción </w:t>
      </w:r>
      <w:r w:rsidR="00685C12" w:rsidRPr="0029458B">
        <w:rPr>
          <w:szCs w:val="24"/>
        </w:rPr>
        <w:t xml:space="preserve">(88%) </w:t>
      </w:r>
      <w:r w:rsidR="00590D5C" w:rsidRPr="0029458B">
        <w:rPr>
          <w:szCs w:val="24"/>
        </w:rPr>
        <w:t>están en curso por naturaleza, con ciertos/algunos/</w:t>
      </w:r>
      <w:r w:rsidR="00E46202" w:rsidRPr="0029458B">
        <w:rPr>
          <w:szCs w:val="24"/>
        </w:rPr>
        <w:t>considerables</w:t>
      </w:r>
      <w:r w:rsidR="00590D5C" w:rsidRPr="0029458B">
        <w:rPr>
          <w:szCs w:val="24"/>
        </w:rPr>
        <w:t xml:space="preserve"> </w:t>
      </w:r>
      <w:r w:rsidR="00E46202" w:rsidRPr="0029458B">
        <w:rPr>
          <w:szCs w:val="24"/>
        </w:rPr>
        <w:t xml:space="preserve">progresos </w:t>
      </w:r>
      <w:r w:rsidR="00590D5C" w:rsidRPr="0029458B">
        <w:rPr>
          <w:szCs w:val="24"/>
        </w:rPr>
        <w:t>logrados o metas periódicas cumplidas</w:t>
      </w:r>
      <w:r w:rsidR="00685C12" w:rsidRPr="0029458B">
        <w:rPr>
          <w:szCs w:val="24"/>
        </w:rPr>
        <w:t>.</w:t>
      </w:r>
      <w:bookmarkEnd w:id="66"/>
    </w:p>
    <w:p w14:paraId="32678D1B" w14:textId="0F0A53C0" w:rsidR="00685C12" w:rsidRPr="0029458B" w:rsidRDefault="0070245E" w:rsidP="000237E5">
      <w:pPr>
        <w:pStyle w:val="enumlev1"/>
        <w:rPr>
          <w:szCs w:val="24"/>
        </w:rPr>
      </w:pPr>
      <w:bookmarkStart w:id="67" w:name="lt_pId091"/>
      <w:r w:rsidRPr="0029458B">
        <w:rPr>
          <w:rFonts w:eastAsia="Malgun Gothic"/>
        </w:rPr>
        <w:t>–</w:t>
      </w:r>
      <w:r w:rsidRPr="0029458B">
        <w:tab/>
      </w:r>
      <w:r w:rsidR="00685C12" w:rsidRPr="0029458B">
        <w:rPr>
          <w:szCs w:val="24"/>
        </w:rPr>
        <w:t xml:space="preserve">7 </w:t>
      </w:r>
      <w:r w:rsidR="00590D5C" w:rsidRPr="0029458B">
        <w:t xml:space="preserve">puntos para acción </w:t>
      </w:r>
      <w:r w:rsidR="00685C12" w:rsidRPr="0029458B">
        <w:rPr>
          <w:szCs w:val="24"/>
        </w:rPr>
        <w:t xml:space="preserve">(2%) </w:t>
      </w:r>
      <w:r w:rsidR="00E46202" w:rsidRPr="0029458B">
        <w:rPr>
          <w:szCs w:val="24"/>
        </w:rPr>
        <w:t>están, por su naturaleza, en curso</w:t>
      </w:r>
      <w:r w:rsidR="00685C12" w:rsidRPr="0029458B">
        <w:rPr>
          <w:szCs w:val="24"/>
        </w:rPr>
        <w:t>/</w:t>
      </w:r>
      <w:r w:rsidR="00E46202" w:rsidRPr="0029458B">
        <w:rPr>
          <w:szCs w:val="24"/>
        </w:rPr>
        <w:t>pendientes</w:t>
      </w:r>
      <w:r w:rsidR="00685C12" w:rsidRPr="0029458B">
        <w:rPr>
          <w:szCs w:val="24"/>
        </w:rPr>
        <w:t>.</w:t>
      </w:r>
      <w:bookmarkEnd w:id="67"/>
    </w:p>
    <w:p w14:paraId="499D1BBA" w14:textId="23C41554" w:rsidR="00685C12" w:rsidRPr="0029458B" w:rsidRDefault="0070245E" w:rsidP="000237E5">
      <w:pPr>
        <w:pStyle w:val="enumlev1"/>
        <w:rPr>
          <w:szCs w:val="24"/>
        </w:rPr>
      </w:pPr>
      <w:bookmarkStart w:id="68" w:name="lt_pId092"/>
      <w:r w:rsidRPr="0029458B">
        <w:rPr>
          <w:rFonts w:eastAsia="Malgun Gothic"/>
        </w:rPr>
        <w:t>–</w:t>
      </w:r>
      <w:r w:rsidRPr="0029458B">
        <w:tab/>
      </w:r>
      <w:r w:rsidR="00685C12" w:rsidRPr="0029458B">
        <w:rPr>
          <w:szCs w:val="24"/>
        </w:rPr>
        <w:t xml:space="preserve">0 </w:t>
      </w:r>
      <w:r w:rsidR="00590D5C" w:rsidRPr="0029458B">
        <w:t xml:space="preserve">puntos para acción </w:t>
      </w:r>
      <w:r w:rsidR="00685C12" w:rsidRPr="0029458B">
        <w:rPr>
          <w:szCs w:val="24"/>
        </w:rPr>
        <w:t xml:space="preserve">(0%) </w:t>
      </w:r>
      <w:r w:rsidR="00E46202" w:rsidRPr="0029458B">
        <w:rPr>
          <w:szCs w:val="24"/>
        </w:rPr>
        <w:t>no han iniciado actividad algun</w:t>
      </w:r>
      <w:r w:rsidR="007252AE">
        <w:rPr>
          <w:szCs w:val="24"/>
        </w:rPr>
        <w:t>a</w:t>
      </w:r>
      <w:r w:rsidR="00E46202" w:rsidRPr="0029458B">
        <w:rPr>
          <w:szCs w:val="24"/>
        </w:rPr>
        <w:t xml:space="preserve"> hasta ahora o requieren atención</w:t>
      </w:r>
      <w:r w:rsidR="00685C12" w:rsidRPr="0029458B">
        <w:rPr>
          <w:szCs w:val="24"/>
        </w:rPr>
        <w:t>.</w:t>
      </w:r>
      <w:bookmarkEnd w:id="68"/>
    </w:p>
    <w:p w14:paraId="2B3D7D06" w14:textId="77777777" w:rsidR="00685C12" w:rsidRPr="0029458B" w:rsidRDefault="00685C12" w:rsidP="000237E5">
      <w:pPr>
        <w:pStyle w:val="Figure"/>
        <w:rPr>
          <w:szCs w:val="24"/>
        </w:rPr>
      </w:pPr>
      <w:r w:rsidRPr="0029458B">
        <w:rPr>
          <w:noProof/>
        </w:rPr>
        <w:drawing>
          <wp:inline distT="0" distB="0" distL="0" distR="0" wp14:anchorId="5D31E339" wp14:editId="5DE6F013">
            <wp:extent cx="5096510" cy="2432050"/>
            <wp:effectExtent l="0" t="0" r="889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0F20979" w14:textId="612EAA15" w:rsidR="00685C12" w:rsidRPr="0029458B" w:rsidRDefault="00E46202" w:rsidP="000237E5">
      <w:bookmarkStart w:id="69" w:name="lt_pId093"/>
      <w:r w:rsidRPr="0029458B">
        <w:t>Obsérvese que la hoja de Excel adjunta contiene estadísticas más detalladas sobre la situación de los puntos para acción con respecto a las responsabilidades de la TSB/Director de la TSB y de los miembros</w:t>
      </w:r>
      <w:r w:rsidR="00685C12" w:rsidRPr="0029458B">
        <w:t>.</w:t>
      </w:r>
      <w:bookmarkEnd w:id="69"/>
    </w:p>
    <w:p w14:paraId="10624CF0" w14:textId="0D7B4C35" w:rsidR="00685C12" w:rsidRPr="0029458B" w:rsidRDefault="00E46202" w:rsidP="000237E5">
      <w:pPr>
        <w:pStyle w:val="Headingb"/>
      </w:pPr>
      <w:bookmarkStart w:id="70" w:name="lt_pId094"/>
      <w:r w:rsidRPr="0029458B">
        <w:t>Anexos</w:t>
      </w:r>
      <w:r w:rsidR="00685C12" w:rsidRPr="0029458B">
        <w:t>: 2</w:t>
      </w:r>
      <w:bookmarkEnd w:id="70"/>
    </w:p>
    <w:p w14:paraId="262E4EE8" w14:textId="75EF009F" w:rsidR="00685C12" w:rsidRPr="0029458B" w:rsidRDefault="0070245E" w:rsidP="000237E5">
      <w:pPr>
        <w:pStyle w:val="enumlev1"/>
      </w:pPr>
      <w:bookmarkStart w:id="71" w:name="lt_pId095"/>
      <w:r w:rsidRPr="0029458B">
        <w:t>1</w:t>
      </w:r>
      <w:r w:rsidRPr="0029458B">
        <w:tab/>
      </w:r>
      <w:r w:rsidR="00E46202" w:rsidRPr="0029458B">
        <w:t>Plan de Acción de la AMNT</w:t>
      </w:r>
      <w:r w:rsidR="00685C12" w:rsidRPr="0029458B">
        <w:t>-16</w:t>
      </w:r>
      <w:r w:rsidR="00E46202" w:rsidRPr="0029458B">
        <w:t>,</w:t>
      </w:r>
      <w:r w:rsidR="00685C12" w:rsidRPr="0029458B">
        <w:t xml:space="preserve"> V1.1 </w:t>
      </w:r>
      <w:r w:rsidR="007252AE">
        <w:t>–</w:t>
      </w:r>
      <w:r w:rsidR="00685C12" w:rsidRPr="0029458B">
        <w:t xml:space="preserve"> </w:t>
      </w:r>
      <w:r w:rsidR="00E46202" w:rsidRPr="0029458B">
        <w:t>Informe de situación, e</w:t>
      </w:r>
      <w:r w:rsidR="00685C12" w:rsidRPr="0029458B">
        <w:t xml:space="preserve">n </w:t>
      </w:r>
      <w:r w:rsidR="00E96984" w:rsidRPr="0029458B">
        <w:t xml:space="preserve">formato </w:t>
      </w:r>
      <w:r w:rsidR="00E46202" w:rsidRPr="0029458B">
        <w:t>MS</w:t>
      </w:r>
      <w:r w:rsidR="00685C12" w:rsidRPr="0029458B">
        <w:t>WORD</w:t>
      </w:r>
      <w:bookmarkEnd w:id="71"/>
    </w:p>
    <w:p w14:paraId="5995EB34" w14:textId="3977160B" w:rsidR="00685C12" w:rsidRPr="0029458B" w:rsidRDefault="0070245E" w:rsidP="000237E5">
      <w:pPr>
        <w:pStyle w:val="enumlev1"/>
        <w:rPr>
          <w:szCs w:val="24"/>
        </w:rPr>
      </w:pPr>
      <w:bookmarkStart w:id="72" w:name="lt_pId096"/>
      <w:r w:rsidRPr="0029458B">
        <w:rPr>
          <w:szCs w:val="24"/>
        </w:rPr>
        <w:t>2</w:t>
      </w:r>
      <w:r w:rsidRPr="0029458B">
        <w:rPr>
          <w:szCs w:val="24"/>
        </w:rPr>
        <w:tab/>
      </w:r>
      <w:r w:rsidR="00E46202" w:rsidRPr="0029458B">
        <w:t xml:space="preserve">Plan de Acción de la AMNT-16, </w:t>
      </w:r>
      <w:r w:rsidR="00685C12" w:rsidRPr="0029458B">
        <w:rPr>
          <w:szCs w:val="24"/>
        </w:rPr>
        <w:t xml:space="preserve">V1.1 </w:t>
      </w:r>
      <w:r w:rsidR="00E46202" w:rsidRPr="0029458B">
        <w:rPr>
          <w:szCs w:val="24"/>
        </w:rPr>
        <w:t>–</w:t>
      </w:r>
      <w:r w:rsidR="00685C12" w:rsidRPr="0029458B">
        <w:rPr>
          <w:szCs w:val="24"/>
        </w:rPr>
        <w:t xml:space="preserve"> </w:t>
      </w:r>
      <w:r w:rsidR="00E46202" w:rsidRPr="0029458B">
        <w:rPr>
          <w:szCs w:val="24"/>
        </w:rPr>
        <w:t>Ho</w:t>
      </w:r>
      <w:r w:rsidR="00D151A9" w:rsidRPr="0029458B">
        <w:rPr>
          <w:szCs w:val="24"/>
        </w:rPr>
        <w:t>j</w:t>
      </w:r>
      <w:r w:rsidR="00E46202" w:rsidRPr="0029458B">
        <w:rPr>
          <w:szCs w:val="24"/>
        </w:rPr>
        <w:t xml:space="preserve">a </w:t>
      </w:r>
      <w:r w:rsidR="00685C12" w:rsidRPr="0029458B">
        <w:rPr>
          <w:szCs w:val="24"/>
        </w:rPr>
        <w:t>EXCEL.</w:t>
      </w:r>
      <w:bookmarkEnd w:id="72"/>
    </w:p>
    <w:p w14:paraId="6445D7E9" w14:textId="77777777" w:rsidR="00764239" w:rsidRPr="0029458B" w:rsidRDefault="00764239" w:rsidP="00411C49">
      <w:pPr>
        <w:pStyle w:val="Reasons"/>
      </w:pPr>
    </w:p>
    <w:p w14:paraId="6678ED45" w14:textId="77777777" w:rsidR="00764239" w:rsidRPr="0029458B" w:rsidRDefault="00764239">
      <w:pPr>
        <w:jc w:val="center"/>
      </w:pPr>
      <w:r w:rsidRPr="0029458B">
        <w:t>______________</w:t>
      </w:r>
    </w:p>
    <w:sectPr w:rsidR="00764239" w:rsidRPr="0029458B" w:rsidSect="002E5627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2407" w14:textId="77777777" w:rsidR="00B238A5" w:rsidRDefault="00B238A5">
      <w:r>
        <w:separator/>
      </w:r>
    </w:p>
  </w:endnote>
  <w:endnote w:type="continuationSeparator" w:id="0">
    <w:p w14:paraId="6F1349F6" w14:textId="77777777" w:rsidR="00B238A5" w:rsidRDefault="00B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72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46F47" w14:textId="53106BC2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D74E1">
      <w:rPr>
        <w:noProof/>
        <w:lang w:val="fr-CH"/>
      </w:rPr>
      <w:t>P:\ESP\ITU-T\CONF-T\WTSA20\000\034S.docx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3871">
      <w:rPr>
        <w:noProof/>
      </w:rPr>
      <w:t>26.01.22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4E1">
      <w:rPr>
        <w:noProof/>
      </w:rPr>
      <w:t>26.01.22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9D4" w14:textId="2493A4D7" w:rsidR="0070245E" w:rsidRPr="00FC3528" w:rsidRDefault="0077084A" w:rsidP="00E11803">
    <w:pPr>
      <w:pStyle w:val="Footer"/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3D74E1">
      <w:rPr>
        <w:lang w:val="en-GB"/>
      </w:rPr>
      <w:t>P:\ESP\ITU-T\CONF-T\WTSA20\000\034S.docx</w:t>
    </w:r>
    <w:r>
      <w:fldChar w:fldCharType="end"/>
    </w:r>
    <w:r w:rsidR="0070245E" w:rsidRPr="000237E5">
      <w:rPr>
        <w:lang w:val="en-GB"/>
      </w:rPr>
      <w:t xml:space="preserve"> (478084)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931D" w14:textId="39D4C31C" w:rsidR="0070245E" w:rsidRPr="00FC3528" w:rsidRDefault="0070245E" w:rsidP="0070245E">
    <w:pPr>
      <w:pStyle w:val="Footer"/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3D74E1">
      <w:rPr>
        <w:lang w:val="en-GB"/>
      </w:rPr>
      <w:t>P:\ESP\ITU-T\CONF-T\WTSA20\000\034S.docx</w:t>
    </w:r>
    <w:r>
      <w:fldChar w:fldCharType="end"/>
    </w:r>
    <w:r w:rsidRPr="000237E5">
      <w:rPr>
        <w:lang w:val="en-GB"/>
      </w:rPr>
      <w:t xml:space="preserve"> (478084)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9004" w14:textId="77777777" w:rsidR="00B238A5" w:rsidRDefault="00B238A5">
      <w:r>
        <w:rPr>
          <w:b/>
        </w:rPr>
        <w:t>_______________</w:t>
      </w:r>
    </w:p>
  </w:footnote>
  <w:footnote w:type="continuationSeparator" w:id="0">
    <w:p w14:paraId="062FBA5B" w14:textId="77777777" w:rsidR="00B238A5" w:rsidRDefault="00B238A5">
      <w:r>
        <w:continuationSeparator/>
      </w:r>
    </w:p>
  </w:footnote>
  <w:footnote w:id="1">
    <w:p w14:paraId="3045FA96" w14:textId="77777777" w:rsidR="00685C12" w:rsidRDefault="00685C12" w:rsidP="00685C12">
      <w:pPr>
        <w:pStyle w:val="FootnoteText"/>
        <w:rPr>
          <w:lang w:val="es-ES"/>
        </w:rPr>
      </w:pPr>
      <w:r>
        <w:rPr>
          <w:rStyle w:val="FootnoteReference"/>
          <w:lang w:val="es-ES"/>
        </w:rPr>
        <w:t>1</w:t>
      </w:r>
      <w:r>
        <w:rPr>
          <w:lang w:val="es-ES"/>
        </w:rPr>
        <w:tab/>
      </w:r>
      <w:r w:rsidRPr="001E6B98"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3E30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04D79926" w14:textId="692E01E2" w:rsidR="00E83D45" w:rsidRPr="00C72D5C" w:rsidRDefault="00E11803" w:rsidP="00E83D45">
    <w:pPr>
      <w:pStyle w:val="Header"/>
    </w:pPr>
    <w:r>
      <w:t>WTSA20/34-S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3E404B28"/>
    <w:multiLevelType w:val="hybridMultilevel"/>
    <w:tmpl w:val="0DA0FBC6"/>
    <w:lvl w:ilvl="0" w:tplc="75A8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8C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48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0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4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CD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C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B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6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C63B7"/>
    <w:multiLevelType w:val="hybridMultilevel"/>
    <w:tmpl w:val="594411C0"/>
    <w:lvl w:ilvl="0" w:tplc="0A7EE0A4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9A8ED42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18D874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F00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6B0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EE02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F47B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BE59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6AC5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834BB"/>
    <w:multiLevelType w:val="hybridMultilevel"/>
    <w:tmpl w:val="0AD61022"/>
    <w:lvl w:ilvl="0" w:tplc="AA04E1F4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FE84A4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5295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D0F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CAD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0247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AC7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B8C0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E80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5C2369"/>
    <w:multiLevelType w:val="hybridMultilevel"/>
    <w:tmpl w:val="1F127292"/>
    <w:lvl w:ilvl="0" w:tplc="BAE0939C">
      <w:start w:val="1"/>
      <w:numFmt w:val="decimal"/>
      <w:lvlText w:val="%1."/>
      <w:lvlJc w:val="left"/>
      <w:pPr>
        <w:ind w:left="720" w:hanging="360"/>
      </w:pPr>
    </w:lvl>
    <w:lvl w:ilvl="1" w:tplc="538A5BF6">
      <w:start w:val="1"/>
      <w:numFmt w:val="lowerLetter"/>
      <w:lvlText w:val="%2."/>
      <w:lvlJc w:val="left"/>
      <w:pPr>
        <w:ind w:left="1440" w:hanging="360"/>
      </w:pPr>
    </w:lvl>
    <w:lvl w:ilvl="2" w:tplc="6AFCA3B0">
      <w:start w:val="1"/>
      <w:numFmt w:val="lowerRoman"/>
      <w:lvlText w:val="%3."/>
      <w:lvlJc w:val="right"/>
      <w:pPr>
        <w:ind w:left="2160" w:hanging="180"/>
      </w:pPr>
    </w:lvl>
    <w:lvl w:ilvl="3" w:tplc="11FAF3B2">
      <w:start w:val="1"/>
      <w:numFmt w:val="decimal"/>
      <w:lvlText w:val="%4."/>
      <w:lvlJc w:val="left"/>
      <w:pPr>
        <w:ind w:left="2880" w:hanging="360"/>
      </w:pPr>
    </w:lvl>
    <w:lvl w:ilvl="4" w:tplc="9AF2A62E">
      <w:start w:val="1"/>
      <w:numFmt w:val="lowerLetter"/>
      <w:lvlText w:val="%5."/>
      <w:lvlJc w:val="left"/>
      <w:pPr>
        <w:ind w:left="3600" w:hanging="360"/>
      </w:pPr>
    </w:lvl>
    <w:lvl w:ilvl="5" w:tplc="C3BC8898">
      <w:start w:val="1"/>
      <w:numFmt w:val="lowerRoman"/>
      <w:lvlText w:val="%6."/>
      <w:lvlJc w:val="right"/>
      <w:pPr>
        <w:ind w:left="4320" w:hanging="180"/>
      </w:pPr>
    </w:lvl>
    <w:lvl w:ilvl="6" w:tplc="A470E1AE">
      <w:start w:val="1"/>
      <w:numFmt w:val="decimal"/>
      <w:lvlText w:val="%7."/>
      <w:lvlJc w:val="left"/>
      <w:pPr>
        <w:ind w:left="5040" w:hanging="360"/>
      </w:pPr>
    </w:lvl>
    <w:lvl w:ilvl="7" w:tplc="717ADFE8">
      <w:start w:val="1"/>
      <w:numFmt w:val="lowerLetter"/>
      <w:lvlText w:val="%8."/>
      <w:lvlJc w:val="left"/>
      <w:pPr>
        <w:ind w:left="5760" w:hanging="360"/>
      </w:pPr>
    </w:lvl>
    <w:lvl w:ilvl="8" w:tplc="8C145D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37E5"/>
    <w:rsid w:val="0002785D"/>
    <w:rsid w:val="000322A8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191D"/>
    <w:rsid w:val="002337D9"/>
    <w:rsid w:val="00236D2A"/>
    <w:rsid w:val="00255F12"/>
    <w:rsid w:val="00262C09"/>
    <w:rsid w:val="00263815"/>
    <w:rsid w:val="00267215"/>
    <w:rsid w:val="00273871"/>
    <w:rsid w:val="0028017B"/>
    <w:rsid w:val="00286495"/>
    <w:rsid w:val="0029458B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C3A"/>
    <w:rsid w:val="003B1E8C"/>
    <w:rsid w:val="003C2508"/>
    <w:rsid w:val="003D0AA3"/>
    <w:rsid w:val="003D74E1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51A28"/>
    <w:rsid w:val="005622EB"/>
    <w:rsid w:val="00566BEE"/>
    <w:rsid w:val="0058350F"/>
    <w:rsid w:val="00590D5C"/>
    <w:rsid w:val="005A374D"/>
    <w:rsid w:val="005B1C0B"/>
    <w:rsid w:val="005C475F"/>
    <w:rsid w:val="005D450C"/>
    <w:rsid w:val="005E782D"/>
    <w:rsid w:val="005F2605"/>
    <w:rsid w:val="00626F28"/>
    <w:rsid w:val="00662039"/>
    <w:rsid w:val="00662BA0"/>
    <w:rsid w:val="00681766"/>
    <w:rsid w:val="00685C12"/>
    <w:rsid w:val="00691293"/>
    <w:rsid w:val="00692AAE"/>
    <w:rsid w:val="006B0F54"/>
    <w:rsid w:val="006C3BB2"/>
    <w:rsid w:val="006D6E67"/>
    <w:rsid w:val="006E0078"/>
    <w:rsid w:val="006E1A13"/>
    <w:rsid w:val="006E76B9"/>
    <w:rsid w:val="00701C20"/>
    <w:rsid w:val="0070245E"/>
    <w:rsid w:val="00702F3D"/>
    <w:rsid w:val="0070518E"/>
    <w:rsid w:val="007252AE"/>
    <w:rsid w:val="00734034"/>
    <w:rsid w:val="007354E9"/>
    <w:rsid w:val="0076423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E35DA"/>
    <w:rsid w:val="008E4453"/>
    <w:rsid w:val="008E5B89"/>
    <w:rsid w:val="0090121B"/>
    <w:rsid w:val="009144C9"/>
    <w:rsid w:val="00916196"/>
    <w:rsid w:val="0094091F"/>
    <w:rsid w:val="00943296"/>
    <w:rsid w:val="00967481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5E6C"/>
    <w:rsid w:val="00AB4E90"/>
    <w:rsid w:val="00AD77B5"/>
    <w:rsid w:val="00AE5677"/>
    <w:rsid w:val="00AE658F"/>
    <w:rsid w:val="00AF2F78"/>
    <w:rsid w:val="00B07178"/>
    <w:rsid w:val="00B1727C"/>
    <w:rsid w:val="00B173B3"/>
    <w:rsid w:val="00B238A5"/>
    <w:rsid w:val="00B257B2"/>
    <w:rsid w:val="00B51263"/>
    <w:rsid w:val="00B52D55"/>
    <w:rsid w:val="00B61807"/>
    <w:rsid w:val="00B627DD"/>
    <w:rsid w:val="00B66477"/>
    <w:rsid w:val="00B75455"/>
    <w:rsid w:val="00B8288C"/>
    <w:rsid w:val="00B96471"/>
    <w:rsid w:val="00BD5FE4"/>
    <w:rsid w:val="00BE2E80"/>
    <w:rsid w:val="00BE5EDD"/>
    <w:rsid w:val="00BE6A1F"/>
    <w:rsid w:val="00C004E1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151A9"/>
    <w:rsid w:val="00D32E2B"/>
    <w:rsid w:val="00D56781"/>
    <w:rsid w:val="00D72A5D"/>
    <w:rsid w:val="00D87EC9"/>
    <w:rsid w:val="00DC629B"/>
    <w:rsid w:val="00E05BFF"/>
    <w:rsid w:val="00E11803"/>
    <w:rsid w:val="00E14FAE"/>
    <w:rsid w:val="00E21778"/>
    <w:rsid w:val="00E262F1"/>
    <w:rsid w:val="00E32BEE"/>
    <w:rsid w:val="00E46202"/>
    <w:rsid w:val="00E47B44"/>
    <w:rsid w:val="00E71D14"/>
    <w:rsid w:val="00E8097C"/>
    <w:rsid w:val="00E83D45"/>
    <w:rsid w:val="00E91D30"/>
    <w:rsid w:val="00E94A4A"/>
    <w:rsid w:val="00E96984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B74"/>
    <w:rsid w:val="00FD5C8C"/>
    <w:rsid w:val="00FE161E"/>
    <w:rsid w:val="00FE20EC"/>
    <w:rsid w:val="00FE4574"/>
    <w:rsid w:val="00FF0475"/>
    <w:rsid w:val="00FF4088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B84D4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68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C12"/>
    <w:rPr>
      <w:color w:val="605E5C"/>
      <w:shd w:val="clear" w:color="auto" w:fill="E1DFDD"/>
    </w:rPr>
  </w:style>
  <w:style w:type="paragraph" w:styleId="ListParagraph">
    <w:name w:val="List Paragraph"/>
    <w:aliases w:val="Bullet 1,Bullet List,Bulletr List Paragraph,FooterText,List Paragraph (numbered (a)),List Paragraph 1,List Paragraph1,NUMBERED PARAGRAPH,Paragraphe de liste1,References,ReferencesCxSpLast,Use Case List Paragraph,lp1,numbered"/>
    <w:basedOn w:val="Normal"/>
    <w:link w:val="ListParagraphChar"/>
    <w:uiPriority w:val="34"/>
    <w:qFormat/>
    <w:rsid w:val="00685C1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Bullet 1 Char,Bullet List Char,Bulletr List Paragraph Char,FooterText Char,List Paragraph (numbered (a)) Char,List Paragraph 1 Char,List Paragraph1 Char,NUMBERED PARAGRAPH Char,Paragraphe de liste1 Char,References Char,lp1 Char"/>
    <w:link w:val="ListParagraph"/>
    <w:uiPriority w:val="34"/>
    <w:qFormat/>
    <w:rsid w:val="00685C12"/>
    <w:rPr>
      <w:rFonts w:ascii="Times New Roman" w:hAnsi="Times New Roman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685C12"/>
    <w:pPr>
      <w:tabs>
        <w:tab w:val="clear" w:pos="1134"/>
        <w:tab w:val="clear" w:pos="1871"/>
        <w:tab w:val="clear" w:pos="2268"/>
      </w:tabs>
      <w:spacing w:before="0"/>
      <w:jc w:val="center"/>
    </w:pPr>
    <w:rPr>
      <w:rFonts w:eastAsia="SimSun"/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685C12"/>
    <w:rPr>
      <w:rFonts w:ascii="Times New Roman" w:eastAsia="SimSun" w:hAnsi="Times New Roman"/>
      <w:b/>
      <w:sz w:val="32"/>
      <w:lang w:eastAsia="en-US"/>
    </w:rPr>
  </w:style>
  <w:style w:type="character" w:styleId="FollowedHyperlink">
    <w:name w:val="FollowedHyperlink"/>
    <w:basedOn w:val="DefaultParagraphFont"/>
    <w:semiHidden/>
    <w:unhideWhenUsed/>
    <w:rsid w:val="00685C12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85C1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T13-WTSA.16-C-0035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3-WTSA.16-C-0035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16/Documents/WTSA-Action-Plan/WTSA-ActionPlan-201609.zip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s://www.itu.int/es/ITU-T/wtsa16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WTSA.20-C-0028/es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_Euchner\_ITU-T\WTSA\WTSA2016\Action%20plan\WTSA20\C-0034%20attach2_Action_pl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1"/>
          <c:order val="0"/>
          <c:explosion val="21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C0-41B7-BE4D-656ADDF9B61F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C0-41B7-BE4D-656ADDF9B61F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DC0-41B7-BE4D-656ADDF9B61F}"/>
              </c:ext>
            </c:extLst>
          </c:dPt>
          <c:dPt>
            <c:idx val="3"/>
            <c:bubble3D val="0"/>
            <c:spPr>
              <a:solidFill>
                <a:srgbClr val="FF6699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srgbClr val="FF6699">
                    <a:alpha val="20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DC0-41B7-BE4D-656ADDF9B6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'Detailed Action Plan'!$B$3:$B$6</c:f>
              <c:numCache>
                <c:formatCode>0%</c:formatCode>
                <c:ptCount val="4"/>
                <c:pt idx="0">
                  <c:v>0.10344827586206896</c:v>
                </c:pt>
                <c:pt idx="1">
                  <c:v>0.87798408488063662</c:v>
                </c:pt>
                <c:pt idx="2">
                  <c:v>1.8567639257294429E-2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C0-41B7-BE4D-656ADDF9B6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B8AC1B69E54225A7F8EE75B927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53643-B082-45B2-8BD4-CD33AA04924E}"/>
      </w:docPartPr>
      <w:docPartBody>
        <w:p w:rsidR="00B1544E" w:rsidRDefault="00E61A9D" w:rsidP="00E61A9D">
          <w:pPr>
            <w:pStyle w:val="37B8AC1B69E54225A7F8EE75B927742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9D"/>
    <w:rsid w:val="00B1544E"/>
    <w:rsid w:val="00E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61A9D"/>
    <w:rPr>
      <w:color w:val="808080"/>
    </w:rPr>
  </w:style>
  <w:style w:type="paragraph" w:customStyle="1" w:styleId="37B8AC1B69E54225A7F8EE75B9277426">
    <w:name w:val="37B8AC1B69E54225A7F8EE75B9277426"/>
    <w:rsid w:val="00E61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1232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8007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SPANISH</cp:lastModifiedBy>
  <cp:revision>6</cp:revision>
  <cp:lastPrinted>2022-01-26T15:34:00Z</cp:lastPrinted>
  <dcterms:created xsi:type="dcterms:W3CDTF">2022-01-26T15:05:00Z</dcterms:created>
  <dcterms:modified xsi:type="dcterms:W3CDTF">2022-01-26T15:58:00Z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