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352"/>
        <w:gridCol w:w="2972"/>
      </w:tblGrid>
      <w:tr w:rsidR="00280E04" w14:paraId="61133FC0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23F487EC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770F3070" w14:textId="2A4C2EBE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-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1CC23260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69D0A1B" wp14:editId="119975B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D9F4BBC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3A818F67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1767366A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91C4FAC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1329533A" w14:textId="77777777" w:rsidR="00280E04" w:rsidRPr="00BD6EF3" w:rsidRDefault="00280E04" w:rsidP="00FE29AF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336A8926" w14:textId="77777777" w:rsidR="00280E04" w:rsidRPr="00BD6EF3" w:rsidRDefault="00280E04" w:rsidP="00FE29AF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D538E" w14:paraId="7BDAA42F" w14:textId="77777777" w:rsidTr="00F779DA">
        <w:trPr>
          <w:cantSplit/>
        </w:trPr>
        <w:tc>
          <w:tcPr>
            <w:tcW w:w="6700" w:type="dxa"/>
            <w:gridSpan w:val="2"/>
          </w:tcPr>
          <w:p w14:paraId="6E293D4B" w14:textId="5757194A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3F214ED9" w14:textId="72C7B9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FE29AF">
              <w:t>30</w:t>
            </w:r>
            <w:r w:rsidRPr="00827B38">
              <w:t>-A</w:t>
            </w:r>
          </w:p>
        </w:tc>
      </w:tr>
      <w:tr w:rsidR="00AD538E" w14:paraId="42CDF618" w14:textId="77777777" w:rsidTr="00F779DA">
        <w:trPr>
          <w:cantSplit/>
        </w:trPr>
        <w:tc>
          <w:tcPr>
            <w:tcW w:w="6700" w:type="dxa"/>
            <w:gridSpan w:val="2"/>
          </w:tcPr>
          <w:p w14:paraId="0DD9989C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6FC0641F" w14:textId="23D6114D" w:rsidR="00AD538E" w:rsidRPr="0012545F" w:rsidRDefault="00FE29AF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28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يناير </w:t>
            </w:r>
            <w:r w:rsidR="00AD538E" w:rsidRPr="00827B38">
              <w:t>2021</w:t>
            </w:r>
          </w:p>
        </w:tc>
      </w:tr>
      <w:tr w:rsidR="00AD538E" w14:paraId="084FCDBC" w14:textId="77777777" w:rsidTr="00F779DA">
        <w:trPr>
          <w:cantSplit/>
        </w:trPr>
        <w:tc>
          <w:tcPr>
            <w:tcW w:w="6700" w:type="dxa"/>
            <w:gridSpan w:val="2"/>
          </w:tcPr>
          <w:p w14:paraId="7266C1DE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6B2868F7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6EF8EBC5" w14:textId="77777777" w:rsidTr="004E2A5D">
        <w:trPr>
          <w:cantSplit/>
        </w:trPr>
        <w:tc>
          <w:tcPr>
            <w:tcW w:w="9672" w:type="dxa"/>
            <w:gridSpan w:val="3"/>
          </w:tcPr>
          <w:p w14:paraId="78945E77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044D36B3" w14:textId="77777777" w:rsidTr="004E2A5D">
        <w:trPr>
          <w:cantSplit/>
        </w:trPr>
        <w:tc>
          <w:tcPr>
            <w:tcW w:w="9672" w:type="dxa"/>
            <w:gridSpan w:val="3"/>
          </w:tcPr>
          <w:p w14:paraId="5E79DE2C" w14:textId="23B849FF" w:rsidR="005C3880" w:rsidRPr="00685DB9" w:rsidRDefault="00D35D0D" w:rsidP="00685DB9">
            <w:pPr>
              <w:pStyle w:val="Source"/>
              <w:rPr>
                <w:rtl/>
              </w:rPr>
            </w:pPr>
            <w:r w:rsidRPr="00685DB9">
              <w:rPr>
                <w:rFonts w:hint="cs"/>
                <w:rtl/>
              </w:rPr>
              <w:t>رئيسة</w:t>
            </w:r>
            <w:r w:rsidR="00415E92" w:rsidRPr="00685DB9">
              <w:rPr>
                <w:rFonts w:hint="cs"/>
                <w:rtl/>
              </w:rPr>
              <w:t xml:space="preserve"> لجنة التقييس المعنية بالمفردات</w:t>
            </w:r>
          </w:p>
        </w:tc>
      </w:tr>
      <w:tr w:rsidR="005C3880" w14:paraId="7FB2737E" w14:textId="77777777" w:rsidTr="004E2A5D">
        <w:trPr>
          <w:cantSplit/>
        </w:trPr>
        <w:tc>
          <w:tcPr>
            <w:tcW w:w="9672" w:type="dxa"/>
            <w:gridSpan w:val="3"/>
          </w:tcPr>
          <w:p w14:paraId="2138160B" w14:textId="49AB847C" w:rsidR="00503466" w:rsidRPr="009C6391" w:rsidRDefault="00FE29AF" w:rsidP="009C6391">
            <w:pPr>
              <w:pStyle w:val="Title1"/>
            </w:pPr>
            <w:r w:rsidRPr="00685DB9">
              <w:rPr>
                <w:rFonts w:hint="cs"/>
                <w:rtl/>
              </w:rPr>
              <w:t xml:space="preserve">تقرير </w:t>
            </w:r>
            <w:r w:rsidR="00415E92" w:rsidRPr="00685DB9">
              <w:rPr>
                <w:rFonts w:hint="cs"/>
                <w:rtl/>
              </w:rPr>
              <w:t xml:space="preserve">عن </w:t>
            </w:r>
            <w:r w:rsidRPr="00685DB9">
              <w:rPr>
                <w:rFonts w:hint="cs"/>
                <w:rtl/>
              </w:rPr>
              <w:t>أنشطة لجنة التقييس المعنية بالمفردات</w:t>
            </w:r>
            <w:r w:rsidR="00415E92" w:rsidRPr="00685DB9">
              <w:br/>
            </w:r>
            <w:r w:rsidR="00415E92" w:rsidRPr="00685DB9">
              <w:rPr>
                <w:rFonts w:hint="cs"/>
                <w:rtl/>
              </w:rPr>
              <w:t xml:space="preserve">خلال فترة الدراسة </w:t>
            </w:r>
            <w:r w:rsidR="00415E92" w:rsidRPr="00685DB9">
              <w:t>2021</w:t>
            </w:r>
            <w:r w:rsidR="00415E92" w:rsidRPr="00685DB9">
              <w:noBreakHyphen/>
              <w:t>2017</w:t>
            </w:r>
          </w:p>
        </w:tc>
      </w:tr>
      <w:tr w:rsidR="005C3880" w14:paraId="7E9542FB" w14:textId="77777777" w:rsidTr="004E2A5D">
        <w:trPr>
          <w:cantSplit/>
        </w:trPr>
        <w:tc>
          <w:tcPr>
            <w:tcW w:w="9672" w:type="dxa"/>
            <w:gridSpan w:val="3"/>
          </w:tcPr>
          <w:p w14:paraId="7C059E42" w14:textId="63A760B1" w:rsidR="005C3880" w:rsidRPr="00BD6EF3" w:rsidRDefault="005C3880" w:rsidP="00653585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  <w:tr w:rsidR="005C3880" w14:paraId="54BCEB6F" w14:textId="77777777" w:rsidTr="00FC7FD8">
        <w:trPr>
          <w:cantSplit/>
        </w:trPr>
        <w:tc>
          <w:tcPr>
            <w:tcW w:w="9672" w:type="dxa"/>
            <w:gridSpan w:val="3"/>
          </w:tcPr>
          <w:p w14:paraId="3F37A4E0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2CE37A38" w14:textId="77777777" w:rsidTr="00FC7FD8">
        <w:trPr>
          <w:cantSplit/>
        </w:trPr>
        <w:tc>
          <w:tcPr>
            <w:tcW w:w="1348" w:type="dxa"/>
          </w:tcPr>
          <w:p w14:paraId="6EA0D4CB" w14:textId="77777777" w:rsidR="005C3880" w:rsidRPr="00AD538E" w:rsidRDefault="005C3880" w:rsidP="00AD538E">
            <w:pPr>
              <w:spacing w:after="120" w:line="300" w:lineRule="exact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B1056ED" w14:textId="46CF5A8E" w:rsidR="00503466" w:rsidRPr="004C3DB7" w:rsidRDefault="00415E92" w:rsidP="004C3DB7">
            <w:pPr>
              <w:spacing w:after="120" w:line="300" w:lineRule="exact"/>
              <w:rPr>
                <w:spacing w:val="-4"/>
                <w:rtl/>
              </w:rPr>
            </w:pPr>
            <w:r w:rsidRPr="004C3DB7">
              <w:rPr>
                <w:rFonts w:hint="cs"/>
                <w:spacing w:val="-4"/>
                <w:rtl/>
              </w:rPr>
              <w:t xml:space="preserve">تقدم هذه الوثيقة </w:t>
            </w:r>
            <w:r w:rsidRPr="004C3DB7">
              <w:rPr>
                <w:rFonts w:hint="cs"/>
                <w:spacing w:val="-4"/>
                <w:rtl/>
                <w:lang w:bidi="ar-EG"/>
              </w:rPr>
              <w:t xml:space="preserve">ملخصاً عن أنشطة لجنة التقييس المعنية بالمفردات </w:t>
            </w:r>
            <w:r w:rsidR="00685DB9">
              <w:rPr>
                <w:spacing w:val="-4"/>
                <w:lang w:val="en-GB" w:bidi="ar-EG"/>
              </w:rPr>
              <w:t>(</w:t>
            </w:r>
            <w:r w:rsidRPr="004C3DB7">
              <w:rPr>
                <w:spacing w:val="-4"/>
                <w:lang w:val="en-GB" w:bidi="ar-EG"/>
              </w:rPr>
              <w:t>SCV</w:t>
            </w:r>
            <w:r w:rsidR="00685DB9">
              <w:rPr>
                <w:spacing w:val="-4"/>
                <w:lang w:val="en-GB" w:bidi="ar-EG"/>
              </w:rPr>
              <w:t>)</w:t>
            </w:r>
            <w:r w:rsidRPr="004C3DB7">
              <w:rPr>
                <w:rFonts w:hint="cs"/>
                <w:spacing w:val="-4"/>
                <w:rtl/>
                <w:lang w:bidi="ar-EG"/>
              </w:rPr>
              <w:t xml:space="preserve"> خلال فترة الدراسة </w:t>
            </w:r>
            <w:r w:rsidRPr="004C3DB7">
              <w:rPr>
                <w:spacing w:val="-4"/>
                <w:lang w:val="en-GB" w:bidi="ar-EG"/>
              </w:rPr>
              <w:t>2021</w:t>
            </w:r>
            <w:r w:rsidRPr="004C3DB7">
              <w:rPr>
                <w:spacing w:val="-4"/>
                <w:lang w:val="en-GB" w:bidi="ar-EG"/>
              </w:rPr>
              <w:noBreakHyphen/>
              <w:t>2017</w:t>
            </w:r>
            <w:r w:rsidR="0071132C" w:rsidRPr="004C3DB7">
              <w:rPr>
                <w:rFonts w:hint="cs"/>
                <w:spacing w:val="-4"/>
                <w:rtl/>
              </w:rPr>
              <w:t>.</w:t>
            </w:r>
          </w:p>
        </w:tc>
      </w:tr>
    </w:tbl>
    <w:p w14:paraId="04B2E54D" w14:textId="139A04E9" w:rsidR="00FC7FD8" w:rsidRDefault="00FE29AF" w:rsidP="00FE29AF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16BB151F" w14:textId="744F5071" w:rsidR="00FE29AF" w:rsidRPr="007E1031" w:rsidRDefault="008C6390" w:rsidP="00920628">
      <w:pPr>
        <w:rPr>
          <w:spacing w:val="-2"/>
          <w:rtl/>
          <w:lang w:bidi="ar-EG"/>
        </w:rPr>
      </w:pPr>
      <w:r w:rsidRPr="007E1031">
        <w:rPr>
          <w:rFonts w:hint="cs"/>
          <w:spacing w:val="-2"/>
          <w:rtl/>
        </w:rPr>
        <w:t>أُنشئت</w:t>
      </w:r>
      <w:r w:rsidR="00920628" w:rsidRPr="007E1031">
        <w:rPr>
          <w:rFonts w:hint="cs"/>
          <w:spacing w:val="-2"/>
          <w:rtl/>
        </w:rPr>
        <w:t xml:space="preserve"> لجنة التقييس المعنية بالمفردات </w:t>
      </w:r>
      <w:r w:rsidR="00920628" w:rsidRPr="007E1031">
        <w:rPr>
          <w:spacing w:val="-2"/>
          <w:lang w:bidi="ar-EG"/>
        </w:rPr>
        <w:t>(SCV)</w:t>
      </w:r>
      <w:r w:rsidR="00920628" w:rsidRPr="007E1031">
        <w:rPr>
          <w:rFonts w:hint="cs"/>
          <w:spacing w:val="-2"/>
          <w:rtl/>
          <w:lang w:bidi="ar-EG"/>
        </w:rPr>
        <w:t xml:space="preserve"> بموجب</w:t>
      </w:r>
      <w:r w:rsidR="00920628" w:rsidRPr="007E1031">
        <w:rPr>
          <w:rFonts w:hint="cs"/>
          <w:spacing w:val="-2"/>
          <w:rtl/>
        </w:rPr>
        <w:t xml:space="preserve"> </w:t>
      </w:r>
      <w:hyperlink r:id="rId13" w:history="1">
        <w:r w:rsidR="00920628" w:rsidRPr="007E1031">
          <w:rPr>
            <w:rStyle w:val="Hyperlink"/>
            <w:rFonts w:hint="cs"/>
            <w:spacing w:val="-2"/>
            <w:rtl/>
          </w:rPr>
          <w:t xml:space="preserve">القرار </w:t>
        </w:r>
        <w:r w:rsidR="00920628" w:rsidRPr="007E1031">
          <w:rPr>
            <w:rStyle w:val="Hyperlink"/>
            <w:spacing w:val="-2"/>
            <w:lang w:bidi="ar-EG"/>
          </w:rPr>
          <w:t>67</w:t>
        </w:r>
        <w:r w:rsidR="00920628" w:rsidRPr="007E1031">
          <w:rPr>
            <w:rStyle w:val="Hyperlink"/>
            <w:rFonts w:hint="cs"/>
            <w:spacing w:val="-2"/>
            <w:rtl/>
          </w:rPr>
          <w:t xml:space="preserve"> </w:t>
        </w:r>
        <w:r w:rsidR="00920628" w:rsidRPr="007E1031">
          <w:rPr>
            <w:rStyle w:val="Hyperlink"/>
            <w:spacing w:val="-2"/>
            <w:rtl/>
          </w:rPr>
          <w:t>للجمعية العالمية لتقييس الاتصالات</w:t>
        </w:r>
      </w:hyperlink>
      <w:r w:rsidR="00920628" w:rsidRPr="007E1031">
        <w:rPr>
          <w:rFonts w:hint="cs"/>
          <w:spacing w:val="-2"/>
          <w:rtl/>
        </w:rPr>
        <w:t xml:space="preserve"> </w:t>
      </w:r>
      <w:r w:rsidR="00920628" w:rsidRPr="007E1031">
        <w:rPr>
          <w:spacing w:val="-2"/>
          <w:rtl/>
        </w:rPr>
        <w:t>(جوهانسبرغ،</w:t>
      </w:r>
      <w:r w:rsidR="00920628" w:rsidRPr="007E1031">
        <w:rPr>
          <w:rFonts w:hint="cs"/>
          <w:spacing w:val="-2"/>
          <w:rtl/>
        </w:rPr>
        <w:t> </w:t>
      </w:r>
      <w:r w:rsidR="00920628" w:rsidRPr="007E1031">
        <w:rPr>
          <w:spacing w:val="-2"/>
          <w:lang w:bidi="ar-EG"/>
        </w:rPr>
        <w:t>2008</w:t>
      </w:r>
      <w:r w:rsidR="00920628" w:rsidRPr="007E1031">
        <w:rPr>
          <w:spacing w:val="-2"/>
          <w:rtl/>
        </w:rPr>
        <w:t xml:space="preserve">) </w:t>
      </w:r>
      <w:r w:rsidR="00920628" w:rsidRPr="007E1031">
        <w:rPr>
          <w:rFonts w:hint="cs"/>
          <w:spacing w:val="-2"/>
          <w:rtl/>
        </w:rPr>
        <w:t>وعُهد إليها بمسؤولية ضمان أن تستند أعمال التقييس المتعلقة بالمفردات داخل قطاع تقييس الاتصالات إلى المقترحات المقدمة من لجان الدراسات باللغة الإنكليزية.</w:t>
      </w:r>
      <w:r w:rsidR="00FE29AF" w:rsidRPr="007E1031">
        <w:rPr>
          <w:rFonts w:hint="cs"/>
          <w:spacing w:val="-2"/>
          <w:rtl/>
        </w:rPr>
        <w:t xml:space="preserve"> </w:t>
      </w:r>
      <w:r w:rsidR="00065186" w:rsidRPr="007E1031">
        <w:rPr>
          <w:rFonts w:hint="cs"/>
          <w:spacing w:val="-2"/>
          <w:rtl/>
        </w:rPr>
        <w:t xml:space="preserve">ونص </w:t>
      </w:r>
      <w:hyperlink r:id="rId14" w:history="1">
        <w:r w:rsidR="00415E92" w:rsidRPr="007E1031">
          <w:rPr>
            <w:rStyle w:val="Hyperlink"/>
            <w:rFonts w:hint="cs"/>
            <w:spacing w:val="-2"/>
            <w:rtl/>
          </w:rPr>
          <w:t xml:space="preserve">القرار </w:t>
        </w:r>
        <w:r w:rsidR="00415E92" w:rsidRPr="007E1031">
          <w:rPr>
            <w:rStyle w:val="Hyperlink"/>
            <w:spacing w:val="-2"/>
            <w:lang w:val="en-GB"/>
          </w:rPr>
          <w:t>67</w:t>
        </w:r>
      </w:hyperlink>
      <w:r w:rsidR="00415E92" w:rsidRPr="007E1031">
        <w:rPr>
          <w:rFonts w:hint="cs"/>
          <w:spacing w:val="-2"/>
          <w:rtl/>
          <w:lang w:bidi="ar-EG"/>
        </w:rPr>
        <w:t xml:space="preserve"> (المراجَع في الحمامات، </w:t>
      </w:r>
      <w:r w:rsidR="00415E92" w:rsidRPr="007E1031">
        <w:rPr>
          <w:spacing w:val="-2"/>
          <w:lang w:bidi="ar-EG"/>
        </w:rPr>
        <w:t>2016</w:t>
      </w:r>
      <w:r w:rsidR="00415E92" w:rsidRPr="007E1031">
        <w:rPr>
          <w:rFonts w:hint="cs"/>
          <w:spacing w:val="-2"/>
          <w:rtl/>
          <w:lang w:bidi="ar-EG"/>
        </w:rPr>
        <w:t xml:space="preserve">) للجمعية العالمية لتقييس الاتصالات </w:t>
      </w:r>
      <w:r w:rsidR="00065186" w:rsidRPr="007E1031">
        <w:rPr>
          <w:rFonts w:hint="cs"/>
          <w:spacing w:val="-2"/>
          <w:rtl/>
          <w:lang w:bidi="ar-EG"/>
        </w:rPr>
        <w:t xml:space="preserve">على استمرار </w:t>
      </w:r>
      <w:r w:rsidR="00503466" w:rsidRPr="007E1031">
        <w:rPr>
          <w:rFonts w:hint="eastAsia"/>
          <w:spacing w:val="-2"/>
          <w:rtl/>
        </w:rPr>
        <w:t>لجنة</w:t>
      </w:r>
      <w:r w:rsidR="00503466" w:rsidRPr="007E1031">
        <w:rPr>
          <w:rFonts w:hint="cs"/>
          <w:spacing w:val="-2"/>
          <w:rtl/>
        </w:rPr>
        <w:t xml:space="preserve"> التقييس المعنية بالمفردات، وزاد التشديد على الت</w:t>
      </w:r>
      <w:r w:rsidR="001222F4" w:rsidRPr="007E1031">
        <w:rPr>
          <w:rFonts w:hint="cs"/>
          <w:spacing w:val="-2"/>
          <w:rtl/>
        </w:rPr>
        <w:t xml:space="preserve">عاون بين لجنة </w:t>
      </w:r>
      <w:r w:rsidR="00752AC1" w:rsidRPr="007E1031">
        <w:rPr>
          <w:rFonts w:hint="eastAsia"/>
          <w:spacing w:val="-2"/>
          <w:rtl/>
        </w:rPr>
        <w:t>التقييس</w:t>
      </w:r>
      <w:r w:rsidR="00752AC1" w:rsidRPr="007E1031">
        <w:rPr>
          <w:spacing w:val="-2"/>
          <w:rtl/>
        </w:rPr>
        <w:t xml:space="preserve"> </w:t>
      </w:r>
      <w:r w:rsidR="00752AC1" w:rsidRPr="007E1031">
        <w:rPr>
          <w:rFonts w:hint="eastAsia"/>
          <w:spacing w:val="-2"/>
          <w:rtl/>
        </w:rPr>
        <w:t>المعنية</w:t>
      </w:r>
      <w:r w:rsidR="00752AC1" w:rsidRPr="007E1031">
        <w:rPr>
          <w:spacing w:val="-2"/>
          <w:rtl/>
        </w:rPr>
        <w:t xml:space="preserve"> </w:t>
      </w:r>
      <w:r w:rsidR="00752AC1" w:rsidRPr="007E1031">
        <w:rPr>
          <w:rFonts w:hint="eastAsia"/>
          <w:spacing w:val="-2"/>
          <w:rtl/>
        </w:rPr>
        <w:t>ب</w:t>
      </w:r>
      <w:r w:rsidR="001222F4" w:rsidRPr="007E1031">
        <w:rPr>
          <w:rFonts w:hint="eastAsia"/>
          <w:spacing w:val="-2"/>
          <w:rtl/>
        </w:rPr>
        <w:t>المفردات</w:t>
      </w:r>
      <w:r w:rsidR="001222F4" w:rsidRPr="007E1031">
        <w:rPr>
          <w:rFonts w:hint="cs"/>
          <w:spacing w:val="-2"/>
          <w:rtl/>
        </w:rPr>
        <w:t xml:space="preserve"> ولجنة</w:t>
      </w:r>
      <w:r w:rsidR="001222F4" w:rsidRPr="007E1031">
        <w:rPr>
          <w:spacing w:val="-2"/>
          <w:rtl/>
        </w:rPr>
        <w:t xml:space="preserve"> تنسيق المفردات (</w:t>
      </w:r>
      <w:r w:rsidR="001222F4" w:rsidRPr="007E1031">
        <w:rPr>
          <w:spacing w:val="-2"/>
        </w:rPr>
        <w:t>CCV</w:t>
      </w:r>
      <w:r w:rsidR="001222F4" w:rsidRPr="007E1031">
        <w:rPr>
          <w:spacing w:val="-2"/>
          <w:rtl/>
        </w:rPr>
        <w:t>) التابعة لقطاع الاتصالات الراديوية</w:t>
      </w:r>
      <w:r w:rsidR="001222F4" w:rsidRPr="007E1031">
        <w:rPr>
          <w:rFonts w:hint="cs"/>
          <w:spacing w:val="-2"/>
          <w:rtl/>
        </w:rPr>
        <w:t xml:space="preserve">، وعلى </w:t>
      </w:r>
      <w:r w:rsidR="001222F4" w:rsidRPr="007E1031">
        <w:rPr>
          <w:spacing w:val="-2"/>
          <w:rtl/>
        </w:rPr>
        <w:t>ترجمة التوصيات المعتمدة من خلال عملية الموافقة البديلة</w:t>
      </w:r>
      <w:r w:rsidR="001222F4" w:rsidRPr="007E1031">
        <w:rPr>
          <w:rFonts w:hint="cs"/>
          <w:spacing w:val="-2"/>
          <w:rtl/>
        </w:rPr>
        <w:t>.</w:t>
      </w:r>
    </w:p>
    <w:p w14:paraId="5E137D5C" w14:textId="0749BB43" w:rsidR="002F3E46" w:rsidRPr="009C6391" w:rsidRDefault="00FE29AF" w:rsidP="00523D37">
      <w:pPr>
        <w:rPr>
          <w:rtl/>
          <w:lang w:bidi="ar-EG"/>
        </w:rPr>
      </w:pPr>
      <w:r w:rsidRPr="009C6391">
        <w:rPr>
          <w:rFonts w:hint="cs"/>
          <w:rtl/>
        </w:rPr>
        <w:t xml:space="preserve">تتكون لجنة التقييس المعنية بالمفردات من خبراء في مختلف اللغات الرسمية وأعضاء تعينهم الإدارات المهتمة بالأمر ومشاركين آخرين في عمل قطاع </w:t>
      </w:r>
      <w:r w:rsidRPr="009C6391">
        <w:rPr>
          <w:rFonts w:hint="cs"/>
          <w:rtl/>
          <w:lang w:bidi="ar-EG"/>
        </w:rPr>
        <w:t xml:space="preserve">تقييس </w:t>
      </w:r>
      <w:r w:rsidRPr="009C6391">
        <w:rPr>
          <w:rFonts w:hint="cs"/>
          <w:rtl/>
        </w:rPr>
        <w:t>الاتصالات، علاوة</w:t>
      </w:r>
      <w:r w:rsidR="00437ECF" w:rsidRPr="009C6391">
        <w:rPr>
          <w:rFonts w:hint="cs"/>
          <w:rtl/>
        </w:rPr>
        <w:t>ً</w:t>
      </w:r>
      <w:r w:rsidRPr="009C6391">
        <w:rPr>
          <w:rFonts w:hint="cs"/>
          <w:rtl/>
        </w:rPr>
        <w:t xml:space="preserve"> على مقرري المفردات التابعين للجان دراسات قطاع تقييس الاتصالات</w:t>
      </w:r>
      <w:r w:rsidR="00580288" w:rsidRPr="009C6391">
        <w:rPr>
          <w:rFonts w:hint="cs"/>
          <w:rtl/>
        </w:rPr>
        <w:t>،</w:t>
      </w:r>
      <w:r w:rsidRPr="009C6391">
        <w:rPr>
          <w:rFonts w:hint="cs"/>
          <w:rtl/>
        </w:rPr>
        <w:t xml:space="preserve"> </w:t>
      </w:r>
      <w:r w:rsidR="00580288" w:rsidRPr="009C6391">
        <w:rPr>
          <w:rFonts w:hint="cs"/>
          <w:rtl/>
        </w:rPr>
        <w:t>إضافةً</w:t>
      </w:r>
      <w:r w:rsidRPr="009C6391">
        <w:rPr>
          <w:rFonts w:hint="cs"/>
          <w:rtl/>
        </w:rPr>
        <w:t xml:space="preserve"> إلى موظفي الاتحاد </w:t>
      </w:r>
      <w:r w:rsidR="00752AC1" w:rsidRPr="009C6391">
        <w:rPr>
          <w:rFonts w:hint="cs"/>
          <w:rtl/>
        </w:rPr>
        <w:t>المعنيين</w:t>
      </w:r>
      <w:r w:rsidRPr="009C6391">
        <w:rPr>
          <w:rFonts w:hint="cs"/>
          <w:rtl/>
        </w:rPr>
        <w:t xml:space="preserve">. وتقدم هذه الوثيقة تقريراً عن الأنشطة ذات الصلة في فترة </w:t>
      </w:r>
      <w:r w:rsidR="00415E92" w:rsidRPr="009C6391">
        <w:rPr>
          <w:rFonts w:hint="cs"/>
          <w:rtl/>
        </w:rPr>
        <w:t>الدراسة</w:t>
      </w:r>
      <w:r w:rsidR="00415E92" w:rsidRPr="009C6391">
        <w:rPr>
          <w:rFonts w:hint="eastAsia"/>
          <w:rtl/>
        </w:rPr>
        <w:t> </w:t>
      </w:r>
      <w:r w:rsidRPr="009C6391">
        <w:t>2021</w:t>
      </w:r>
      <w:r w:rsidRPr="009C6391">
        <w:noBreakHyphen/>
        <w:t>2017</w:t>
      </w:r>
      <w:r w:rsidR="00415E92" w:rsidRPr="009C6391">
        <w:rPr>
          <w:rFonts w:hint="cs"/>
          <w:rtl/>
          <w:lang w:bidi="ar-EG"/>
        </w:rPr>
        <w:t>.</w:t>
      </w:r>
    </w:p>
    <w:p w14:paraId="4FD253C6" w14:textId="79468AD6" w:rsidR="00FE29AF" w:rsidRDefault="00FE29AF" w:rsidP="00415E92">
      <w:pPr>
        <w:pStyle w:val="Heading1"/>
        <w:spacing w:after="120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فريق الإدارة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2675"/>
        <w:gridCol w:w="2791"/>
      </w:tblGrid>
      <w:tr w:rsidR="00FE29AF" w:rsidRPr="00FE29AF" w14:paraId="1C9E8565" w14:textId="77777777" w:rsidTr="00FE29AF">
        <w:tc>
          <w:tcPr>
            <w:tcW w:w="4163" w:type="dxa"/>
            <w:shd w:val="clear" w:color="auto" w:fill="auto"/>
          </w:tcPr>
          <w:p w14:paraId="7FDBC445" w14:textId="7811047B" w:rsidR="00FE29AF" w:rsidRPr="00FE29AF" w:rsidRDefault="00415E92" w:rsidP="00FE29AF">
            <w:pPr>
              <w:pStyle w:val="Default"/>
              <w:bidi/>
              <w:spacing w:before="60" w:after="60" w:line="240" w:lineRule="exact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val="en-GB"/>
              </w:rPr>
              <w:t>السيدة ريم بلحاج (تونس)</w:t>
            </w:r>
            <w:r w:rsidR="00FE29AF" w:rsidRPr="00FE29AF">
              <w:rPr>
                <w:rFonts w:ascii="Dubai" w:hAnsi="Dubai" w:cs="Dubai"/>
                <w:sz w:val="20"/>
                <w:szCs w:val="20"/>
                <w:rtl/>
                <w:lang w:val="en-GB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14:paraId="2D057A69" w14:textId="3FE5CC8F" w:rsidR="00FE29AF" w:rsidRPr="00FE29AF" w:rsidRDefault="00FE29AF" w:rsidP="00FE29AF">
            <w:pPr>
              <w:pStyle w:val="Default"/>
              <w:bidi/>
              <w:spacing w:before="60" w:after="60" w:line="240" w:lineRule="exact"/>
              <w:rPr>
                <w:rFonts w:ascii="Dubai" w:hAnsi="Dubai" w:cs="Dubai"/>
                <w:sz w:val="20"/>
                <w:szCs w:val="20"/>
              </w:rPr>
            </w:pPr>
            <w:r w:rsidRPr="00415E92">
              <w:rPr>
                <w:rFonts w:ascii="Dubai" w:hAnsi="Dubai" w:cs="Dubai"/>
                <w:sz w:val="20"/>
                <w:szCs w:val="20"/>
                <w:rtl/>
              </w:rPr>
              <w:t>الرئيس</w:t>
            </w:r>
            <w:r w:rsidR="00415E92" w:rsidRPr="00415E92">
              <w:rPr>
                <w:rFonts w:ascii="Dubai" w:hAnsi="Dubai" w:cs="Dubai" w:hint="cs"/>
                <w:sz w:val="20"/>
                <w:szCs w:val="20"/>
                <w:rtl/>
              </w:rPr>
              <w:t>ة</w:t>
            </w:r>
          </w:p>
        </w:tc>
        <w:tc>
          <w:tcPr>
            <w:tcW w:w="2791" w:type="dxa"/>
            <w:shd w:val="clear" w:color="auto" w:fill="auto"/>
          </w:tcPr>
          <w:p w14:paraId="4635E4FD" w14:textId="562B88B8" w:rsidR="00FE29AF" w:rsidRPr="00FE29AF" w:rsidRDefault="00FE29AF" w:rsidP="00FE29AF">
            <w:pPr>
              <w:pStyle w:val="Default"/>
              <w:tabs>
                <w:tab w:val="center" w:pos="1243"/>
              </w:tabs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szCs w:val="20"/>
                <w:rtl/>
                <w:lang w:bidi="ar-EG"/>
              </w:rPr>
            </w:pPr>
            <w:r w:rsidRPr="00FE29AF">
              <w:rPr>
                <w:rFonts w:ascii="Dubai" w:hAnsi="Dubai" w:cs="Dubai"/>
                <w:sz w:val="20"/>
                <w:szCs w:val="20"/>
              </w:rPr>
              <w:t>2016</w:t>
            </w:r>
            <w:r w:rsidRPr="00FE29AF">
              <w:rPr>
                <w:rFonts w:ascii="Dubai" w:hAnsi="Dubai" w:cs="Dubai"/>
                <w:sz w:val="20"/>
                <w:szCs w:val="20"/>
                <w:rtl/>
                <w:lang w:bidi="ar-EG"/>
              </w:rPr>
              <w:t xml:space="preserve"> - حتى الآن</w:t>
            </w:r>
          </w:p>
        </w:tc>
      </w:tr>
      <w:tr w:rsidR="00FE29AF" w:rsidRPr="00FE29AF" w14:paraId="4CEE550B" w14:textId="77777777" w:rsidTr="00FE29AF">
        <w:tc>
          <w:tcPr>
            <w:tcW w:w="4163" w:type="dxa"/>
            <w:shd w:val="clear" w:color="auto" w:fill="auto"/>
          </w:tcPr>
          <w:p w14:paraId="0870321C" w14:textId="65AB07DF" w:rsidR="00FE29AF" w:rsidRPr="00FE29AF" w:rsidRDefault="00415E92" w:rsidP="00FE29AF">
            <w:pPr>
              <w:pStyle w:val="Default"/>
              <w:bidi/>
              <w:spacing w:before="60" w:after="60" w:line="240" w:lineRule="exact"/>
              <w:rPr>
                <w:rFonts w:ascii="Dubai" w:hAnsi="Dubai" w:cs="Dubai"/>
                <w:sz w:val="20"/>
                <w:szCs w:val="20"/>
                <w:lang w:val="en-GB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val="en-GB"/>
              </w:rPr>
              <w:t xml:space="preserve">السيد بول </w:t>
            </w:r>
            <w:proofErr w:type="spellStart"/>
            <w:r>
              <w:rPr>
                <w:rFonts w:ascii="Dubai" w:hAnsi="Dubai" w:cs="Dubai" w:hint="cs"/>
                <w:sz w:val="20"/>
                <w:szCs w:val="20"/>
                <w:rtl/>
                <w:lang w:val="en-GB"/>
              </w:rPr>
              <w:t>نجاريان</w:t>
            </w:r>
            <w:proofErr w:type="spellEnd"/>
            <w:r>
              <w:rPr>
                <w:rFonts w:ascii="Dubai" w:hAnsi="Dubai" w:cs="Dubai" w:hint="cs"/>
                <w:sz w:val="20"/>
                <w:szCs w:val="20"/>
                <w:rtl/>
                <w:lang w:val="en-GB"/>
              </w:rPr>
              <w:t xml:space="preserve"> (الولايات المتحدة الأمريكية)</w:t>
            </w:r>
            <w:r w:rsidR="00FE29AF" w:rsidRPr="00FE29AF">
              <w:rPr>
                <w:rFonts w:ascii="Dubai" w:hAnsi="Dubai" w:cs="Dubai"/>
                <w:sz w:val="20"/>
                <w:szCs w:val="20"/>
                <w:rtl/>
                <w:lang w:val="en-GB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14:paraId="533F1B69" w14:textId="6D59DB50" w:rsidR="00FE29AF" w:rsidRPr="00FE29AF" w:rsidRDefault="00FE29AF" w:rsidP="00FE29AF">
            <w:pPr>
              <w:pStyle w:val="Default"/>
              <w:bidi/>
              <w:spacing w:before="60" w:after="60" w:line="240" w:lineRule="exact"/>
              <w:rPr>
                <w:rFonts w:ascii="Dubai" w:hAnsi="Dubai" w:cs="Dubai"/>
                <w:sz w:val="20"/>
                <w:szCs w:val="20"/>
              </w:rPr>
            </w:pPr>
            <w:r w:rsidRPr="00FE29AF">
              <w:rPr>
                <w:rFonts w:ascii="Dubai" w:hAnsi="Dubai" w:cs="Dubai"/>
                <w:sz w:val="20"/>
                <w:szCs w:val="20"/>
                <w:rtl/>
                <w:lang w:val="fr-CH"/>
              </w:rPr>
              <w:t>نائب الرئيس</w:t>
            </w:r>
            <w:r w:rsidR="00415E92">
              <w:rPr>
                <w:rFonts w:ascii="Dubai" w:hAnsi="Dubai" w:cs="Dubai" w:hint="cs"/>
                <w:sz w:val="20"/>
                <w:szCs w:val="20"/>
                <w:rtl/>
                <w:lang w:val="fr-CH"/>
              </w:rPr>
              <w:t>ة</w:t>
            </w:r>
          </w:p>
        </w:tc>
        <w:tc>
          <w:tcPr>
            <w:tcW w:w="2791" w:type="dxa"/>
            <w:shd w:val="clear" w:color="auto" w:fill="auto"/>
          </w:tcPr>
          <w:p w14:paraId="370B70AC" w14:textId="2614EF43" w:rsidR="00FE29AF" w:rsidRPr="00FE29AF" w:rsidRDefault="00FE29AF" w:rsidP="00FE29AF">
            <w:pPr>
              <w:pStyle w:val="Defaul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FE29AF">
              <w:rPr>
                <w:rFonts w:ascii="Dubai" w:hAnsi="Dubai" w:cs="Dubai"/>
                <w:sz w:val="20"/>
                <w:szCs w:val="20"/>
              </w:rPr>
              <w:t>2016</w:t>
            </w:r>
            <w:r w:rsidRPr="00FE29AF">
              <w:rPr>
                <w:rFonts w:ascii="Dubai" w:hAnsi="Dubai" w:cs="Dubai"/>
                <w:sz w:val="20"/>
                <w:szCs w:val="20"/>
                <w:rtl/>
                <w:lang w:bidi="ar-EG"/>
              </w:rPr>
              <w:t xml:space="preserve"> - حتى الآن</w:t>
            </w:r>
          </w:p>
        </w:tc>
      </w:tr>
      <w:tr w:rsidR="00FE29AF" w:rsidRPr="00FE29AF" w14:paraId="6EAA47B4" w14:textId="77777777" w:rsidTr="00FE29AF">
        <w:tc>
          <w:tcPr>
            <w:tcW w:w="4163" w:type="dxa"/>
            <w:shd w:val="clear" w:color="auto" w:fill="auto"/>
          </w:tcPr>
          <w:p w14:paraId="6E4169AD" w14:textId="52AF7F23" w:rsidR="00FE29AF" w:rsidRPr="00415E92" w:rsidRDefault="00415E92" w:rsidP="00FE29AF">
            <w:pPr>
              <w:pStyle w:val="Default"/>
              <w:bidi/>
              <w:spacing w:before="60" w:after="60" w:line="240" w:lineRule="exact"/>
              <w:rPr>
                <w:rFonts w:ascii="Dubai" w:hAnsi="Dubai" w:cs="Dubai"/>
                <w:sz w:val="20"/>
                <w:szCs w:val="20"/>
                <w:lang w:val="en-GB"/>
              </w:rPr>
            </w:pPr>
            <w:r w:rsidRPr="00415E92">
              <w:rPr>
                <w:rFonts w:ascii="Dubai" w:hAnsi="Dubai" w:cs="Dubai"/>
                <w:sz w:val="20"/>
                <w:szCs w:val="20"/>
                <w:rtl/>
                <w:lang w:val="en-GB"/>
              </w:rPr>
              <w:t xml:space="preserve">السيد </w:t>
            </w:r>
            <w:proofErr w:type="spellStart"/>
            <w:r w:rsidRPr="00415E92">
              <w:rPr>
                <w:rFonts w:ascii="Dubai" w:hAnsi="Dubai" w:cs="Dubai"/>
                <w:sz w:val="20"/>
                <w:szCs w:val="20"/>
                <w:rtl/>
                <w:lang w:val="en-GB"/>
              </w:rPr>
              <w:t>كونستانتين</w:t>
            </w:r>
            <w:proofErr w:type="spellEnd"/>
            <w:r w:rsidRPr="00415E92">
              <w:rPr>
                <w:rFonts w:ascii="Dubai" w:hAnsi="Dubai" w:cs="Dubai"/>
                <w:sz w:val="20"/>
                <w:szCs w:val="20"/>
                <w:rtl/>
                <w:lang w:val="en-GB"/>
              </w:rPr>
              <w:t xml:space="preserve"> </w:t>
            </w:r>
            <w:proofErr w:type="spellStart"/>
            <w:r w:rsidRPr="00415E92">
              <w:rPr>
                <w:rFonts w:ascii="Dubai" w:hAnsi="Dubai" w:cs="Dubai"/>
                <w:sz w:val="20"/>
                <w:szCs w:val="20"/>
                <w:rtl/>
                <w:lang w:val="en-GB"/>
              </w:rPr>
              <w:t>تروفيموف</w:t>
            </w:r>
            <w:proofErr w:type="spellEnd"/>
            <w:r>
              <w:rPr>
                <w:rFonts w:ascii="Dubai" w:hAnsi="Dubai" w:cs="Dubai" w:hint="cs"/>
                <w:sz w:val="20"/>
                <w:szCs w:val="20"/>
                <w:rtl/>
                <w:lang w:val="en-GB"/>
              </w:rPr>
              <w:t xml:space="preserve"> (الاتحاد الروسي)</w:t>
            </w:r>
          </w:p>
        </w:tc>
        <w:tc>
          <w:tcPr>
            <w:tcW w:w="2675" w:type="dxa"/>
            <w:shd w:val="clear" w:color="auto" w:fill="auto"/>
          </w:tcPr>
          <w:p w14:paraId="5E7FF427" w14:textId="31AD4B4A" w:rsidR="00FE29AF" w:rsidRPr="00FE29AF" w:rsidRDefault="00FE29AF" w:rsidP="00FE29AF">
            <w:pPr>
              <w:pStyle w:val="Default"/>
              <w:bidi/>
              <w:spacing w:before="60" w:after="60" w:line="240" w:lineRule="exact"/>
              <w:rPr>
                <w:rFonts w:ascii="Dubai" w:hAnsi="Dubai" w:cs="Dubai"/>
                <w:sz w:val="20"/>
                <w:szCs w:val="20"/>
                <w:lang w:val="fr-CH"/>
              </w:rPr>
            </w:pPr>
            <w:r w:rsidRPr="00FE29AF">
              <w:rPr>
                <w:rFonts w:ascii="Dubai" w:hAnsi="Dubai" w:cs="Dubai"/>
                <w:sz w:val="20"/>
                <w:szCs w:val="20"/>
                <w:rtl/>
                <w:lang w:val="fr-CH"/>
              </w:rPr>
              <w:t>نائب الرئيس</w:t>
            </w:r>
            <w:r w:rsidR="00415E92">
              <w:rPr>
                <w:rFonts w:ascii="Dubai" w:hAnsi="Dubai" w:cs="Dubai" w:hint="cs"/>
                <w:sz w:val="20"/>
                <w:szCs w:val="20"/>
                <w:rtl/>
                <w:lang w:val="fr-CH"/>
              </w:rPr>
              <w:t>ة</w:t>
            </w:r>
          </w:p>
        </w:tc>
        <w:tc>
          <w:tcPr>
            <w:tcW w:w="2791" w:type="dxa"/>
            <w:shd w:val="clear" w:color="auto" w:fill="auto"/>
          </w:tcPr>
          <w:p w14:paraId="6DC661FE" w14:textId="01DA8B83" w:rsidR="00FE29AF" w:rsidRPr="00FE29AF" w:rsidRDefault="00FE29AF" w:rsidP="00FE29AF">
            <w:pPr>
              <w:pStyle w:val="Defaul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szCs w:val="20"/>
                <w:lang w:val="es-ES_tradnl"/>
              </w:rPr>
            </w:pPr>
            <w:r w:rsidRPr="00FE29AF">
              <w:rPr>
                <w:rFonts w:ascii="Dubai" w:hAnsi="Dubai" w:cs="Dubai"/>
                <w:sz w:val="20"/>
                <w:szCs w:val="20"/>
              </w:rPr>
              <w:t>2016</w:t>
            </w:r>
            <w:r w:rsidRPr="00FE29AF">
              <w:rPr>
                <w:rFonts w:ascii="Dubai" w:hAnsi="Dubai" w:cs="Dubai"/>
                <w:sz w:val="20"/>
                <w:szCs w:val="20"/>
                <w:rtl/>
                <w:lang w:bidi="ar-EG"/>
              </w:rPr>
              <w:t xml:space="preserve"> - حتى الآن</w:t>
            </w:r>
          </w:p>
        </w:tc>
      </w:tr>
      <w:tr w:rsidR="00FE29AF" w:rsidRPr="00FE29AF" w14:paraId="5147E855" w14:textId="77777777" w:rsidTr="00FE29AF">
        <w:tc>
          <w:tcPr>
            <w:tcW w:w="4163" w:type="dxa"/>
            <w:shd w:val="clear" w:color="auto" w:fill="auto"/>
          </w:tcPr>
          <w:p w14:paraId="158DBD1A" w14:textId="1F3C00A1" w:rsidR="00FE29AF" w:rsidRPr="00FE29AF" w:rsidRDefault="00415E92" w:rsidP="00FE29AF">
            <w:pPr>
              <w:pStyle w:val="Default"/>
              <w:bidi/>
              <w:spacing w:before="60" w:after="60" w:line="240" w:lineRule="exact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val="en-GB"/>
              </w:rPr>
              <w:t xml:space="preserve">السيد تونغ </w:t>
            </w:r>
            <w:proofErr w:type="spellStart"/>
            <w:r>
              <w:rPr>
                <w:rFonts w:ascii="Dubai" w:hAnsi="Dubai" w:cs="Dubai" w:hint="cs"/>
                <w:sz w:val="20"/>
                <w:szCs w:val="20"/>
                <w:rtl/>
                <w:lang w:val="en-GB"/>
              </w:rPr>
              <w:t>وو</w:t>
            </w:r>
            <w:proofErr w:type="spellEnd"/>
            <w:r>
              <w:rPr>
                <w:rFonts w:ascii="Dubai" w:hAnsi="Dubai" w:cs="Dubai" w:hint="cs"/>
                <w:sz w:val="20"/>
                <w:szCs w:val="20"/>
                <w:rtl/>
                <w:lang w:val="en-GB"/>
              </w:rPr>
              <w:t xml:space="preserve"> (الصين)</w:t>
            </w:r>
            <w:r w:rsidR="00FE29AF" w:rsidRPr="00FE29AF">
              <w:rPr>
                <w:rFonts w:ascii="Dubai" w:hAnsi="Dubai" w:cs="Dubai"/>
                <w:sz w:val="20"/>
                <w:szCs w:val="20"/>
                <w:rtl/>
                <w:lang w:val="en-GB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14:paraId="799C59E5" w14:textId="602E2D19" w:rsidR="00FE29AF" w:rsidRPr="00FE29AF" w:rsidRDefault="00FE29AF" w:rsidP="00FE29AF">
            <w:pPr>
              <w:pStyle w:val="Default"/>
              <w:bidi/>
              <w:spacing w:before="60" w:after="60" w:line="240" w:lineRule="exact"/>
              <w:rPr>
                <w:rFonts w:ascii="Dubai" w:hAnsi="Dubai" w:cs="Dubai"/>
                <w:sz w:val="20"/>
                <w:szCs w:val="20"/>
                <w:lang w:val="fr-CH"/>
              </w:rPr>
            </w:pPr>
            <w:r w:rsidRPr="00FE29AF">
              <w:rPr>
                <w:rFonts w:ascii="Dubai" w:hAnsi="Dubai" w:cs="Dubai"/>
                <w:sz w:val="20"/>
                <w:szCs w:val="20"/>
                <w:rtl/>
                <w:lang w:val="fr-CH"/>
              </w:rPr>
              <w:t>نائب الرئيس</w:t>
            </w:r>
            <w:r w:rsidR="00415E92">
              <w:rPr>
                <w:rFonts w:ascii="Dubai" w:hAnsi="Dubai" w:cs="Dubai" w:hint="cs"/>
                <w:sz w:val="20"/>
                <w:szCs w:val="20"/>
                <w:rtl/>
                <w:lang w:val="fr-CH"/>
              </w:rPr>
              <w:t>ة</w:t>
            </w:r>
          </w:p>
        </w:tc>
        <w:tc>
          <w:tcPr>
            <w:tcW w:w="2791" w:type="dxa"/>
            <w:shd w:val="clear" w:color="auto" w:fill="auto"/>
          </w:tcPr>
          <w:p w14:paraId="7E31A305" w14:textId="42D6768B" w:rsidR="00FE29AF" w:rsidRPr="00FE29AF" w:rsidRDefault="00FE29AF" w:rsidP="00FE29AF">
            <w:pPr>
              <w:pStyle w:val="Defaul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FE29AF">
              <w:rPr>
                <w:rFonts w:ascii="Dubai" w:hAnsi="Dubai" w:cs="Dubai"/>
                <w:sz w:val="20"/>
                <w:szCs w:val="20"/>
              </w:rPr>
              <w:t>2016</w:t>
            </w:r>
            <w:r w:rsidRPr="00FE29AF">
              <w:rPr>
                <w:rFonts w:ascii="Dubai" w:hAnsi="Dubai" w:cs="Dubai"/>
                <w:sz w:val="20"/>
                <w:szCs w:val="20"/>
                <w:rtl/>
                <w:lang w:bidi="ar-EG"/>
              </w:rPr>
              <w:t xml:space="preserve"> - حتى الآن</w:t>
            </w:r>
          </w:p>
        </w:tc>
      </w:tr>
    </w:tbl>
    <w:p w14:paraId="726DE0FF" w14:textId="77777777" w:rsidR="00FE29AF" w:rsidRDefault="00FE29AF" w:rsidP="00FE29AF">
      <w:pPr>
        <w:pStyle w:val="Heading1"/>
        <w:spacing w:before="360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الإنجازات الرئيسية</w:t>
      </w:r>
    </w:p>
    <w:p w14:paraId="7C5D9856" w14:textId="6C8E276A" w:rsidR="00FE29AF" w:rsidRDefault="00FE29AF" w:rsidP="00DB4185">
      <w:pPr>
        <w:rPr>
          <w:rtl/>
          <w:lang w:bidi="ar-EG"/>
        </w:rPr>
      </w:pPr>
      <w:r>
        <w:rPr>
          <w:rFonts w:hint="cs"/>
          <w:rtl/>
        </w:rPr>
        <w:t xml:space="preserve">خلال </w:t>
      </w:r>
      <w:r w:rsidR="002628D3">
        <w:rPr>
          <w:rFonts w:hint="cs"/>
          <w:rtl/>
        </w:rPr>
        <w:t>فترة الدراسة</w:t>
      </w:r>
      <w:r>
        <w:rPr>
          <w:rFonts w:hint="cs"/>
          <w:rtl/>
        </w:rPr>
        <w:t xml:space="preserve">، </w:t>
      </w:r>
      <w:r w:rsidR="00DB4185">
        <w:rPr>
          <w:rFonts w:hint="cs"/>
          <w:rtl/>
        </w:rPr>
        <w:t xml:space="preserve">اجتمعت </w:t>
      </w:r>
      <w:r>
        <w:rPr>
          <w:rFonts w:hint="cs"/>
          <w:rtl/>
        </w:rPr>
        <w:t xml:space="preserve">لجنة التقييس المعنية بالمفردات </w:t>
      </w:r>
      <w:r w:rsidR="00DB4185">
        <w:rPr>
          <w:rFonts w:hint="cs"/>
          <w:rtl/>
        </w:rPr>
        <w:t xml:space="preserve">15 مرة واضطلعت </w:t>
      </w:r>
      <w:r>
        <w:rPr>
          <w:rFonts w:hint="cs"/>
          <w:rtl/>
        </w:rPr>
        <w:t xml:space="preserve">بمهمتها المحددة في القرار </w:t>
      </w:r>
      <w:r>
        <w:t>67</w:t>
      </w:r>
      <w:r>
        <w:rPr>
          <w:rFonts w:hint="cs"/>
          <w:rtl/>
          <w:lang w:bidi="ar-EG"/>
        </w:rPr>
        <w:t xml:space="preserve"> للجمعية. وعملت بصفتها جهة الاتصال للجان دراسات قطاع تقييس الاتصالات في المسائل المتصلة بالمصطلحات وقدمت المشورة بشأن المصطلحات والتعاريف التي ينبغي اعتمادها في توصيات قطاع تقييس الاتصالات. وأسدت لجنة التقييس</w:t>
      </w:r>
      <w:r w:rsidR="00DB4185">
        <w:rPr>
          <w:rFonts w:hint="cs"/>
          <w:rtl/>
          <w:lang w:bidi="ar-EG"/>
        </w:rPr>
        <w:t xml:space="preserve"> المعنية بالمفردات</w:t>
      </w:r>
      <w:r>
        <w:rPr>
          <w:rFonts w:hint="cs"/>
          <w:rtl/>
          <w:lang w:bidi="ar-EG"/>
        </w:rPr>
        <w:t xml:space="preserve"> أيضاً المشورة فيما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يتعلق بتنسيق التعاريف بين لجان دراسات قطاع تقييس الاتصالات وبين قطاعات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الاتحاد.</w:t>
      </w:r>
    </w:p>
    <w:p w14:paraId="197A0B8D" w14:textId="19AE2AC5" w:rsidR="009652DC" w:rsidRDefault="009652DC" w:rsidP="00FF561C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Pr="009652DC">
        <w:rPr>
          <w:rtl/>
          <w:lang w:bidi="ar-EG"/>
        </w:rPr>
        <w:t xml:space="preserve">اجتماعات </w:t>
      </w:r>
      <w:r w:rsidR="00FF561C">
        <w:rPr>
          <w:rFonts w:hint="cs"/>
          <w:rtl/>
        </w:rPr>
        <w:t>لجنة التقييس المعنية بالمفردات</w:t>
      </w:r>
      <w:r w:rsidR="00FF561C" w:rsidRPr="009652DC">
        <w:rPr>
          <w:rtl/>
          <w:lang w:bidi="ar-EG"/>
        </w:rPr>
        <w:t xml:space="preserve"> </w:t>
      </w:r>
      <w:r w:rsidR="00FF561C">
        <w:rPr>
          <w:rtl/>
          <w:lang w:bidi="ar-EG"/>
        </w:rPr>
        <w:t>افتراضية</w:t>
      </w:r>
      <w:r w:rsidR="00FF561C">
        <w:rPr>
          <w:rFonts w:hint="cs"/>
          <w:rtl/>
          <w:lang w:bidi="ar-EG"/>
        </w:rPr>
        <w:t xml:space="preserve">، </w:t>
      </w:r>
      <w:r w:rsidRPr="009652DC">
        <w:rPr>
          <w:rtl/>
          <w:lang w:bidi="ar-EG"/>
        </w:rPr>
        <w:t>و</w:t>
      </w:r>
      <w:r w:rsidR="00FF561C">
        <w:rPr>
          <w:rFonts w:hint="cs"/>
          <w:rtl/>
          <w:lang w:bidi="ar-EG"/>
        </w:rPr>
        <w:t>عملاً</w:t>
      </w:r>
      <w:r w:rsidR="00FF561C">
        <w:rPr>
          <w:rtl/>
          <w:lang w:bidi="ar-EG"/>
        </w:rPr>
        <w:t xml:space="preserve"> </w:t>
      </w:r>
      <w:r w:rsidR="00FF561C">
        <w:rPr>
          <w:rFonts w:hint="cs"/>
          <w:rtl/>
          <w:lang w:bidi="ar-EG"/>
        </w:rPr>
        <w:t>ب</w:t>
      </w:r>
      <w:r w:rsidR="00FF561C">
        <w:rPr>
          <w:rtl/>
          <w:lang w:bidi="ar-EG"/>
        </w:rPr>
        <w:t xml:space="preserve">قرار المجلس 1386 الذي أنشأ </w:t>
      </w:r>
      <w:r w:rsidR="00FF561C">
        <w:rPr>
          <w:rFonts w:hint="cs"/>
          <w:rtl/>
          <w:lang w:bidi="ar-EG"/>
        </w:rPr>
        <w:t>ل</w:t>
      </w:r>
      <w:r w:rsidRPr="009652DC">
        <w:rPr>
          <w:rtl/>
          <w:lang w:bidi="ar-EG"/>
        </w:rPr>
        <w:t xml:space="preserve">جنة </w:t>
      </w:r>
      <w:r w:rsidR="00FF561C">
        <w:rPr>
          <w:rFonts w:hint="cs"/>
          <w:rtl/>
          <w:lang w:bidi="ar-EG"/>
        </w:rPr>
        <w:t>تنسيق المصطلحات</w:t>
      </w:r>
      <w:r w:rsidR="009C6391">
        <w:rPr>
          <w:rFonts w:hint="cs"/>
          <w:rtl/>
          <w:lang w:bidi="ar-EG"/>
        </w:rPr>
        <w:t> </w:t>
      </w:r>
      <w:r w:rsidRPr="009652DC">
        <w:rPr>
          <w:rtl/>
          <w:lang w:bidi="ar-EG"/>
        </w:rPr>
        <w:t>(</w:t>
      </w:r>
      <w:r w:rsidRPr="009652DC">
        <w:rPr>
          <w:lang w:bidi="ar-EG"/>
        </w:rPr>
        <w:t>CCT</w:t>
      </w:r>
      <w:r w:rsidR="00FF561C">
        <w:rPr>
          <w:rtl/>
          <w:lang w:bidi="ar-EG"/>
        </w:rPr>
        <w:t>)</w:t>
      </w:r>
      <w:r w:rsidRPr="009652DC">
        <w:rPr>
          <w:rtl/>
          <w:lang w:bidi="ar-EG"/>
        </w:rPr>
        <w:t xml:space="preserve">، </w:t>
      </w:r>
      <w:r w:rsidR="00FF561C">
        <w:rPr>
          <w:rFonts w:hint="cs"/>
          <w:rtl/>
          <w:lang w:bidi="ar-EG"/>
        </w:rPr>
        <w:t>تُع</w:t>
      </w:r>
      <w:r w:rsidRPr="009652DC">
        <w:rPr>
          <w:rtl/>
          <w:lang w:bidi="ar-EG"/>
        </w:rPr>
        <w:t xml:space="preserve">قد </w:t>
      </w:r>
      <w:r w:rsidR="00FF561C">
        <w:rPr>
          <w:rFonts w:hint="cs"/>
          <w:rtl/>
          <w:lang w:bidi="ar-EG"/>
        </w:rPr>
        <w:t>كل</w:t>
      </w:r>
      <w:r w:rsidRPr="009652DC">
        <w:rPr>
          <w:rtl/>
          <w:lang w:bidi="ar-EG"/>
        </w:rPr>
        <w:t xml:space="preserve"> اجتماعات </w:t>
      </w:r>
      <w:r w:rsidR="00FF561C">
        <w:rPr>
          <w:rFonts w:hint="cs"/>
          <w:rtl/>
        </w:rPr>
        <w:t>لجنة التقييس المعنية بالمفردات</w:t>
      </w:r>
      <w:r w:rsidR="00FF561C">
        <w:rPr>
          <w:rtl/>
          <w:lang w:bidi="ar-EG"/>
        </w:rPr>
        <w:t>، منذ عام 2017</w:t>
      </w:r>
      <w:r w:rsidRPr="009652DC">
        <w:rPr>
          <w:rtl/>
          <w:lang w:bidi="ar-EG"/>
        </w:rPr>
        <w:t xml:space="preserve">، تحت مظلة </w:t>
      </w:r>
      <w:r w:rsidR="00FF561C">
        <w:rPr>
          <w:rFonts w:hint="cs"/>
          <w:rtl/>
          <w:lang w:bidi="ar-EG"/>
        </w:rPr>
        <w:t>ل</w:t>
      </w:r>
      <w:r w:rsidR="00FF561C" w:rsidRPr="009652DC">
        <w:rPr>
          <w:rtl/>
          <w:lang w:bidi="ar-EG"/>
        </w:rPr>
        <w:t xml:space="preserve">جنة </w:t>
      </w:r>
      <w:r w:rsidR="00FF561C">
        <w:rPr>
          <w:rFonts w:hint="cs"/>
          <w:rtl/>
          <w:lang w:bidi="ar-EG"/>
        </w:rPr>
        <w:t>تنسيق</w:t>
      </w:r>
      <w:r w:rsidR="00FF561C">
        <w:rPr>
          <w:rtl/>
          <w:lang w:bidi="ar-EG"/>
        </w:rPr>
        <w:t xml:space="preserve"> </w:t>
      </w:r>
      <w:r w:rsidR="00FF561C">
        <w:rPr>
          <w:rFonts w:hint="cs"/>
          <w:rtl/>
          <w:lang w:bidi="ar-EG"/>
        </w:rPr>
        <w:t>ا</w:t>
      </w:r>
      <w:r w:rsidR="00FF561C" w:rsidRPr="009652DC">
        <w:rPr>
          <w:rtl/>
          <w:lang w:bidi="ar-EG"/>
        </w:rPr>
        <w:t>لمصطلحات</w:t>
      </w:r>
      <w:r w:rsidRPr="009652DC">
        <w:rPr>
          <w:rtl/>
          <w:lang w:bidi="ar-EG"/>
        </w:rPr>
        <w:t xml:space="preserve">، والتي </w:t>
      </w:r>
      <w:r w:rsidR="00FF561C">
        <w:rPr>
          <w:rFonts w:hint="cs"/>
          <w:rtl/>
          <w:lang w:bidi="ar-EG"/>
        </w:rPr>
        <w:t xml:space="preserve">تضم </w:t>
      </w:r>
      <w:r w:rsidR="00FF561C">
        <w:rPr>
          <w:rFonts w:hint="cs"/>
          <w:rtl/>
        </w:rPr>
        <w:t>لجنة التقييس المعنية بالمفردات</w:t>
      </w:r>
      <w:r w:rsidRPr="009652DC">
        <w:rPr>
          <w:rtl/>
          <w:lang w:bidi="ar-EG"/>
        </w:rPr>
        <w:t xml:space="preserve">، </w:t>
      </w:r>
      <w:r w:rsidR="00FF561C">
        <w:rPr>
          <w:rFonts w:hint="cs"/>
          <w:rtl/>
          <w:lang w:bidi="ar-EG"/>
        </w:rPr>
        <w:t>ولجنة تنسيق ال</w:t>
      </w:r>
      <w:r w:rsidR="00FF561C">
        <w:rPr>
          <w:rFonts w:hint="cs"/>
          <w:rtl/>
        </w:rPr>
        <w:t>مفردات</w:t>
      </w:r>
      <w:r w:rsidR="00065186">
        <w:rPr>
          <w:rFonts w:hint="cs"/>
          <w:rtl/>
        </w:rPr>
        <w:t>،</w:t>
      </w:r>
      <w:r w:rsidR="00FF561C" w:rsidRPr="009652DC">
        <w:rPr>
          <w:rtl/>
          <w:lang w:bidi="ar-EG"/>
        </w:rPr>
        <w:t xml:space="preserve"> </w:t>
      </w:r>
      <w:r w:rsidRPr="009652DC">
        <w:rPr>
          <w:rtl/>
          <w:lang w:bidi="ar-EG"/>
        </w:rPr>
        <w:t>وممثلين عن</w:t>
      </w:r>
      <w:r w:rsidR="00FF561C" w:rsidRPr="00FF561C">
        <w:rPr>
          <w:rtl/>
        </w:rPr>
        <w:t xml:space="preserve"> </w:t>
      </w:r>
      <w:r w:rsidR="00FF561C" w:rsidRPr="00FF561C">
        <w:rPr>
          <w:rtl/>
          <w:lang w:bidi="ar-EG"/>
        </w:rPr>
        <w:t>قطاع تنمية الاتصالات</w:t>
      </w:r>
      <w:r w:rsidR="009C6391">
        <w:rPr>
          <w:rFonts w:hint="eastAsia"/>
          <w:rtl/>
          <w:lang w:bidi="ar-EG"/>
        </w:rPr>
        <w:t> </w:t>
      </w:r>
      <w:r w:rsidR="00065186">
        <w:rPr>
          <w:rFonts w:hint="cs"/>
          <w:rtl/>
          <w:lang w:bidi="ar-EG"/>
        </w:rPr>
        <w:t>ب</w:t>
      </w:r>
      <w:r w:rsidRPr="009652DC">
        <w:rPr>
          <w:rtl/>
          <w:lang w:bidi="ar-EG"/>
        </w:rPr>
        <w:t>الاتحاد</w:t>
      </w:r>
      <w:r w:rsidR="00FF561C">
        <w:rPr>
          <w:rFonts w:hint="cs"/>
          <w:rtl/>
          <w:lang w:bidi="ar-EG"/>
        </w:rPr>
        <w:t>.</w:t>
      </w:r>
    </w:p>
    <w:p w14:paraId="6B0F5EDE" w14:textId="3CA74826" w:rsidR="00FF561C" w:rsidRPr="00114A81" w:rsidRDefault="00FF561C" w:rsidP="00FF561C">
      <w:pPr>
        <w:rPr>
          <w:spacing w:val="2"/>
          <w:rtl/>
          <w:lang w:bidi="ar-EG"/>
        </w:rPr>
      </w:pPr>
      <w:r w:rsidRPr="00114A81">
        <w:rPr>
          <w:rFonts w:hint="cs"/>
          <w:spacing w:val="2"/>
          <w:rtl/>
          <w:lang w:bidi="ar-EG"/>
        </w:rPr>
        <w:t>و</w:t>
      </w:r>
      <w:r w:rsidRPr="00114A81">
        <w:rPr>
          <w:spacing w:val="2"/>
          <w:rtl/>
          <w:lang w:bidi="ar-EG"/>
        </w:rPr>
        <w:t xml:space="preserve">خلال فترة الدراسة، حسنت </w:t>
      </w:r>
      <w:r w:rsidRPr="00114A81">
        <w:rPr>
          <w:rFonts w:hint="cs"/>
          <w:spacing w:val="2"/>
          <w:rtl/>
        </w:rPr>
        <w:t>لجنة التقييس المعنية بالمفردات</w:t>
      </w:r>
      <w:r w:rsidRPr="00114A81">
        <w:rPr>
          <w:spacing w:val="2"/>
          <w:rtl/>
          <w:lang w:bidi="ar-EG"/>
        </w:rPr>
        <w:t xml:space="preserve"> أيضا</w:t>
      </w:r>
      <w:r w:rsidRPr="00114A81">
        <w:rPr>
          <w:rFonts w:hint="cs"/>
          <w:spacing w:val="2"/>
          <w:rtl/>
          <w:lang w:bidi="ar-EG"/>
        </w:rPr>
        <w:t>ً</w:t>
      </w:r>
      <w:r w:rsidR="00C62D01" w:rsidRPr="00114A81">
        <w:rPr>
          <w:spacing w:val="2"/>
          <w:rtl/>
          <w:lang w:bidi="ar-EG"/>
        </w:rPr>
        <w:t xml:space="preserve"> أساليب عملها</w:t>
      </w:r>
      <w:r w:rsidRPr="00114A81">
        <w:rPr>
          <w:spacing w:val="2"/>
          <w:rtl/>
          <w:lang w:bidi="ar-EG"/>
        </w:rPr>
        <w:t>، بالتشاور مع ال</w:t>
      </w:r>
      <w:r w:rsidR="00C62D01" w:rsidRPr="00114A81">
        <w:rPr>
          <w:spacing w:val="2"/>
          <w:rtl/>
          <w:lang w:bidi="ar-EG"/>
        </w:rPr>
        <w:t>فريق الاستشاري لتقييس الاتصالات</w:t>
      </w:r>
      <w:r w:rsidRPr="00114A81">
        <w:rPr>
          <w:spacing w:val="2"/>
          <w:rtl/>
          <w:lang w:bidi="ar-EG"/>
        </w:rPr>
        <w:t xml:space="preserve">، من أجل تحقيق قدر أكبر من الكفاءة في الوفاء بمسؤولياتها والتركيز بشكل خاص على </w:t>
      </w:r>
      <w:r w:rsidR="00752AC1" w:rsidRPr="00114A81">
        <w:rPr>
          <w:rFonts w:hint="cs"/>
          <w:spacing w:val="2"/>
          <w:rtl/>
          <w:lang w:bidi="ar-EG"/>
        </w:rPr>
        <w:t>ترشيد</w:t>
      </w:r>
      <w:r w:rsidR="00752AC1" w:rsidRPr="00114A81">
        <w:rPr>
          <w:spacing w:val="2"/>
          <w:rtl/>
          <w:lang w:bidi="ar-EG"/>
        </w:rPr>
        <w:t xml:space="preserve"> </w:t>
      </w:r>
      <w:r w:rsidRPr="00114A81">
        <w:rPr>
          <w:spacing w:val="2"/>
          <w:rtl/>
          <w:lang w:bidi="ar-EG"/>
        </w:rPr>
        <w:t>اتصالاتها مع لجان</w:t>
      </w:r>
      <w:r w:rsidR="00114A81">
        <w:rPr>
          <w:rFonts w:hint="cs"/>
          <w:spacing w:val="2"/>
          <w:rtl/>
          <w:lang w:bidi="ar-EG"/>
        </w:rPr>
        <w:t> </w:t>
      </w:r>
      <w:r w:rsidRPr="00114A81">
        <w:rPr>
          <w:spacing w:val="2"/>
          <w:rtl/>
          <w:lang w:bidi="ar-EG"/>
        </w:rPr>
        <w:t>الدراسات.</w:t>
      </w:r>
    </w:p>
    <w:p w14:paraId="47208BB9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A7F3" w14:textId="77777777" w:rsidR="00157404" w:rsidRDefault="00157404" w:rsidP="002919E1">
      <w:r>
        <w:separator/>
      </w:r>
    </w:p>
    <w:p w14:paraId="7265E659" w14:textId="77777777" w:rsidR="00157404" w:rsidRDefault="00157404" w:rsidP="002919E1"/>
    <w:p w14:paraId="4A42E9B4" w14:textId="77777777" w:rsidR="00157404" w:rsidRDefault="00157404" w:rsidP="002919E1"/>
    <w:p w14:paraId="040C8486" w14:textId="77777777" w:rsidR="00157404" w:rsidRDefault="00157404"/>
  </w:endnote>
  <w:endnote w:type="continuationSeparator" w:id="0">
    <w:p w14:paraId="38835845" w14:textId="77777777" w:rsidR="00157404" w:rsidRDefault="00157404" w:rsidP="002919E1">
      <w:r>
        <w:continuationSeparator/>
      </w:r>
    </w:p>
    <w:p w14:paraId="21DE0E15" w14:textId="77777777" w:rsidR="00157404" w:rsidRDefault="00157404" w:rsidP="002919E1"/>
    <w:p w14:paraId="5ECF0C40" w14:textId="77777777" w:rsidR="00157404" w:rsidRDefault="00157404" w:rsidP="002919E1"/>
    <w:p w14:paraId="4815DE2C" w14:textId="77777777" w:rsidR="00157404" w:rsidRDefault="00157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E658" w14:textId="3283915D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880935">
      <w:rPr>
        <w:noProof/>
        <w:sz w:val="16"/>
        <w:szCs w:val="16"/>
        <w:lang w:val="fr-FR"/>
      </w:rPr>
      <w:t>P:\ARA\ITU-T\CONF-T\WTSA20\000\030A.docx</w:t>
    </w:r>
    <w:r w:rsidRPr="00FC7FD8">
      <w:rPr>
        <w:sz w:val="16"/>
        <w:szCs w:val="16"/>
      </w:rPr>
      <w:fldChar w:fldCharType="end"/>
    </w:r>
    <w:proofErr w:type="gramStart"/>
    <w:r w:rsidRPr="00415E92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FE29AF" w:rsidRPr="00FE29AF">
      <w:rPr>
        <w:sz w:val="16"/>
        <w:szCs w:val="16"/>
        <w:lang w:val="fr-FR"/>
      </w:rPr>
      <w:t>478080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4F5B" w14:textId="62BFCD61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880935">
      <w:rPr>
        <w:noProof/>
        <w:lang w:val="fr-FR"/>
      </w:rPr>
      <w:t>P:\ARA\ITU-T\CONF-T\WTSA20\000\030A.docx</w:t>
    </w:r>
    <w:r w:rsidRPr="00EA7D73">
      <w:rPr>
        <w:lang w:val="en-GB"/>
      </w:rPr>
      <w:fldChar w:fldCharType="end"/>
    </w:r>
    <w:proofErr w:type="gramStart"/>
    <w:r w:rsidRPr="00415E92">
      <w:rPr>
        <w:lang w:val="fr-CH"/>
      </w:rPr>
      <w:t xml:space="preserve">  </w:t>
    </w:r>
    <w:r w:rsidRPr="00EA7D73">
      <w:rPr>
        <w:lang w:val="fr-FR"/>
      </w:rPr>
      <w:t xml:space="preserve"> (</w:t>
    </w:r>
    <w:proofErr w:type="gramEnd"/>
    <w:r w:rsidR="00FE29AF" w:rsidRPr="00FE29AF">
      <w:rPr>
        <w:lang w:val="fr-FR"/>
      </w:rPr>
      <w:t>478080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FB59" w14:textId="77777777" w:rsidR="00157404" w:rsidRDefault="00157404" w:rsidP="002919E1">
      <w:r>
        <w:t>___________________</w:t>
      </w:r>
    </w:p>
  </w:footnote>
  <w:footnote w:type="continuationSeparator" w:id="0">
    <w:p w14:paraId="779D8C35" w14:textId="77777777" w:rsidR="00157404" w:rsidRDefault="00157404" w:rsidP="002919E1">
      <w:r>
        <w:continuationSeparator/>
      </w:r>
    </w:p>
    <w:p w14:paraId="7218D519" w14:textId="77777777" w:rsidR="00157404" w:rsidRDefault="00157404" w:rsidP="002919E1"/>
    <w:p w14:paraId="3DB4060F" w14:textId="77777777" w:rsidR="00157404" w:rsidRDefault="00157404" w:rsidP="002919E1"/>
    <w:p w14:paraId="3E594F88" w14:textId="77777777" w:rsidR="00157404" w:rsidRDefault="00157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6AA0" w14:textId="77777777" w:rsidR="00281F5F" w:rsidRDefault="00281F5F" w:rsidP="002919E1"/>
  <w:p w14:paraId="72437C53" w14:textId="77777777" w:rsidR="00281F5F" w:rsidRDefault="00281F5F" w:rsidP="002919E1"/>
  <w:p w14:paraId="2205744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9301" w14:textId="50BE81E6" w:rsidR="00281F5F" w:rsidRPr="00AD538E" w:rsidRDefault="00281F5F" w:rsidP="00AD538E">
    <w:pPr>
      <w:pStyle w:val="Header"/>
      <w:bidi w:val="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920628">
      <w:rPr>
        <w:rStyle w:val="PageNumber"/>
        <w:noProof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FE29AF">
      <w:rPr>
        <w:rStyle w:val="PageNumber"/>
      </w:rPr>
      <w:t>WTSA20/30</w:t>
    </w:r>
    <w:r w:rsidR="00A809E8"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1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DAC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29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C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0B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AF"/>
    <w:rsid w:val="00011021"/>
    <w:rsid w:val="000114EC"/>
    <w:rsid w:val="00011F8C"/>
    <w:rsid w:val="00022B74"/>
    <w:rsid w:val="0002327C"/>
    <w:rsid w:val="00034B65"/>
    <w:rsid w:val="00040C94"/>
    <w:rsid w:val="000425FC"/>
    <w:rsid w:val="00044948"/>
    <w:rsid w:val="00044D43"/>
    <w:rsid w:val="00051907"/>
    <w:rsid w:val="00065186"/>
    <w:rsid w:val="000665C2"/>
    <w:rsid w:val="00075A3F"/>
    <w:rsid w:val="000A1B16"/>
    <w:rsid w:val="000A1FED"/>
    <w:rsid w:val="000B3896"/>
    <w:rsid w:val="000B5404"/>
    <w:rsid w:val="000B61D7"/>
    <w:rsid w:val="000D1708"/>
    <w:rsid w:val="000E2AFC"/>
    <w:rsid w:val="000E6D30"/>
    <w:rsid w:val="000F05F5"/>
    <w:rsid w:val="000F518F"/>
    <w:rsid w:val="0010081C"/>
    <w:rsid w:val="001013E3"/>
    <w:rsid w:val="0010363F"/>
    <w:rsid w:val="00114A81"/>
    <w:rsid w:val="001222F4"/>
    <w:rsid w:val="00123AA6"/>
    <w:rsid w:val="0012545F"/>
    <w:rsid w:val="00136B82"/>
    <w:rsid w:val="001464F2"/>
    <w:rsid w:val="00157404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28D3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15E92"/>
    <w:rsid w:val="00422C04"/>
    <w:rsid w:val="00423A40"/>
    <w:rsid w:val="00426144"/>
    <w:rsid w:val="00437ECF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3DB7"/>
    <w:rsid w:val="004C5C04"/>
    <w:rsid w:val="004D0448"/>
    <w:rsid w:val="004D4AE6"/>
    <w:rsid w:val="004E2A5D"/>
    <w:rsid w:val="00503466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0288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3585"/>
    <w:rsid w:val="0065562F"/>
    <w:rsid w:val="006779A4"/>
    <w:rsid w:val="00680A38"/>
    <w:rsid w:val="00680A66"/>
    <w:rsid w:val="00681391"/>
    <w:rsid w:val="00685DB9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132C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52AC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1031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0935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C6390"/>
    <w:rsid w:val="008D6ACC"/>
    <w:rsid w:val="008D7AF0"/>
    <w:rsid w:val="008E2CBE"/>
    <w:rsid w:val="008E32DD"/>
    <w:rsid w:val="008F4626"/>
    <w:rsid w:val="009004DF"/>
    <w:rsid w:val="00904AA5"/>
    <w:rsid w:val="00920628"/>
    <w:rsid w:val="00951718"/>
    <w:rsid w:val="00960962"/>
    <w:rsid w:val="009652DC"/>
    <w:rsid w:val="00972CE0"/>
    <w:rsid w:val="009A3D30"/>
    <w:rsid w:val="009C13BE"/>
    <w:rsid w:val="009C6391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62D01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1C0"/>
    <w:rsid w:val="00CE0E68"/>
    <w:rsid w:val="00CE5BA4"/>
    <w:rsid w:val="00D07253"/>
    <w:rsid w:val="00D16078"/>
    <w:rsid w:val="00D25120"/>
    <w:rsid w:val="00D35D0D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7ECE"/>
    <w:rsid w:val="00DB4185"/>
    <w:rsid w:val="00DC29DD"/>
    <w:rsid w:val="00DC6C79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A27C1"/>
    <w:rsid w:val="00FB0753"/>
    <w:rsid w:val="00FB5CC8"/>
    <w:rsid w:val="00FC2CD0"/>
    <w:rsid w:val="00FC7FD8"/>
    <w:rsid w:val="00FD0594"/>
    <w:rsid w:val="00FE29AF"/>
    <w:rsid w:val="00FF4FFF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7D9EF7"/>
  <w15:docId w15:val="{3A4A30EC-8441-466A-A500-7E36A32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Default">
    <w:name w:val="Default"/>
    <w:rsid w:val="00FE29AF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customStyle="1" w:styleId="apple-style-span">
    <w:name w:val="apple-style-span"/>
    <w:rsid w:val="00FE29AF"/>
  </w:style>
  <w:style w:type="paragraph" w:styleId="Revision">
    <w:name w:val="Revision"/>
    <w:hidden/>
    <w:uiPriority w:val="99"/>
    <w:semiHidden/>
    <w:rsid w:val="00065186"/>
    <w:rPr>
      <w:rFonts w:ascii="Dubai" w:hAnsi="Dubai" w:cs="Duba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publ/T-RES-T.67-2008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T-RES-T.67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B43A1-31D1-4C57-8442-37B164595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9676C-AB34-403F-B1FE-C87265C5FAB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32a1a8c5-2265-4ebc-b7a0-2071e2c5c9bb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Almidani, Ahmad Alaa</dc:creator>
  <cp:keywords>DPM_v2019.11.13.1_test</cp:keywords>
  <cp:lastModifiedBy>Arabic</cp:lastModifiedBy>
  <cp:revision>9</cp:revision>
  <cp:lastPrinted>2019-06-26T10:10:00Z</cp:lastPrinted>
  <dcterms:created xsi:type="dcterms:W3CDTF">2022-02-03T07:53:00Z</dcterms:created>
  <dcterms:modified xsi:type="dcterms:W3CDTF">2022-02-03T09:06:00Z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