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16"/>
        <w:gridCol w:w="47"/>
        <w:gridCol w:w="3148"/>
      </w:tblGrid>
      <w:tr w:rsidR="006562DC" w:rsidRPr="006562DC" w14:paraId="61944107" w14:textId="77777777" w:rsidTr="00426336">
        <w:trPr>
          <w:cantSplit/>
        </w:trPr>
        <w:tc>
          <w:tcPr>
            <w:tcW w:w="6663" w:type="dxa"/>
            <w:gridSpan w:val="2"/>
            <w:vAlign w:val="center"/>
          </w:tcPr>
          <w:p w14:paraId="0D79D775" w14:textId="77777777" w:rsidR="006562DC" w:rsidRPr="006562DC" w:rsidRDefault="006562DC" w:rsidP="006562DC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6562DC">
              <w:rPr>
                <w:rFonts w:ascii="Verdana" w:hAnsi="Verdana" w:cs="Times New Roman Bold"/>
                <w:b/>
                <w:bCs/>
                <w:sz w:val="22"/>
                <w:szCs w:val="22"/>
              </w:rPr>
              <w:t>World Telecommunication Standardization Assembly (WTSA-20)</w:t>
            </w:r>
            <w:r w:rsidRPr="006562DC">
              <w:rPr>
                <w:rFonts w:ascii="Verdana" w:hAnsi="Verdana" w:cs="Times New Roman Bold"/>
                <w:b/>
                <w:bCs/>
                <w:sz w:val="22"/>
                <w:szCs w:val="22"/>
              </w:rPr>
              <w:br/>
            </w:r>
            <w:r w:rsidRPr="006562D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Geneva, 1-9 March 2022</w:t>
            </w:r>
          </w:p>
        </w:tc>
        <w:tc>
          <w:tcPr>
            <w:tcW w:w="3148" w:type="dxa"/>
            <w:vAlign w:val="center"/>
          </w:tcPr>
          <w:p w14:paraId="164B4B4B" w14:textId="77777777" w:rsidR="006562DC" w:rsidRPr="006562DC" w:rsidRDefault="006562DC" w:rsidP="006562DC">
            <w:pPr>
              <w:spacing w:before="0"/>
            </w:pPr>
            <w:r w:rsidRPr="006562DC">
              <w:rPr>
                <w:noProof/>
                <w:lang w:val="en-US"/>
              </w:rPr>
              <w:drawing>
                <wp:inline distT="0" distB="0" distL="0" distR="0" wp14:anchorId="64FC8F02" wp14:editId="48072A6D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2DC" w:rsidRPr="006562DC" w14:paraId="7EB2110D" w14:textId="77777777" w:rsidTr="00426336">
        <w:trPr>
          <w:cantSplit/>
        </w:trPr>
        <w:tc>
          <w:tcPr>
            <w:tcW w:w="6616" w:type="dxa"/>
            <w:tcBorders>
              <w:bottom w:val="single" w:sz="12" w:space="0" w:color="auto"/>
            </w:tcBorders>
          </w:tcPr>
          <w:p w14:paraId="0F8FA002" w14:textId="77777777" w:rsidR="006562DC" w:rsidRPr="006562DC" w:rsidRDefault="006562DC" w:rsidP="006562DC">
            <w:pPr>
              <w:spacing w:before="60"/>
              <w:rPr>
                <w:rFonts w:ascii="Verdana" w:hAnsi="Verdana" w:cs="Times New Roman Bold"/>
                <w:b/>
                <w:bCs/>
                <w:sz w:val="20"/>
              </w:rPr>
            </w:pPr>
          </w:p>
        </w:tc>
        <w:tc>
          <w:tcPr>
            <w:tcW w:w="3195" w:type="dxa"/>
            <w:gridSpan w:val="2"/>
            <w:tcBorders>
              <w:bottom w:val="single" w:sz="12" w:space="0" w:color="auto"/>
            </w:tcBorders>
          </w:tcPr>
          <w:p w14:paraId="13FA26E0" w14:textId="77777777" w:rsidR="006562DC" w:rsidRPr="006562DC" w:rsidRDefault="006562DC" w:rsidP="006562DC">
            <w:pPr>
              <w:spacing w:before="0"/>
            </w:pPr>
          </w:p>
        </w:tc>
      </w:tr>
      <w:tr w:rsidR="006562DC" w:rsidRPr="006562DC" w14:paraId="60EE24BB" w14:textId="77777777" w:rsidTr="00426336">
        <w:trPr>
          <w:cantSplit/>
        </w:trPr>
        <w:tc>
          <w:tcPr>
            <w:tcW w:w="6616" w:type="dxa"/>
            <w:tcBorders>
              <w:top w:val="single" w:sz="12" w:space="0" w:color="auto"/>
            </w:tcBorders>
          </w:tcPr>
          <w:p w14:paraId="104509F9" w14:textId="77777777" w:rsidR="006562DC" w:rsidRPr="006562DC" w:rsidRDefault="006562DC" w:rsidP="006562DC">
            <w:pPr>
              <w:spacing w:before="0"/>
            </w:pPr>
          </w:p>
        </w:tc>
        <w:tc>
          <w:tcPr>
            <w:tcW w:w="3195" w:type="dxa"/>
            <w:gridSpan w:val="2"/>
          </w:tcPr>
          <w:p w14:paraId="439C5ED0" w14:textId="77777777" w:rsidR="006562DC" w:rsidRPr="006562DC" w:rsidRDefault="006562DC" w:rsidP="006562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562DC" w:rsidRPr="006562DC" w14:paraId="4119AA91" w14:textId="77777777" w:rsidTr="00426336">
        <w:trPr>
          <w:cantSplit/>
        </w:trPr>
        <w:tc>
          <w:tcPr>
            <w:tcW w:w="6616" w:type="dxa"/>
          </w:tcPr>
          <w:p w14:paraId="2B040B9A" w14:textId="40A6DCE2" w:rsidR="006562DC" w:rsidRPr="006562DC" w:rsidRDefault="006562DC" w:rsidP="006562DC">
            <w:pPr>
              <w:tabs>
                <w:tab w:val="left" w:pos="851"/>
              </w:tabs>
              <w:spacing w:before="0" w:line="240" w:lineRule="atLeast"/>
              <w:rPr>
                <w:rFonts w:ascii="Verdana" w:hAnsi="Verdana" w:cstheme="minorHAnsi"/>
                <w:b/>
                <w:sz w:val="20"/>
                <w:szCs w:val="24"/>
                <w:highlight w:val="yellow"/>
              </w:rPr>
            </w:pPr>
          </w:p>
        </w:tc>
        <w:tc>
          <w:tcPr>
            <w:tcW w:w="3195" w:type="dxa"/>
            <w:gridSpan w:val="2"/>
          </w:tcPr>
          <w:p w14:paraId="553DDB7A" w14:textId="3C76DBC1" w:rsidR="006562DC" w:rsidRPr="006562DC" w:rsidRDefault="006562DC" w:rsidP="000C64F5">
            <w:pPr>
              <w:spacing w:before="0"/>
              <w:rPr>
                <w:rFonts w:ascii="Verdana" w:hAnsi="Verdana" w:cs="Times New Roman Bold"/>
                <w:sz w:val="20"/>
              </w:rPr>
            </w:pPr>
            <w:r w:rsidRPr="006562DC">
              <w:rPr>
                <w:rFonts w:ascii="Verdana" w:hAnsi="Verdana" w:cs="Times New Roman Bold"/>
                <w:b/>
                <w:bCs/>
                <w:sz w:val="20"/>
              </w:rPr>
              <w:t xml:space="preserve">Document </w:t>
            </w:r>
            <w:r w:rsidR="000C64F5">
              <w:rPr>
                <w:rFonts w:ascii="Verdana" w:hAnsi="Verdana" w:cs="Times New Roman Bold"/>
                <w:b/>
                <w:bCs/>
                <w:sz w:val="20"/>
              </w:rPr>
              <w:t>29</w:t>
            </w:r>
            <w:r w:rsidRPr="006562DC">
              <w:rPr>
                <w:rFonts w:ascii="Verdana" w:hAnsi="Verdana" w:cs="Times New Roman Bold"/>
                <w:b/>
                <w:bCs/>
                <w:sz w:val="20"/>
              </w:rPr>
              <w:t>-E</w:t>
            </w:r>
          </w:p>
        </w:tc>
      </w:tr>
      <w:tr w:rsidR="006562DC" w:rsidRPr="006562DC" w14:paraId="7CA5278E" w14:textId="77777777" w:rsidTr="00426336">
        <w:trPr>
          <w:cantSplit/>
        </w:trPr>
        <w:tc>
          <w:tcPr>
            <w:tcW w:w="6616" w:type="dxa"/>
          </w:tcPr>
          <w:p w14:paraId="10B14EF3" w14:textId="77777777" w:rsidR="006562DC" w:rsidRPr="006562DC" w:rsidRDefault="006562DC" w:rsidP="006562DC">
            <w:pPr>
              <w:spacing w:before="0"/>
            </w:pPr>
          </w:p>
        </w:tc>
        <w:tc>
          <w:tcPr>
            <w:tcW w:w="3195" w:type="dxa"/>
            <w:gridSpan w:val="2"/>
          </w:tcPr>
          <w:p w14:paraId="7D2E84AF" w14:textId="1B289A30" w:rsidR="006562DC" w:rsidRPr="006562DC" w:rsidRDefault="005E7D27" w:rsidP="00454E60">
            <w:pPr>
              <w:spacing w:before="0"/>
              <w:rPr>
                <w:rFonts w:ascii="Verdana" w:hAnsi="Verdana" w:cs="Times New Roman Bold"/>
                <w:b/>
                <w:bCs/>
                <w:sz w:val="20"/>
              </w:rPr>
            </w:pPr>
            <w:r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454E60">
              <w:rPr>
                <w:rFonts w:ascii="Verdana" w:hAnsi="Verdana" w:cs="Times New Roman Bold"/>
                <w:b/>
                <w:bCs/>
                <w:sz w:val="20"/>
              </w:rPr>
              <w:t>7</w:t>
            </w:r>
            <w:r w:rsidR="000C64F5">
              <w:rPr>
                <w:rFonts w:ascii="Verdana" w:hAnsi="Verdana" w:cs="Times New Roman Bold"/>
                <w:b/>
                <w:bCs/>
                <w:sz w:val="20"/>
              </w:rPr>
              <w:t xml:space="preserve"> January </w:t>
            </w:r>
            <w:r w:rsidR="006562DC" w:rsidRPr="006562DC">
              <w:rPr>
                <w:rFonts w:ascii="Verdana" w:hAnsi="Verdana" w:cs="Times New Roman Bold"/>
                <w:b/>
                <w:bCs/>
                <w:sz w:val="20"/>
              </w:rPr>
              <w:t>202</w:t>
            </w:r>
            <w:r w:rsidR="000C64F5">
              <w:rPr>
                <w:rFonts w:ascii="Verdana" w:hAnsi="Verdana" w:cs="Times New Roman Bold"/>
                <w:b/>
                <w:bCs/>
                <w:sz w:val="20"/>
              </w:rPr>
              <w:t>2</w:t>
            </w:r>
          </w:p>
        </w:tc>
      </w:tr>
      <w:tr w:rsidR="006562DC" w:rsidRPr="006562DC" w14:paraId="4E747787" w14:textId="77777777" w:rsidTr="00426336">
        <w:trPr>
          <w:cantSplit/>
        </w:trPr>
        <w:tc>
          <w:tcPr>
            <w:tcW w:w="6616" w:type="dxa"/>
          </w:tcPr>
          <w:p w14:paraId="66EB67B2" w14:textId="77777777" w:rsidR="006562DC" w:rsidRPr="006562DC" w:rsidRDefault="006562DC" w:rsidP="006562DC">
            <w:pPr>
              <w:spacing w:before="0"/>
            </w:pPr>
          </w:p>
        </w:tc>
        <w:tc>
          <w:tcPr>
            <w:tcW w:w="3195" w:type="dxa"/>
            <w:gridSpan w:val="2"/>
          </w:tcPr>
          <w:p w14:paraId="6FF61444" w14:textId="77777777" w:rsidR="006562DC" w:rsidRPr="006562DC" w:rsidRDefault="006562DC" w:rsidP="006562DC">
            <w:pPr>
              <w:spacing w:before="0"/>
              <w:rPr>
                <w:rFonts w:ascii="Verdana" w:hAnsi="Verdana" w:cs="Times New Roman Bold"/>
                <w:b/>
                <w:bCs/>
                <w:sz w:val="20"/>
              </w:rPr>
            </w:pPr>
            <w:r w:rsidRPr="006562DC">
              <w:rPr>
                <w:rFonts w:ascii="Verdana" w:hAnsi="Verdana" w:cs="Times New Roman Bold"/>
                <w:b/>
                <w:bCs/>
                <w:sz w:val="20"/>
              </w:rPr>
              <w:t>Original: English</w:t>
            </w:r>
          </w:p>
        </w:tc>
      </w:tr>
      <w:tr w:rsidR="006562DC" w:rsidRPr="006562DC" w14:paraId="3E51D8F2" w14:textId="77777777" w:rsidTr="00426336">
        <w:trPr>
          <w:cantSplit/>
        </w:trPr>
        <w:tc>
          <w:tcPr>
            <w:tcW w:w="9811" w:type="dxa"/>
            <w:gridSpan w:val="3"/>
          </w:tcPr>
          <w:p w14:paraId="651A5593" w14:textId="77777777" w:rsidR="006562DC" w:rsidRPr="006562DC" w:rsidRDefault="006562DC" w:rsidP="006562DC">
            <w:pPr>
              <w:spacing w:before="0"/>
              <w:rPr>
                <w:rFonts w:ascii="Verdana" w:hAnsi="Verdana" w:cs="Times New Roman Bold"/>
                <w:b/>
                <w:bCs/>
                <w:sz w:val="20"/>
                <w:szCs w:val="24"/>
              </w:rPr>
            </w:pPr>
          </w:p>
        </w:tc>
      </w:tr>
      <w:tr w:rsidR="00EC7F04" w:rsidRPr="00426748" w14:paraId="04F086B3" w14:textId="77777777" w:rsidTr="009F4D71">
        <w:trPr>
          <w:cantSplit/>
        </w:trPr>
        <w:tc>
          <w:tcPr>
            <w:tcW w:w="9811" w:type="dxa"/>
            <w:gridSpan w:val="3"/>
          </w:tcPr>
          <w:p w14:paraId="35908950" w14:textId="1EE9F68F" w:rsidR="000F6E12" w:rsidRPr="001E3995" w:rsidRDefault="000F6E12" w:rsidP="001E3995">
            <w:pPr>
              <w:pStyle w:val="Source"/>
              <w:rPr>
                <w:bCs/>
                <w:szCs w:val="28"/>
              </w:rPr>
            </w:pPr>
            <w:r w:rsidRPr="000F6E12">
              <w:rPr>
                <w:bCs/>
                <w:szCs w:val="28"/>
              </w:rPr>
              <w:t>Director of TSB</w:t>
            </w:r>
          </w:p>
        </w:tc>
      </w:tr>
      <w:tr w:rsidR="009F4D71" w:rsidRPr="00426748" w14:paraId="378FF757" w14:textId="77777777" w:rsidTr="001E67FF">
        <w:trPr>
          <w:cantSplit/>
          <w:trHeight w:val="125"/>
        </w:trPr>
        <w:tc>
          <w:tcPr>
            <w:tcW w:w="9811" w:type="dxa"/>
            <w:gridSpan w:val="3"/>
          </w:tcPr>
          <w:p w14:paraId="3C0F71DD" w14:textId="22EB0B6D" w:rsidR="001E3995" w:rsidRPr="001E3995" w:rsidRDefault="001E3995" w:rsidP="001E3995">
            <w:pPr>
              <w:pStyle w:val="Title1"/>
              <w:rPr>
                <w:szCs w:val="28"/>
              </w:rPr>
            </w:pPr>
            <w:r w:rsidRPr="001E3995">
              <w:rPr>
                <w:szCs w:val="28"/>
              </w:rPr>
              <w:t xml:space="preserve">REPORT ON ESTIMATED </w:t>
            </w:r>
            <w:r w:rsidRPr="001E3995">
              <w:t>FINANCIAL</w:t>
            </w:r>
            <w:r w:rsidRPr="001E3995">
              <w:rPr>
                <w:szCs w:val="28"/>
              </w:rPr>
              <w:t xml:space="preserve"> NEEDS UP TO WTSA-24 AND ITU T EXPENSES FOR THE YEARS 2016 TO 2021</w:t>
            </w:r>
          </w:p>
        </w:tc>
      </w:tr>
      <w:tr w:rsidR="009F4D71" w:rsidRPr="00426748" w14:paraId="79F5171D" w14:textId="77777777" w:rsidTr="001D1638">
        <w:trPr>
          <w:cantSplit/>
          <w:trHeight w:val="80"/>
        </w:trPr>
        <w:tc>
          <w:tcPr>
            <w:tcW w:w="9811" w:type="dxa"/>
            <w:gridSpan w:val="3"/>
          </w:tcPr>
          <w:p w14:paraId="29108618" w14:textId="6F138918" w:rsidR="009F4D71" w:rsidRDefault="009F4D71" w:rsidP="001E3995">
            <w:pPr>
              <w:pStyle w:val="Agendaitem"/>
            </w:pPr>
          </w:p>
        </w:tc>
      </w:tr>
    </w:tbl>
    <w:p w14:paraId="3BA34533" w14:textId="77777777" w:rsidR="001E3995" w:rsidRDefault="001E3995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1E3995" w:rsidRPr="00272412" w14:paraId="1C378F82" w14:textId="77777777" w:rsidTr="001E3995">
        <w:trPr>
          <w:cantSplit/>
        </w:trPr>
        <w:tc>
          <w:tcPr>
            <w:tcW w:w="1912" w:type="dxa"/>
          </w:tcPr>
          <w:p w14:paraId="745AD41E" w14:textId="77777777" w:rsidR="001E3995" w:rsidRPr="00272412" w:rsidRDefault="001E3995" w:rsidP="00592249">
            <w:r w:rsidRPr="00272412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908A27BDF2574226AA0211200D1A669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Content>
            <w:tc>
              <w:tcPr>
                <w:tcW w:w="7899" w:type="dxa"/>
              </w:tcPr>
              <w:p w14:paraId="5B886FD8" w14:textId="77777777" w:rsidR="001E3995" w:rsidRPr="00272412" w:rsidRDefault="001E3995" w:rsidP="00592249">
                <w:pPr>
                  <w:rPr>
                    <w:color w:val="000000" w:themeColor="text1"/>
                  </w:rPr>
                </w:pPr>
                <w:r w:rsidRPr="00272412">
                  <w:t>This document provides estimated financial requirements of ITU-T until the next WTSA and summarizes the accounts for the years elapsed since the preceding WTSA.</w:t>
                </w:r>
              </w:p>
            </w:tc>
          </w:sdtContent>
        </w:sdt>
      </w:tr>
    </w:tbl>
    <w:p w14:paraId="45B964BF" w14:textId="77777777" w:rsidR="001E3995" w:rsidRDefault="001E3995" w:rsidP="001E3995"/>
    <w:p w14:paraId="5B9A11B1" w14:textId="34E163AB" w:rsidR="000F6E12" w:rsidRPr="000C491D" w:rsidRDefault="000F6E12" w:rsidP="000F6E12">
      <w:pPr>
        <w:pStyle w:val="Heading1"/>
        <w:ind w:left="0" w:firstLine="0"/>
      </w:pPr>
      <w:r w:rsidRPr="000C491D">
        <w:t>1</w:t>
      </w:r>
      <w:r w:rsidRPr="000C491D">
        <w:tab/>
        <w:t>Introduction</w:t>
      </w:r>
    </w:p>
    <w:p w14:paraId="40A59DB3" w14:textId="77777777" w:rsidR="000F6E12" w:rsidRPr="000C491D" w:rsidRDefault="000F6E12" w:rsidP="000F6E12">
      <w:r w:rsidRPr="000C491D">
        <w:t>1.1</w:t>
      </w:r>
      <w:r w:rsidRPr="000C491D">
        <w:tab/>
        <w:t>Resolution</w:t>
      </w:r>
      <w:r>
        <w:t xml:space="preserve"> </w:t>
      </w:r>
      <w:r w:rsidRPr="000C491D">
        <w:t>1 of WTSA-1</w:t>
      </w:r>
      <w:r>
        <w:t>6</w:t>
      </w:r>
      <w:r w:rsidRPr="000C491D">
        <w:t xml:space="preserve"> requests the Director of TSB to submit to the World Telecommunication Standardization Assembly a report on the financial needs of ITU-T until the next WTSA, and a summary of the accounts for the years which have elapsed since the preceding WTSA.</w:t>
      </w:r>
    </w:p>
    <w:p w14:paraId="2C9FB32C" w14:textId="6CA73209" w:rsidR="000F6E12" w:rsidRPr="00BA4C4E" w:rsidRDefault="000F6E12" w:rsidP="000F6E12">
      <w:r w:rsidRPr="00A377C9">
        <w:t>1.2</w:t>
      </w:r>
      <w:r w:rsidRPr="001E3995">
        <w:tab/>
      </w:r>
      <w:r w:rsidRPr="00BA4C4E">
        <w:t xml:space="preserve">In compliance with this request, and in line with </w:t>
      </w:r>
      <w:r>
        <w:t xml:space="preserve">PP </w:t>
      </w:r>
      <w:r w:rsidRPr="00BA4C4E">
        <w:t xml:space="preserve">Resolution 122 (Rev. </w:t>
      </w:r>
      <w:r w:rsidR="00AF19DC">
        <w:t>Guadalajara</w:t>
      </w:r>
      <w:r>
        <w:t>, 201</w:t>
      </w:r>
      <w:r w:rsidR="00AF19DC">
        <w:t>0</w:t>
      </w:r>
      <w:r w:rsidRPr="00BA4C4E">
        <w:t xml:space="preserve">), this document provides summaries of the </w:t>
      </w:r>
    </w:p>
    <w:p w14:paraId="05A95BFB" w14:textId="77777777" w:rsidR="000F6E12" w:rsidRPr="00BA4C4E" w:rsidRDefault="000F6E12" w:rsidP="000F6E12">
      <w:pPr>
        <w:numPr>
          <w:ilvl w:val="0"/>
          <w:numId w:val="14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60"/>
      </w:pPr>
      <w:r w:rsidRPr="00BA4C4E">
        <w:t>estimated financial requirements up to 20</w:t>
      </w:r>
      <w:r>
        <w:t>24</w:t>
      </w:r>
      <w:r w:rsidRPr="00BA4C4E">
        <w:t xml:space="preserve">, </w:t>
      </w:r>
    </w:p>
    <w:p w14:paraId="4D3A5A1D" w14:textId="77777777" w:rsidR="000F6E12" w:rsidRPr="00BA4C4E" w:rsidRDefault="000F6E12" w:rsidP="000F6E12">
      <w:pPr>
        <w:numPr>
          <w:ilvl w:val="0"/>
          <w:numId w:val="14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60"/>
      </w:pPr>
      <w:r w:rsidRPr="00BA4C4E">
        <w:t xml:space="preserve">financial </w:t>
      </w:r>
      <w:r>
        <w:t>contributions for the period 2016</w:t>
      </w:r>
      <w:r w:rsidRPr="00BA4C4E">
        <w:t>-20</w:t>
      </w:r>
      <w:r>
        <w:t>21</w:t>
      </w:r>
      <w:r w:rsidRPr="00BA4C4E">
        <w:t>,</w:t>
      </w:r>
    </w:p>
    <w:p w14:paraId="529FF1A3" w14:textId="77777777" w:rsidR="000F6E12" w:rsidRDefault="000F6E12" w:rsidP="000F6E12">
      <w:pPr>
        <w:numPr>
          <w:ilvl w:val="0"/>
          <w:numId w:val="14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60"/>
      </w:pPr>
      <w:r w:rsidRPr="00BA4C4E">
        <w:t>expen</w:t>
      </w:r>
      <w:r>
        <w:t>ses</w:t>
      </w:r>
      <w:r w:rsidRPr="00BA4C4E">
        <w:t xml:space="preserve"> for the period 20</w:t>
      </w:r>
      <w:r>
        <w:t>16</w:t>
      </w:r>
      <w:r w:rsidRPr="00BA4C4E">
        <w:t>-20</w:t>
      </w:r>
      <w:r>
        <w:t>21</w:t>
      </w:r>
      <w:r w:rsidRPr="000652AB">
        <w:t>.</w:t>
      </w:r>
    </w:p>
    <w:p w14:paraId="5D05D1A8" w14:textId="77777777" w:rsidR="000F6E12" w:rsidRPr="00BA4C4E" w:rsidRDefault="000F6E12" w:rsidP="000F6E12">
      <w:r>
        <w:t>1.3</w:t>
      </w:r>
      <w:r>
        <w:tab/>
        <w:t xml:space="preserve">This document will be updated during WTSA-20 to </w:t>
      </w:r>
      <w:proofErr w:type="gramStart"/>
      <w:r>
        <w:t>take into account</w:t>
      </w:r>
      <w:proofErr w:type="gramEnd"/>
      <w:r>
        <w:t xml:space="preserve"> new work identified by WTSA-20.</w:t>
      </w:r>
    </w:p>
    <w:p w14:paraId="4348F2E5" w14:textId="77777777" w:rsidR="000F6E12" w:rsidRPr="00BA4C4E" w:rsidRDefault="000F6E12" w:rsidP="000F6E12">
      <w:pPr>
        <w:pStyle w:val="Heading1"/>
        <w:ind w:left="0" w:firstLine="0"/>
      </w:pPr>
      <w:r w:rsidRPr="00BA4C4E">
        <w:lastRenderedPageBreak/>
        <w:t>2</w:t>
      </w:r>
      <w:r w:rsidRPr="00BA4C4E">
        <w:tab/>
        <w:t>Estimated financial requirements up to WTSA-2</w:t>
      </w:r>
      <w:r>
        <w:t>4</w:t>
      </w:r>
    </w:p>
    <w:p w14:paraId="609B255D" w14:textId="77777777" w:rsidR="000F6E12" w:rsidRPr="00661E47" w:rsidRDefault="000F6E12" w:rsidP="000F6E12">
      <w:pPr>
        <w:keepNext/>
        <w:keepLines/>
      </w:pPr>
      <w:r w:rsidRPr="004F0B2B">
        <w:t>2.1</w:t>
      </w:r>
      <w:r w:rsidRPr="004F0B2B">
        <w:tab/>
        <w:t>The budget of the Union for 20</w:t>
      </w:r>
      <w:r>
        <w:t>22</w:t>
      </w:r>
      <w:r w:rsidRPr="004F0B2B">
        <w:t>-20</w:t>
      </w:r>
      <w:r>
        <w:t>23</w:t>
      </w:r>
      <w:r w:rsidRPr="004F0B2B">
        <w:t xml:space="preserve"> of CHF 32</w:t>
      </w:r>
      <w:r>
        <w:t>5</w:t>
      </w:r>
      <w:r w:rsidRPr="004F0B2B">
        <w:t xml:space="preserve"> </w:t>
      </w:r>
      <w:r>
        <w:t xml:space="preserve">million </w:t>
      </w:r>
      <w:r w:rsidRPr="004F0B2B">
        <w:t>was approved by Council</w:t>
      </w:r>
      <w:r>
        <w:noBreakHyphen/>
        <w:t>21 through Resolution 1405</w:t>
      </w:r>
      <w:r w:rsidRPr="004F0B2B">
        <w:t xml:space="preserve">. For ITU-T, the budget amounts to approximately 8% </w:t>
      </w:r>
      <w:r>
        <w:t>(see </w:t>
      </w:r>
      <w:r w:rsidRPr="00244A36">
        <w:t>table 1 in the annex)</w:t>
      </w:r>
      <w:r>
        <w:t xml:space="preserve"> of the ITU budget.</w:t>
      </w:r>
    </w:p>
    <w:p w14:paraId="3AF54963" w14:textId="4ED083ED" w:rsidR="000F6E12" w:rsidRPr="004F0B2B" w:rsidRDefault="000F6E12" w:rsidP="000F6E12">
      <w:pPr>
        <w:keepNext/>
        <w:keepLines/>
        <w:numPr>
          <w:ilvl w:val="0"/>
          <w:numId w:val="12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</w:pPr>
      <w:r>
        <w:t>K</w:t>
      </w:r>
      <w:r w:rsidRPr="004F0B2B">
        <w:t>CHF 13’</w:t>
      </w:r>
      <w:r>
        <w:t>8</w:t>
      </w:r>
      <w:r w:rsidRPr="004F0B2B">
        <w:t>94 in 20</w:t>
      </w:r>
      <w:r>
        <w:t>22</w:t>
      </w:r>
      <w:r w:rsidR="006120A2">
        <w:t xml:space="preserve"> (includes WTSA)</w:t>
      </w:r>
    </w:p>
    <w:p w14:paraId="6F0D2451" w14:textId="57AC3DA7" w:rsidR="000F6E12" w:rsidRPr="004F0B2B" w:rsidRDefault="000F6E12" w:rsidP="000F6E12">
      <w:pPr>
        <w:keepNext/>
        <w:keepLines/>
        <w:numPr>
          <w:ilvl w:val="0"/>
          <w:numId w:val="12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</w:pPr>
      <w:r>
        <w:t>K</w:t>
      </w:r>
      <w:r w:rsidRPr="004F0B2B">
        <w:t>CHF 1</w:t>
      </w:r>
      <w:r w:rsidR="0017532E">
        <w:t>3</w:t>
      </w:r>
      <w:r w:rsidRPr="004F0B2B">
        <w:t>’</w:t>
      </w:r>
      <w:r>
        <w:t>195</w:t>
      </w:r>
      <w:r w:rsidRPr="004F0B2B">
        <w:t xml:space="preserve"> in 20</w:t>
      </w:r>
      <w:r>
        <w:t>23</w:t>
      </w:r>
    </w:p>
    <w:p w14:paraId="663730F5" w14:textId="4C229381" w:rsidR="000F6E12" w:rsidRPr="000C4AAE" w:rsidRDefault="000F6E12" w:rsidP="000F6E12">
      <w:r w:rsidRPr="000C4AAE">
        <w:t>2.2</w:t>
      </w:r>
      <w:r w:rsidRPr="000C4AAE">
        <w:tab/>
        <w:t xml:space="preserve">ITU-T </w:t>
      </w:r>
      <w:r>
        <w:t xml:space="preserve">draft </w:t>
      </w:r>
      <w:r w:rsidRPr="000C4AAE">
        <w:t>expen</w:t>
      </w:r>
      <w:r>
        <w:t>ses</w:t>
      </w:r>
      <w:r w:rsidRPr="000C4AAE">
        <w:t xml:space="preserve"> for the subsequent year 20</w:t>
      </w:r>
      <w:r>
        <w:t>24 (see table 2) is estimated to </w:t>
      </w:r>
      <w:r w:rsidRPr="000C4AAE">
        <w:t>be:</w:t>
      </w:r>
    </w:p>
    <w:p w14:paraId="6E5E18D1" w14:textId="77777777" w:rsidR="000F6E12" w:rsidRDefault="000F6E12" w:rsidP="000F6E12">
      <w:pPr>
        <w:numPr>
          <w:ilvl w:val="0"/>
          <w:numId w:val="13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</w:pPr>
      <w:r>
        <w:t>K</w:t>
      </w:r>
      <w:r w:rsidRPr="00846AFB">
        <w:t xml:space="preserve">CHF </w:t>
      </w:r>
      <w:r>
        <w:t>14’218</w:t>
      </w:r>
      <w:r w:rsidRPr="00846AFB">
        <w:t xml:space="preserve"> in 20</w:t>
      </w:r>
      <w:r>
        <w:t>24 (includes WTSA and its preparatory meetings)</w:t>
      </w:r>
    </w:p>
    <w:p w14:paraId="156F0BA2" w14:textId="5F7705C0" w:rsidR="000F6E12" w:rsidRPr="00122422" w:rsidRDefault="000F6E12" w:rsidP="000F6E12">
      <w:r>
        <w:t>2.3</w:t>
      </w:r>
      <w:r w:rsidRPr="00122422">
        <w:tab/>
        <w:t>Any new work identified by WTSA-</w:t>
      </w:r>
      <w:r>
        <w:t>20</w:t>
      </w:r>
      <w:r w:rsidRPr="00122422">
        <w:t xml:space="preserve"> is likely to further increase </w:t>
      </w:r>
      <w:proofErr w:type="gramStart"/>
      <w:r w:rsidRPr="00122422">
        <w:t>this expen</w:t>
      </w:r>
      <w:r>
        <w:t>ses</w:t>
      </w:r>
      <w:proofErr w:type="gramEnd"/>
      <w:r w:rsidRPr="00122422">
        <w:t xml:space="preserve"> estimate.</w:t>
      </w:r>
    </w:p>
    <w:p w14:paraId="601E0072" w14:textId="77777777" w:rsidR="000F6E12" w:rsidRPr="00A377C9" w:rsidRDefault="000F6E12" w:rsidP="000F6E12">
      <w:pPr>
        <w:pStyle w:val="Heading1"/>
      </w:pPr>
      <w:r w:rsidRPr="00A377C9">
        <w:t>3</w:t>
      </w:r>
      <w:r w:rsidRPr="00A377C9">
        <w:tab/>
        <w:t>Financial contributions for the period 20</w:t>
      </w:r>
      <w:r>
        <w:t>16</w:t>
      </w:r>
      <w:r w:rsidRPr="00A377C9">
        <w:t>-20</w:t>
      </w:r>
      <w:r>
        <w:t>21</w:t>
      </w:r>
    </w:p>
    <w:p w14:paraId="7A03F0E6" w14:textId="77777777" w:rsidR="000F6E12" w:rsidRPr="00B45B06" w:rsidRDefault="000F6E12" w:rsidP="000F6E12">
      <w:r w:rsidRPr="00A377C9">
        <w:t>3.1</w:t>
      </w:r>
      <w:r w:rsidRPr="00A377C9">
        <w:tab/>
      </w:r>
      <w:r w:rsidRPr="00B45B06">
        <w:t xml:space="preserve">The number of ITU-T Sector Members, as well as the number of ITU-T Associates and Academia as at the </w:t>
      </w:r>
      <w:r>
        <w:t>end</w:t>
      </w:r>
      <w:r w:rsidRPr="00B45B06">
        <w:t xml:space="preserve"> of each year of the 20</w:t>
      </w:r>
      <w:r>
        <w:t>16</w:t>
      </w:r>
      <w:r w:rsidRPr="00B45B06">
        <w:t>-20</w:t>
      </w:r>
      <w:r>
        <w:t>21</w:t>
      </w:r>
      <w:r w:rsidRPr="00B45B06">
        <w:t xml:space="preserve"> period are provided in table 3. </w:t>
      </w:r>
    </w:p>
    <w:p w14:paraId="043D9F72" w14:textId="1D9DC70A" w:rsidR="000F6E12" w:rsidRPr="00B45B06" w:rsidRDefault="000F6E12" w:rsidP="000F6E12">
      <w:r w:rsidRPr="00B45B06">
        <w:t>3.2</w:t>
      </w:r>
      <w:r w:rsidRPr="00B45B06">
        <w:tab/>
        <w:t>The assessed contributions from ITU-T Sector Members, Associates and Academia for the years 20</w:t>
      </w:r>
      <w:r>
        <w:t>16</w:t>
      </w:r>
      <w:r w:rsidRPr="00B45B06">
        <w:t xml:space="preserve"> to 20</w:t>
      </w:r>
      <w:r>
        <w:t>21 are contained in table </w:t>
      </w:r>
      <w:r w:rsidRPr="00B45B06">
        <w:t>4.</w:t>
      </w:r>
    </w:p>
    <w:p w14:paraId="4B1A7D81" w14:textId="1E049BA7" w:rsidR="000F6E12" w:rsidRPr="00B45B06" w:rsidRDefault="000F6E12" w:rsidP="000F6E12">
      <w:r w:rsidRPr="00B45B06">
        <w:t>3.3</w:t>
      </w:r>
      <w:r w:rsidRPr="00B45B06">
        <w:tab/>
      </w:r>
      <w:r w:rsidRPr="00AF7A3A">
        <w:t xml:space="preserve">The number of ITU-T Sector members has </w:t>
      </w:r>
      <w:r w:rsidR="004A58A7">
        <w:t>increased by 7</w:t>
      </w:r>
      <w:r w:rsidR="00AF7A3A" w:rsidRPr="00AF7A3A">
        <w:t>% (+ 1</w:t>
      </w:r>
      <w:r w:rsidR="004A58A7">
        <w:t>7</w:t>
      </w:r>
      <w:r w:rsidR="00AF7A3A" w:rsidRPr="00AF7A3A">
        <w:t>)</w:t>
      </w:r>
      <w:r w:rsidRPr="00AF7A3A">
        <w:t xml:space="preserve"> over the period 2016-2021 (2</w:t>
      </w:r>
      <w:r w:rsidR="00C17DC8" w:rsidRPr="00AF7A3A">
        <w:t>5</w:t>
      </w:r>
      <w:r w:rsidR="004A58A7">
        <w:t>2</w:t>
      </w:r>
      <w:r w:rsidRPr="00AF7A3A">
        <w:t xml:space="preserve"> on </w:t>
      </w:r>
      <w:r w:rsidR="00C17DC8" w:rsidRPr="00AF7A3A">
        <w:t>3</w:t>
      </w:r>
      <w:r w:rsidRPr="00AF7A3A">
        <w:t>1</w:t>
      </w:r>
      <w:r w:rsidRPr="00AF7A3A">
        <w:rPr>
          <w:vertAlign w:val="superscript"/>
        </w:rPr>
        <w:t>st</w:t>
      </w:r>
      <w:r w:rsidRPr="00AF7A3A">
        <w:t xml:space="preserve"> </w:t>
      </w:r>
      <w:r w:rsidR="00C17DC8" w:rsidRPr="00AF7A3A">
        <w:t>December</w:t>
      </w:r>
      <w:r w:rsidRPr="00AF7A3A">
        <w:t xml:space="preserve"> 201</w:t>
      </w:r>
      <w:r w:rsidR="00C17DC8" w:rsidRPr="00AF7A3A">
        <w:t>6</w:t>
      </w:r>
      <w:r w:rsidRPr="00AF7A3A">
        <w:t xml:space="preserve"> compared to </w:t>
      </w:r>
      <w:r w:rsidR="00AF7A3A" w:rsidRPr="00AF7A3A">
        <w:t>269</w:t>
      </w:r>
      <w:r w:rsidRPr="00AF7A3A">
        <w:t xml:space="preserve"> on </w:t>
      </w:r>
      <w:r w:rsidR="00C17DC8" w:rsidRPr="00AF7A3A">
        <w:t>3</w:t>
      </w:r>
      <w:r w:rsidRPr="00AF7A3A">
        <w:t>1</w:t>
      </w:r>
      <w:r w:rsidRPr="00AF7A3A">
        <w:rPr>
          <w:vertAlign w:val="superscript"/>
        </w:rPr>
        <w:t>st</w:t>
      </w:r>
      <w:r w:rsidRPr="00AF7A3A">
        <w:t xml:space="preserve"> </w:t>
      </w:r>
      <w:r w:rsidR="00C17DC8" w:rsidRPr="00AF7A3A">
        <w:t>December</w:t>
      </w:r>
      <w:r w:rsidRPr="00AF7A3A">
        <w:t xml:space="preserve"> 20</w:t>
      </w:r>
      <w:r w:rsidR="00C17DC8" w:rsidRPr="00AF7A3A">
        <w:t>2</w:t>
      </w:r>
      <w:r w:rsidRPr="00AF7A3A">
        <w:t>1). The number of ITU-</w:t>
      </w:r>
      <w:r w:rsidR="00C17DC8" w:rsidRPr="00AF7A3A">
        <w:t xml:space="preserve">T Associates increased by some </w:t>
      </w:r>
      <w:r w:rsidR="00AF7A3A" w:rsidRPr="00AF7A3A">
        <w:t>7</w:t>
      </w:r>
      <w:r w:rsidR="004A58A7">
        <w:t>4</w:t>
      </w:r>
      <w:r w:rsidRPr="00AF7A3A">
        <w:t>% between 201</w:t>
      </w:r>
      <w:r w:rsidR="00C17DC8" w:rsidRPr="00AF7A3A">
        <w:t>6</w:t>
      </w:r>
      <w:r w:rsidRPr="00AF7A3A">
        <w:t xml:space="preserve"> and 20</w:t>
      </w:r>
      <w:r w:rsidR="00C17DC8" w:rsidRPr="00AF7A3A">
        <w:t>2</w:t>
      </w:r>
      <w:r w:rsidRPr="00AF7A3A">
        <w:t>1 (</w:t>
      </w:r>
      <w:r w:rsidR="004A58A7">
        <w:t>127</w:t>
      </w:r>
      <w:r w:rsidR="00AF7A3A" w:rsidRPr="00AF7A3A">
        <w:t xml:space="preserve"> on 31st December 2016 compared to 221 on 31st December 2021, or</w:t>
      </w:r>
      <w:r w:rsidR="00F63180">
        <w:t xml:space="preserve"> </w:t>
      </w:r>
      <w:r w:rsidRPr="00AF7A3A">
        <w:t xml:space="preserve">+ </w:t>
      </w:r>
      <w:r w:rsidR="004A58A7">
        <w:t>94</w:t>
      </w:r>
      <w:r w:rsidRPr="00AF7A3A">
        <w:t xml:space="preserve">). </w:t>
      </w:r>
      <w:r w:rsidRPr="00F63180">
        <w:t xml:space="preserve">The number of Academia </w:t>
      </w:r>
      <w:r w:rsidR="00F63180" w:rsidRPr="00F63180">
        <w:t xml:space="preserve">also </w:t>
      </w:r>
      <w:r w:rsidRPr="00F63180">
        <w:t xml:space="preserve">increased </w:t>
      </w:r>
      <w:r w:rsidR="00F63180" w:rsidRPr="00F63180">
        <w:t>b</w:t>
      </w:r>
      <w:r w:rsidRPr="00F63180">
        <w:t>etween 201</w:t>
      </w:r>
      <w:r w:rsidR="00C17DC8" w:rsidRPr="00F63180">
        <w:t>6</w:t>
      </w:r>
      <w:r w:rsidRPr="00F63180">
        <w:t xml:space="preserve"> and 20</w:t>
      </w:r>
      <w:r w:rsidR="00C17DC8" w:rsidRPr="00F63180">
        <w:t>2</w:t>
      </w:r>
      <w:r w:rsidRPr="00F63180">
        <w:t xml:space="preserve">1 (from </w:t>
      </w:r>
      <w:r w:rsidR="00F63180" w:rsidRPr="00F63180">
        <w:t>10</w:t>
      </w:r>
      <w:r w:rsidR="004A58A7">
        <w:t>3</w:t>
      </w:r>
      <w:r w:rsidRPr="00F63180">
        <w:t xml:space="preserve"> to </w:t>
      </w:r>
      <w:r w:rsidR="00F63180" w:rsidRPr="00F63180">
        <w:t>161, or + 5</w:t>
      </w:r>
      <w:r w:rsidR="004A58A7">
        <w:t>8</w:t>
      </w:r>
      <w:r w:rsidRPr="00F63180">
        <w:t>). This is due to the growing interest by Academia in the work of ITU-T and the fact that since PP-14 (Resolution 169 that entitles Academia to participate in the work of all three Sectors) all Academia are now counted as a single group.</w:t>
      </w:r>
      <w:r>
        <w:t xml:space="preserve"> </w:t>
      </w:r>
    </w:p>
    <w:p w14:paraId="524D9454" w14:textId="030F652D" w:rsidR="000F6E12" w:rsidRPr="00B45B06" w:rsidRDefault="000F6E12" w:rsidP="000F6E12">
      <w:r w:rsidRPr="00B45B06">
        <w:t>3.4</w:t>
      </w:r>
      <w:r w:rsidRPr="00B45B06">
        <w:tab/>
      </w:r>
      <w:r w:rsidRPr="00AD1FF0">
        <w:t>During the period 2016-2021, voluntary contributions</w:t>
      </w:r>
      <w:r w:rsidR="00AD1FF0" w:rsidRPr="00AD1FF0">
        <w:t>, sponsorships and Funds-in-Trust</w:t>
      </w:r>
      <w:r w:rsidRPr="00AD1FF0">
        <w:t xml:space="preserve"> have been received in support of the activities of the ITU-T Sector pursuant to </w:t>
      </w:r>
      <w:r w:rsidR="00603C9E" w:rsidRPr="00AD1FF0">
        <w:t xml:space="preserve">WTSA </w:t>
      </w:r>
      <w:r w:rsidRPr="00AD1FF0">
        <w:t xml:space="preserve">Resolution 34 (Rev. Dubai, 2012) encouraging the financing of specific projects, focus groups or other new initiatives, including any activities which help achieve the objectives of Resolution 44 (Rev. </w:t>
      </w:r>
      <w:proofErr w:type="spellStart"/>
      <w:r w:rsidR="00D960C6" w:rsidRPr="00AD1FF0">
        <w:t>Hammamet</w:t>
      </w:r>
      <w:proofErr w:type="spellEnd"/>
      <w:r w:rsidRPr="00AD1FF0">
        <w:t>, 201</w:t>
      </w:r>
      <w:r w:rsidR="00D960C6" w:rsidRPr="00AD1FF0">
        <w:t>6</w:t>
      </w:r>
      <w:r w:rsidRPr="00AD1FF0">
        <w:t xml:space="preserve">) on bridging the standardization gap. The amounts received and spent are provided in table 5 for each year of the period 2016-2021.  </w:t>
      </w:r>
    </w:p>
    <w:p w14:paraId="05404BE3" w14:textId="77777777" w:rsidR="000F6E12" w:rsidRPr="009A3568" w:rsidRDefault="000F6E12" w:rsidP="000F6E12">
      <w:pPr>
        <w:pStyle w:val="Heading1"/>
      </w:pPr>
      <w:r w:rsidRPr="00B45B06">
        <w:t>4</w:t>
      </w:r>
      <w:r w:rsidRPr="00B45B06">
        <w:tab/>
      </w:r>
      <w:r w:rsidRPr="009A3568">
        <w:t>ITU-T expen</w:t>
      </w:r>
      <w:r>
        <w:t>s</w:t>
      </w:r>
      <w:r w:rsidRPr="009A3568">
        <w:t>e</w:t>
      </w:r>
      <w:r>
        <w:t>s</w:t>
      </w:r>
      <w:r w:rsidRPr="009A3568">
        <w:t xml:space="preserve"> for the period 20</w:t>
      </w:r>
      <w:r>
        <w:t>16</w:t>
      </w:r>
      <w:r w:rsidRPr="009A3568">
        <w:t>-20</w:t>
      </w:r>
      <w:r>
        <w:t>21</w:t>
      </w:r>
    </w:p>
    <w:p w14:paraId="0EABF020" w14:textId="03B1327C" w:rsidR="000F6E12" w:rsidRDefault="000F6E12" w:rsidP="000F6E12">
      <w:pPr>
        <w:keepNext/>
        <w:keepLines/>
      </w:pPr>
      <w:r w:rsidRPr="009A3568">
        <w:t>4.1</w:t>
      </w:r>
      <w:r w:rsidRPr="009A3568">
        <w:tab/>
        <w:t>For each of the t</w:t>
      </w:r>
      <w:r>
        <w:t>hree</w:t>
      </w:r>
      <w:r w:rsidRPr="009A3568">
        <w:t xml:space="preserve"> biennia of 20</w:t>
      </w:r>
      <w:r>
        <w:t>16</w:t>
      </w:r>
      <w:r w:rsidRPr="009A3568">
        <w:t>-20</w:t>
      </w:r>
      <w:r>
        <w:t>17, 2018-2019</w:t>
      </w:r>
      <w:r w:rsidRPr="009A3568">
        <w:t xml:space="preserve"> and 20</w:t>
      </w:r>
      <w:r>
        <w:t>20</w:t>
      </w:r>
      <w:r w:rsidRPr="009A3568">
        <w:t>-20</w:t>
      </w:r>
      <w:r>
        <w:t>21</w:t>
      </w:r>
      <w:r w:rsidRPr="009A3568">
        <w:t>, budgetary appropriations, actual expen</w:t>
      </w:r>
      <w:r>
        <w:t>ses</w:t>
      </w:r>
      <w:r w:rsidRPr="009A3568">
        <w:t xml:space="preserve"> and variances are shown by section in table 6 and by category </w:t>
      </w:r>
      <w:r w:rsidR="009C5F31">
        <w:t xml:space="preserve">of expenses </w:t>
      </w:r>
      <w:r w:rsidRPr="009A3568">
        <w:t>in table 7.</w:t>
      </w:r>
    </w:p>
    <w:p w14:paraId="3FEA742C" w14:textId="77777777" w:rsidR="001E3995" w:rsidRPr="009A3568" w:rsidRDefault="001E3995" w:rsidP="000F6E12">
      <w:pPr>
        <w:keepNext/>
        <w:keepLines/>
      </w:pPr>
    </w:p>
    <w:p w14:paraId="20F7D402" w14:textId="7B8C22AB" w:rsidR="000F6E12" w:rsidRDefault="000F6E12" w:rsidP="000F6E12">
      <w:r w:rsidRPr="009A3568">
        <w:t>Annex</w:t>
      </w:r>
      <w:r w:rsidR="00D40F3C">
        <w:t xml:space="preserve"> 1</w:t>
      </w:r>
      <w:r w:rsidRPr="009A3568">
        <w:t>: Tables 1 to 7</w:t>
      </w:r>
    </w:p>
    <w:p w14:paraId="64E99969" w14:textId="1E9E86E8" w:rsidR="000F6E12" w:rsidRPr="000C4AAE" w:rsidRDefault="000F6E12" w:rsidP="000F6E12">
      <w:pPr>
        <w:pStyle w:val="AnnexNo"/>
      </w:pPr>
      <w:r w:rsidRPr="000C4AAE">
        <w:lastRenderedPageBreak/>
        <w:t>Annex</w:t>
      </w:r>
      <w:r w:rsidR="00D40F3C">
        <w:t xml:space="preserve"> 1</w:t>
      </w:r>
    </w:p>
    <w:p w14:paraId="70AF4821" w14:textId="17D20048" w:rsidR="000F6E12" w:rsidRPr="006C4CA3" w:rsidRDefault="000F6E12" w:rsidP="000F6E12">
      <w:pPr>
        <w:pStyle w:val="TableNo"/>
      </w:pPr>
      <w:r w:rsidRPr="008175C9">
        <w:t>T</w:t>
      </w:r>
      <w:r w:rsidR="003D666E">
        <w:t>able</w:t>
      </w:r>
      <w:r w:rsidRPr="008175C9">
        <w:t xml:space="preserve"> 1</w:t>
      </w:r>
    </w:p>
    <w:p w14:paraId="0F6F04EA" w14:textId="77777777" w:rsidR="000F6E12" w:rsidRPr="00661E47" w:rsidRDefault="000F6E12" w:rsidP="000F6E12">
      <w:pPr>
        <w:jc w:val="center"/>
        <w:rPr>
          <w:sz w:val="28"/>
          <w:szCs w:val="28"/>
        </w:rPr>
      </w:pPr>
      <w:r w:rsidRPr="00924460">
        <w:rPr>
          <w:noProof/>
          <w:lang w:val="en-US"/>
        </w:rPr>
        <w:drawing>
          <wp:inline distT="0" distB="0" distL="0" distR="0" wp14:anchorId="2F3C8D7D" wp14:editId="618F4E14">
            <wp:extent cx="3733800" cy="18407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23" cy="18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C4047" w14:textId="77777777" w:rsidR="000F6E12" w:rsidRPr="00661E47" w:rsidRDefault="000F6E12" w:rsidP="000F6E12">
      <w:pPr>
        <w:jc w:val="center"/>
        <w:rPr>
          <w:sz w:val="28"/>
          <w:szCs w:val="28"/>
        </w:rPr>
      </w:pPr>
    </w:p>
    <w:p w14:paraId="0D0FCB1D" w14:textId="09149793" w:rsidR="000F6E12" w:rsidRDefault="000F6E12" w:rsidP="003D666E">
      <w:pPr>
        <w:pStyle w:val="TableNo"/>
      </w:pPr>
      <w:r w:rsidRPr="008175C9">
        <w:t>Table 2</w:t>
      </w:r>
      <w:r w:rsidR="00D1491E">
        <w:br/>
      </w:r>
      <w:r>
        <w:br/>
      </w:r>
      <w:r w:rsidRPr="00FC2B44">
        <w:rPr>
          <w:noProof/>
          <w:lang w:val="en-US"/>
        </w:rPr>
        <w:drawing>
          <wp:inline distT="0" distB="0" distL="0" distR="0" wp14:anchorId="228807FA" wp14:editId="725F58C4">
            <wp:extent cx="2279650" cy="195881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549" cy="196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97682" w14:textId="1A6E4CB0" w:rsidR="00AC6B4C" w:rsidRDefault="00AC6B4C" w:rsidP="00AC6B4C"/>
    <w:p w14:paraId="2D4C4562" w14:textId="5F54BD5F" w:rsidR="000F6E12" w:rsidRDefault="000F6E12" w:rsidP="003D666E">
      <w:pPr>
        <w:pStyle w:val="TableNo"/>
      </w:pPr>
      <w:r w:rsidRPr="008175C9">
        <w:t>Table 3</w:t>
      </w:r>
    </w:p>
    <w:p w14:paraId="6E953861" w14:textId="055EE741" w:rsidR="003D666E" w:rsidRDefault="004A58A7" w:rsidP="003D666E">
      <w:r w:rsidRPr="004A58A7">
        <w:rPr>
          <w:noProof/>
          <w:lang w:val="en-US"/>
        </w:rPr>
        <w:drawing>
          <wp:inline distT="0" distB="0" distL="0" distR="0" wp14:anchorId="58154E6E" wp14:editId="23F5C911">
            <wp:extent cx="5880100" cy="870518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85" cy="87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6B8AB" w14:textId="5BD3E78E" w:rsidR="00D1491E" w:rsidRDefault="000F6E12" w:rsidP="00B25BEA">
      <w:pPr>
        <w:pStyle w:val="TableNo"/>
      </w:pPr>
      <w:r w:rsidRPr="008175C9">
        <w:lastRenderedPageBreak/>
        <w:t>T</w:t>
      </w:r>
      <w:r w:rsidR="003D666E">
        <w:t>ABLE</w:t>
      </w:r>
      <w:r w:rsidRPr="008175C9">
        <w:t xml:space="preserve"> 4</w:t>
      </w:r>
    </w:p>
    <w:p w14:paraId="65505255" w14:textId="4CF3C3D8" w:rsidR="000F6E12" w:rsidRDefault="00A03A1C" w:rsidP="003D666E">
      <w:pPr>
        <w:jc w:val="center"/>
      </w:pPr>
      <w:r w:rsidRPr="00A03A1C">
        <w:rPr>
          <w:noProof/>
          <w:lang w:val="en-US"/>
        </w:rPr>
        <w:drawing>
          <wp:inline distT="0" distB="0" distL="0" distR="0" wp14:anchorId="02591229" wp14:editId="1428BC78">
            <wp:extent cx="6120765" cy="906147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0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34211" w14:textId="77777777" w:rsidR="00AC6B4C" w:rsidRDefault="00AC6B4C" w:rsidP="001E3995"/>
    <w:p w14:paraId="61188D65" w14:textId="77777777" w:rsidR="00AC6B4C" w:rsidRDefault="000F6E12" w:rsidP="00BA6A0C">
      <w:pPr>
        <w:pStyle w:val="TableNo"/>
      </w:pPr>
      <w:r w:rsidRPr="00286E10">
        <w:t>Table 5</w:t>
      </w:r>
    </w:p>
    <w:p w14:paraId="027B2AA9" w14:textId="5D4873D4" w:rsidR="00AC6B4C" w:rsidRDefault="00092FDE" w:rsidP="001E3995">
      <w:pPr>
        <w:pStyle w:val="TableNo"/>
        <w:spacing w:before="120"/>
      </w:pPr>
      <w:r w:rsidRPr="00092FDE">
        <w:rPr>
          <w:noProof/>
          <w:lang w:val="en-US"/>
        </w:rPr>
        <w:drawing>
          <wp:inline distT="0" distB="0" distL="0" distR="0" wp14:anchorId="434F24E0" wp14:editId="580AD754">
            <wp:extent cx="6120765" cy="108566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8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998C8" w14:textId="77777777" w:rsidR="00D1491E" w:rsidRDefault="00D1491E" w:rsidP="007A580F">
      <w:pPr>
        <w:jc w:val="center"/>
      </w:pPr>
    </w:p>
    <w:p w14:paraId="437C5763" w14:textId="0C66C6E9" w:rsidR="007A580F" w:rsidRDefault="007A580F" w:rsidP="007A580F">
      <w:pPr>
        <w:jc w:val="center"/>
        <w:rPr>
          <w:noProof/>
          <w:lang w:val="en-US"/>
        </w:rPr>
      </w:pPr>
      <w:r>
        <w:t>TABLE</w:t>
      </w:r>
      <w:r w:rsidR="000F6E12" w:rsidRPr="008175C9">
        <w:t xml:space="preserve"> 6</w:t>
      </w:r>
    </w:p>
    <w:p w14:paraId="34BEF384" w14:textId="6575FE46" w:rsidR="007A580F" w:rsidRDefault="00113620" w:rsidP="007A580F">
      <w:pPr>
        <w:jc w:val="center"/>
      </w:pPr>
      <w:r w:rsidRPr="00113620">
        <w:rPr>
          <w:noProof/>
        </w:rPr>
        <w:drawing>
          <wp:inline distT="0" distB="0" distL="0" distR="0" wp14:anchorId="0E430685" wp14:editId="6EED5E89">
            <wp:extent cx="6120765" cy="1884370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8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2946E" w14:textId="77777777" w:rsidR="00AC6B4C" w:rsidRDefault="00AC6B4C" w:rsidP="007A580F">
      <w:pPr>
        <w:jc w:val="center"/>
      </w:pPr>
    </w:p>
    <w:p w14:paraId="56912CA2" w14:textId="00ED9021" w:rsidR="000F6E12" w:rsidRDefault="000F6E12" w:rsidP="007A580F">
      <w:pPr>
        <w:jc w:val="center"/>
      </w:pPr>
      <w:r w:rsidRPr="008175C9">
        <w:t>T</w:t>
      </w:r>
      <w:r w:rsidR="007A580F">
        <w:t>ABLE</w:t>
      </w:r>
      <w:r w:rsidRPr="008175C9">
        <w:t xml:space="preserve"> 7</w:t>
      </w:r>
    </w:p>
    <w:p w14:paraId="3E1B9750" w14:textId="00BD43A9" w:rsidR="00BA6A0C" w:rsidRDefault="00113620" w:rsidP="00C91DB5">
      <w:pPr>
        <w:jc w:val="center"/>
      </w:pPr>
      <w:r w:rsidRPr="00113620">
        <w:rPr>
          <w:noProof/>
        </w:rPr>
        <w:drawing>
          <wp:inline distT="0" distB="0" distL="0" distR="0" wp14:anchorId="1CDD68AA" wp14:editId="42C4971F">
            <wp:extent cx="6120765" cy="217321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17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41668" w14:textId="31927923" w:rsidR="003220CE" w:rsidRDefault="000F6E12" w:rsidP="001E3995">
      <w:pPr>
        <w:spacing w:before="0"/>
        <w:jc w:val="center"/>
      </w:pPr>
      <w:r w:rsidRPr="009516CF">
        <w:rPr>
          <w:szCs w:val="24"/>
        </w:rPr>
        <w:t>_________________</w:t>
      </w:r>
    </w:p>
    <w:sectPr w:rsidR="003220CE" w:rsidSect="001E3995">
      <w:headerReference w:type="default" r:id="rId19"/>
      <w:footerReference w:type="even" r:id="rId20"/>
      <w:pgSz w:w="11907" w:h="16840" w:code="9"/>
      <w:pgMar w:top="1134" w:right="1134" w:bottom="1843" w:left="1134" w:header="709" w:footer="42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A947F" w14:textId="77777777" w:rsidR="00167393" w:rsidRDefault="00167393">
      <w:r>
        <w:separator/>
      </w:r>
    </w:p>
  </w:endnote>
  <w:endnote w:type="continuationSeparator" w:id="0">
    <w:p w14:paraId="461EA84F" w14:textId="77777777" w:rsidR="00167393" w:rsidRDefault="0016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D690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6F53EA9" w14:textId="630603D6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1164A">
      <w:rPr>
        <w:noProof/>
        <w:lang w:val="en-US"/>
      </w:rPr>
      <w:t>N:\CONFERENCES\WTSA 2016\TEMPLATE WTSA16E.docx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3995">
      <w:rPr>
        <w:noProof/>
      </w:rPr>
      <w:t>17.01.22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1164A">
      <w:rPr>
        <w:noProof/>
      </w:rPr>
      <w:t>15.06.16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49FF0" w14:textId="77777777" w:rsidR="00167393" w:rsidRDefault="00167393">
      <w:r>
        <w:rPr>
          <w:b/>
        </w:rPr>
        <w:t>_______________</w:t>
      </w:r>
    </w:p>
  </w:footnote>
  <w:footnote w:type="continuationSeparator" w:id="0">
    <w:p w14:paraId="78194D26" w14:textId="77777777" w:rsidR="00167393" w:rsidRDefault="00167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E05D" w14:textId="0441F5E5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01347">
      <w:rPr>
        <w:noProof/>
      </w:rPr>
      <w:t>5</w:t>
    </w:r>
    <w:r>
      <w:fldChar w:fldCharType="end"/>
    </w:r>
  </w:p>
  <w:p w14:paraId="757446EB" w14:textId="4741A4CB" w:rsidR="00A066F1" w:rsidRPr="00C72D5C" w:rsidRDefault="00C72D5C" w:rsidP="001E3995">
    <w:pPr>
      <w:pStyle w:val="Header"/>
      <w:spacing w:after="360"/>
    </w:pPr>
    <w:r>
      <w:t>WTSA</w:t>
    </w:r>
    <w:r w:rsidR="006E4427">
      <w:t>20</w:t>
    </w:r>
    <w:bookmarkStart w:id="0" w:name="OLE_LINK1"/>
    <w:bookmarkStart w:id="1" w:name="OLE_LINK2"/>
    <w:bookmarkStart w:id="2" w:name="OLE_LINK3"/>
    <w:r w:rsidR="00165BA0">
      <w:t>/</w:t>
    </w:r>
    <w:r w:rsidR="001E3995">
      <w:t>29</w:t>
    </w:r>
    <w:r w:rsidR="00165BA0">
      <w:t>-E</w:t>
    </w:r>
    <w:bookmarkEnd w:id="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2E9A7D5C"/>
    <w:multiLevelType w:val="hybridMultilevel"/>
    <w:tmpl w:val="154087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9C4422"/>
    <w:multiLevelType w:val="hybridMultilevel"/>
    <w:tmpl w:val="5ED815BC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3" w15:restartNumberingAfterBreak="0">
    <w:nsid w:val="77EC6AA5"/>
    <w:multiLevelType w:val="hybridMultilevel"/>
    <w:tmpl w:val="1E9CB292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B02"/>
    <w:rsid w:val="000041EA"/>
    <w:rsid w:val="00022A29"/>
    <w:rsid w:val="000355FD"/>
    <w:rsid w:val="00051E39"/>
    <w:rsid w:val="00060186"/>
    <w:rsid w:val="00063EA3"/>
    <w:rsid w:val="00065D8A"/>
    <w:rsid w:val="00070870"/>
    <w:rsid w:val="00077239"/>
    <w:rsid w:val="00081A4F"/>
    <w:rsid w:val="00082C6B"/>
    <w:rsid w:val="00086491"/>
    <w:rsid w:val="00091346"/>
    <w:rsid w:val="00092FDE"/>
    <w:rsid w:val="0009706C"/>
    <w:rsid w:val="000C64F5"/>
    <w:rsid w:val="000F6E12"/>
    <w:rsid w:val="000F73FF"/>
    <w:rsid w:val="00113620"/>
    <w:rsid w:val="00114CF7"/>
    <w:rsid w:val="00123B68"/>
    <w:rsid w:val="00126F2E"/>
    <w:rsid w:val="00146F6F"/>
    <w:rsid w:val="00165BA0"/>
    <w:rsid w:val="00167393"/>
    <w:rsid w:val="0017532E"/>
    <w:rsid w:val="00187BD9"/>
    <w:rsid w:val="00190B55"/>
    <w:rsid w:val="001A19BF"/>
    <w:rsid w:val="001C3B5F"/>
    <w:rsid w:val="001D058F"/>
    <w:rsid w:val="001D1638"/>
    <w:rsid w:val="001E3995"/>
    <w:rsid w:val="001E67FF"/>
    <w:rsid w:val="001E6F73"/>
    <w:rsid w:val="002009EA"/>
    <w:rsid w:val="00202CA0"/>
    <w:rsid w:val="0021164A"/>
    <w:rsid w:val="00216B6D"/>
    <w:rsid w:val="00225B55"/>
    <w:rsid w:val="00250AF4"/>
    <w:rsid w:val="00254556"/>
    <w:rsid w:val="00260B50"/>
    <w:rsid w:val="00271316"/>
    <w:rsid w:val="0027159F"/>
    <w:rsid w:val="00274F80"/>
    <w:rsid w:val="0028424F"/>
    <w:rsid w:val="002C2F5E"/>
    <w:rsid w:val="002D58BE"/>
    <w:rsid w:val="003220CE"/>
    <w:rsid w:val="00335692"/>
    <w:rsid w:val="00337B50"/>
    <w:rsid w:val="00345782"/>
    <w:rsid w:val="0034635C"/>
    <w:rsid w:val="00350C21"/>
    <w:rsid w:val="00352111"/>
    <w:rsid w:val="00353FB2"/>
    <w:rsid w:val="00360646"/>
    <w:rsid w:val="00377BD3"/>
    <w:rsid w:val="00384088"/>
    <w:rsid w:val="0039169B"/>
    <w:rsid w:val="00393EEF"/>
    <w:rsid w:val="003A7F8C"/>
    <w:rsid w:val="003B532E"/>
    <w:rsid w:val="003D0F8B"/>
    <w:rsid w:val="003D666E"/>
    <w:rsid w:val="00411E85"/>
    <w:rsid w:val="0041348E"/>
    <w:rsid w:val="00417C2D"/>
    <w:rsid w:val="004447A4"/>
    <w:rsid w:val="00454E60"/>
    <w:rsid w:val="00486F14"/>
    <w:rsid w:val="00492075"/>
    <w:rsid w:val="004969AD"/>
    <w:rsid w:val="004A26C4"/>
    <w:rsid w:val="004A58A7"/>
    <w:rsid w:val="004B13CB"/>
    <w:rsid w:val="004B2FB6"/>
    <w:rsid w:val="004B4AAE"/>
    <w:rsid w:val="004D5BA5"/>
    <w:rsid w:val="004D5D5C"/>
    <w:rsid w:val="004D6DFC"/>
    <w:rsid w:val="0050139F"/>
    <w:rsid w:val="00525C9E"/>
    <w:rsid w:val="00527DA2"/>
    <w:rsid w:val="0055140B"/>
    <w:rsid w:val="00555AEE"/>
    <w:rsid w:val="00556EDE"/>
    <w:rsid w:val="00595780"/>
    <w:rsid w:val="005964AB"/>
    <w:rsid w:val="005C099A"/>
    <w:rsid w:val="005C31A5"/>
    <w:rsid w:val="005E10C9"/>
    <w:rsid w:val="005E61DD"/>
    <w:rsid w:val="005E7D27"/>
    <w:rsid w:val="006023DF"/>
    <w:rsid w:val="00603C9E"/>
    <w:rsid w:val="006120A2"/>
    <w:rsid w:val="006217E0"/>
    <w:rsid w:val="00654BD7"/>
    <w:rsid w:val="006562DC"/>
    <w:rsid w:val="00657DE0"/>
    <w:rsid w:val="0067500B"/>
    <w:rsid w:val="00685313"/>
    <w:rsid w:val="00692833"/>
    <w:rsid w:val="006A0B49"/>
    <w:rsid w:val="006A6E9B"/>
    <w:rsid w:val="006B7C2A"/>
    <w:rsid w:val="006C23DA"/>
    <w:rsid w:val="006E3D45"/>
    <w:rsid w:val="006E4427"/>
    <w:rsid w:val="007149F9"/>
    <w:rsid w:val="00716789"/>
    <w:rsid w:val="00733A30"/>
    <w:rsid w:val="00742F1D"/>
    <w:rsid w:val="00745AEE"/>
    <w:rsid w:val="00750F10"/>
    <w:rsid w:val="007742CA"/>
    <w:rsid w:val="00790D70"/>
    <w:rsid w:val="007A2817"/>
    <w:rsid w:val="007A580F"/>
    <w:rsid w:val="007D5320"/>
    <w:rsid w:val="00800972"/>
    <w:rsid w:val="00804475"/>
    <w:rsid w:val="00811633"/>
    <w:rsid w:val="00815714"/>
    <w:rsid w:val="00864CD2"/>
    <w:rsid w:val="00872FC8"/>
    <w:rsid w:val="008748DD"/>
    <w:rsid w:val="00882696"/>
    <w:rsid w:val="008845D0"/>
    <w:rsid w:val="008B1AEA"/>
    <w:rsid w:val="008B30FF"/>
    <w:rsid w:val="008B43F2"/>
    <w:rsid w:val="008B6CFF"/>
    <w:rsid w:val="009163CF"/>
    <w:rsid w:val="0092255F"/>
    <w:rsid w:val="0092425C"/>
    <w:rsid w:val="009274B4"/>
    <w:rsid w:val="00934EA2"/>
    <w:rsid w:val="00940614"/>
    <w:rsid w:val="00944A5C"/>
    <w:rsid w:val="00952A66"/>
    <w:rsid w:val="0095691C"/>
    <w:rsid w:val="00987EE8"/>
    <w:rsid w:val="009A0AB3"/>
    <w:rsid w:val="009C56E5"/>
    <w:rsid w:val="009C5F31"/>
    <w:rsid w:val="009E5FC8"/>
    <w:rsid w:val="009E687A"/>
    <w:rsid w:val="009F4D71"/>
    <w:rsid w:val="00A03A1C"/>
    <w:rsid w:val="00A066F1"/>
    <w:rsid w:val="00A141AF"/>
    <w:rsid w:val="00A16D29"/>
    <w:rsid w:val="00A17B72"/>
    <w:rsid w:val="00A30305"/>
    <w:rsid w:val="00A31D2D"/>
    <w:rsid w:val="00A41CB8"/>
    <w:rsid w:val="00A4600A"/>
    <w:rsid w:val="00A507A9"/>
    <w:rsid w:val="00A538A6"/>
    <w:rsid w:val="00A54C25"/>
    <w:rsid w:val="00A710E7"/>
    <w:rsid w:val="00A7372E"/>
    <w:rsid w:val="00A86B02"/>
    <w:rsid w:val="00A93B85"/>
    <w:rsid w:val="00AA0B18"/>
    <w:rsid w:val="00AA666F"/>
    <w:rsid w:val="00AB7C5F"/>
    <w:rsid w:val="00AC4D32"/>
    <w:rsid w:val="00AC6B4C"/>
    <w:rsid w:val="00AD1FF0"/>
    <w:rsid w:val="00AF19DC"/>
    <w:rsid w:val="00AF4892"/>
    <w:rsid w:val="00AF7A3A"/>
    <w:rsid w:val="00B102E4"/>
    <w:rsid w:val="00B23EAE"/>
    <w:rsid w:val="00B25BEA"/>
    <w:rsid w:val="00B43640"/>
    <w:rsid w:val="00B639E9"/>
    <w:rsid w:val="00B817CD"/>
    <w:rsid w:val="00B94AD0"/>
    <w:rsid w:val="00BA5265"/>
    <w:rsid w:val="00BA6A0C"/>
    <w:rsid w:val="00BB3A95"/>
    <w:rsid w:val="00BB5F8C"/>
    <w:rsid w:val="00BF1431"/>
    <w:rsid w:val="00C0018F"/>
    <w:rsid w:val="00C01347"/>
    <w:rsid w:val="00C16A5A"/>
    <w:rsid w:val="00C17DC8"/>
    <w:rsid w:val="00C20466"/>
    <w:rsid w:val="00C214ED"/>
    <w:rsid w:val="00C234E6"/>
    <w:rsid w:val="00C324A8"/>
    <w:rsid w:val="00C51C61"/>
    <w:rsid w:val="00C54517"/>
    <w:rsid w:val="00C64CD8"/>
    <w:rsid w:val="00C72D5C"/>
    <w:rsid w:val="00C804FF"/>
    <w:rsid w:val="00C91DB5"/>
    <w:rsid w:val="00C97C68"/>
    <w:rsid w:val="00CA1A47"/>
    <w:rsid w:val="00CA6AF9"/>
    <w:rsid w:val="00CC247A"/>
    <w:rsid w:val="00CD7CC4"/>
    <w:rsid w:val="00CE388F"/>
    <w:rsid w:val="00CE5B08"/>
    <w:rsid w:val="00CE5E47"/>
    <w:rsid w:val="00CF020F"/>
    <w:rsid w:val="00CF1E9D"/>
    <w:rsid w:val="00CF2B5B"/>
    <w:rsid w:val="00D067D2"/>
    <w:rsid w:val="00D1491E"/>
    <w:rsid w:val="00D14CE0"/>
    <w:rsid w:val="00D24E16"/>
    <w:rsid w:val="00D278AC"/>
    <w:rsid w:val="00D300D0"/>
    <w:rsid w:val="00D40F3C"/>
    <w:rsid w:val="00D54009"/>
    <w:rsid w:val="00D5651D"/>
    <w:rsid w:val="00D579F6"/>
    <w:rsid w:val="00D57A34"/>
    <w:rsid w:val="00D643B3"/>
    <w:rsid w:val="00D64F52"/>
    <w:rsid w:val="00D74898"/>
    <w:rsid w:val="00D801ED"/>
    <w:rsid w:val="00D936BC"/>
    <w:rsid w:val="00D960C6"/>
    <w:rsid w:val="00D96530"/>
    <w:rsid w:val="00DD1FAA"/>
    <w:rsid w:val="00DD44AF"/>
    <w:rsid w:val="00DE2AC3"/>
    <w:rsid w:val="00DE5692"/>
    <w:rsid w:val="00DF3E19"/>
    <w:rsid w:val="00E03C94"/>
    <w:rsid w:val="00E1372E"/>
    <w:rsid w:val="00E26226"/>
    <w:rsid w:val="00E45D05"/>
    <w:rsid w:val="00E55816"/>
    <w:rsid w:val="00E55AEF"/>
    <w:rsid w:val="00E7443B"/>
    <w:rsid w:val="00E976C1"/>
    <w:rsid w:val="00EA061B"/>
    <w:rsid w:val="00EA12E5"/>
    <w:rsid w:val="00EB55C6"/>
    <w:rsid w:val="00EC7E10"/>
    <w:rsid w:val="00EC7F04"/>
    <w:rsid w:val="00ED2881"/>
    <w:rsid w:val="00F02766"/>
    <w:rsid w:val="00F05BD4"/>
    <w:rsid w:val="00F2585B"/>
    <w:rsid w:val="00F6155B"/>
    <w:rsid w:val="00F63180"/>
    <w:rsid w:val="00F65C19"/>
    <w:rsid w:val="00F7356B"/>
    <w:rsid w:val="00F80977"/>
    <w:rsid w:val="00FD2546"/>
    <w:rsid w:val="00FD772E"/>
    <w:rsid w:val="00FE78C7"/>
    <w:rsid w:val="00FF107B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703A19"/>
  <w15:docId w15:val="{956F2473-0D55-421C-B4B2-130E3B77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C72D5C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260B50"/>
    <w:pPr>
      <w:keepNext/>
      <w:keepLines/>
      <w:spacing w:before="480"/>
    </w:pPr>
    <w:rPr>
      <w:caps/>
      <w:sz w:val="28"/>
    </w:rPr>
  </w:style>
  <w:style w:type="paragraph" w:customStyle="1" w:styleId="Rectitle">
    <w:name w:val="Rec_title"/>
    <w:basedOn w:val="RecNo"/>
    <w:next w:val="Normal"/>
    <w:rsid w:val="00260B50"/>
    <w:pPr>
      <w:spacing w:before="240"/>
      <w:jc w:val="center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21164A"/>
    <w:rPr>
      <w:b/>
      <w:bCs/>
    </w:rPr>
  </w:style>
  <w:style w:type="character" w:styleId="Hyperlink">
    <w:name w:val="Hyperlink"/>
    <w:basedOn w:val="DefaultParagraphFont"/>
    <w:rsid w:val="0021164A"/>
    <w:rPr>
      <w:color w:val="0000FF" w:themeColor="hyperlink"/>
      <w:u w:val="single"/>
    </w:rPr>
  </w:style>
  <w:style w:type="character" w:customStyle="1" w:styleId="NormalaftertitleChar">
    <w:name w:val="Normal after title Char"/>
    <w:link w:val="Normalaftertitle"/>
    <w:locked/>
    <w:rsid w:val="0021164A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2116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9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tano\Documents\WTSA%20templates\WTSA16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8A27BDF2574226AA0211200D1A6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F9344-4387-474E-ACE4-BFDBF2A5DE5C}"/>
      </w:docPartPr>
      <w:docPartBody>
        <w:p w:rsidR="00000000" w:rsidRDefault="00A26B67" w:rsidP="00A26B67">
          <w:pPr>
            <w:pStyle w:val="908A27BDF2574226AA0211200D1A6690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885"/>
    <w:rsid w:val="001D2885"/>
    <w:rsid w:val="004A70F6"/>
    <w:rsid w:val="00A2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6B67"/>
    <w:rPr>
      <w:color w:val="808080"/>
    </w:rPr>
  </w:style>
  <w:style w:type="paragraph" w:customStyle="1" w:styleId="88E62EA0908D416491B0EBCC9CEEF2E2">
    <w:name w:val="88E62EA0908D416491B0EBCC9CEEF2E2"/>
    <w:rsid w:val="00A26B67"/>
    <w:rPr>
      <w:lang w:val="en-GB" w:eastAsia="en-GB"/>
    </w:rPr>
  </w:style>
  <w:style w:type="paragraph" w:customStyle="1" w:styleId="FB4099C6D5D5418AA08747DC1E787197">
    <w:name w:val="FB4099C6D5D5418AA08747DC1E787197"/>
    <w:rsid w:val="001D2885"/>
  </w:style>
  <w:style w:type="paragraph" w:customStyle="1" w:styleId="73C844BF941B4EC993564ED322E211DE">
    <w:name w:val="73C844BF941B4EC993564ED322E211DE"/>
    <w:rsid w:val="00A26B67"/>
    <w:rPr>
      <w:lang w:val="en-GB" w:eastAsia="en-GB"/>
    </w:rPr>
  </w:style>
  <w:style w:type="paragraph" w:customStyle="1" w:styleId="908A27BDF2574226AA0211200D1A6690">
    <w:name w:val="908A27BDF2574226AA0211200D1A6690"/>
    <w:rsid w:val="00A26B67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68931A6B455448096185B52C4590C" ma:contentTypeVersion="1" ma:contentTypeDescription="Create a new document." ma:contentTypeScope="" ma:versionID="a7af9ba97c32e8a00605694eb4c93e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4959CD-DD01-4BC0-AD67-4F0BC437B4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A9CF29-18AB-467C-9DDA-6B8CA86A2830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sharepoint/v3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0576A03-6402-4FA0-AD92-B6E9F4CE20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0B93EA-320D-4902-8F2F-41B04F00B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WTSA16E.dotx</Template>
  <TotalTime>6</TotalTime>
  <Pages>4</Pages>
  <Words>581</Words>
  <Characters>2966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- 2016</dc:subject>
  <dc:creator>ITU-T</dc:creator>
  <cp:lastModifiedBy>TSB (JB)</cp:lastModifiedBy>
  <cp:revision>3</cp:revision>
  <cp:lastPrinted>2016-06-15T08:22:00Z</cp:lastPrinted>
  <dcterms:created xsi:type="dcterms:W3CDTF">2022-01-18T17:41:00Z</dcterms:created>
  <dcterms:modified xsi:type="dcterms:W3CDTF">2022-01-18T17:45:00Z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0x01010057F68931A6B455448096185B52C4590C</vt:lpwstr>
  </property>
</Properties>
</file>