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7D23C0" w14:paraId="7E8FB31A" w14:textId="77777777" w:rsidTr="00CF2532">
        <w:trPr>
          <w:cantSplit/>
        </w:trPr>
        <w:tc>
          <w:tcPr>
            <w:tcW w:w="6804" w:type="dxa"/>
            <w:vAlign w:val="center"/>
          </w:tcPr>
          <w:p w14:paraId="2523400A" w14:textId="1DD6EB59" w:rsidR="00CF2532" w:rsidRPr="007D23C0" w:rsidRDefault="00CF2532" w:rsidP="00FF5D98">
            <w:pPr>
              <w:rPr>
                <w:rFonts w:ascii="Verdana" w:hAnsi="Verdana" w:cs="Times New Roman Bold"/>
                <w:b/>
                <w:bCs/>
                <w:sz w:val="22"/>
                <w:szCs w:val="22"/>
                <w:lang w:val="fr-FR"/>
              </w:rPr>
            </w:pPr>
            <w:r w:rsidRPr="007D23C0">
              <w:rPr>
                <w:rFonts w:ascii="Verdana" w:hAnsi="Verdana" w:cs="Times New Roman Bold"/>
                <w:b/>
                <w:bCs/>
                <w:sz w:val="22"/>
                <w:szCs w:val="22"/>
                <w:lang w:val="fr-FR"/>
              </w:rPr>
              <w:t xml:space="preserve">Assemblée mondiale de normalisation </w:t>
            </w:r>
            <w:r w:rsidRPr="007D23C0">
              <w:rPr>
                <w:rFonts w:ascii="Verdana" w:hAnsi="Verdana" w:cs="Times New Roman Bold"/>
                <w:b/>
                <w:bCs/>
                <w:sz w:val="22"/>
                <w:szCs w:val="22"/>
                <w:lang w:val="fr-FR"/>
              </w:rPr>
              <w:br/>
              <w:t>des télécommunications (AMNT-20)</w:t>
            </w:r>
            <w:r w:rsidRPr="007D23C0">
              <w:rPr>
                <w:rFonts w:ascii="Verdana" w:hAnsi="Verdana" w:cs="Times New Roman Bold"/>
                <w:b/>
                <w:bCs/>
                <w:sz w:val="26"/>
                <w:szCs w:val="26"/>
                <w:lang w:val="fr-FR"/>
              </w:rPr>
              <w:br/>
            </w:r>
            <w:r w:rsidR="00A102CA" w:rsidRPr="007D23C0">
              <w:rPr>
                <w:rFonts w:ascii="Verdana" w:hAnsi="Verdana" w:cs="Times New Roman Bold"/>
                <w:b/>
                <w:bCs/>
                <w:sz w:val="18"/>
                <w:szCs w:val="18"/>
                <w:lang w:val="fr-FR"/>
              </w:rPr>
              <w:t>Genève</w:t>
            </w:r>
            <w:r w:rsidR="003474F2" w:rsidRPr="007D23C0">
              <w:rPr>
                <w:rFonts w:ascii="Verdana" w:hAnsi="Verdana" w:cs="Times New Roman Bold"/>
                <w:b/>
                <w:bCs/>
                <w:sz w:val="18"/>
                <w:szCs w:val="18"/>
                <w:lang w:val="fr-FR"/>
              </w:rPr>
              <w:t>, 1</w:t>
            </w:r>
            <w:r w:rsidR="00B50CF1" w:rsidRPr="007D23C0">
              <w:rPr>
                <w:rFonts w:ascii="Verdana" w:hAnsi="Verdana" w:cs="Times New Roman Bold"/>
                <w:b/>
                <w:bCs/>
                <w:sz w:val="18"/>
                <w:szCs w:val="18"/>
                <w:lang w:val="fr-FR"/>
              </w:rPr>
              <w:t>er</w:t>
            </w:r>
            <w:r w:rsidR="003474F2" w:rsidRPr="007D23C0">
              <w:rPr>
                <w:rFonts w:ascii="Verdana" w:hAnsi="Verdana" w:cs="Times New Roman Bold"/>
                <w:b/>
                <w:bCs/>
                <w:sz w:val="18"/>
                <w:szCs w:val="18"/>
                <w:lang w:val="fr-FR"/>
              </w:rPr>
              <w:t>-9 mars 2022</w:t>
            </w:r>
          </w:p>
        </w:tc>
        <w:tc>
          <w:tcPr>
            <w:tcW w:w="3007" w:type="dxa"/>
            <w:vAlign w:val="center"/>
          </w:tcPr>
          <w:p w14:paraId="545C9367" w14:textId="4172B943" w:rsidR="00CF2532" w:rsidRPr="007D23C0" w:rsidRDefault="00CF2532" w:rsidP="00FF5D98">
            <w:pPr>
              <w:spacing w:before="0"/>
              <w:rPr>
                <w:lang w:val="fr-FR"/>
              </w:rPr>
            </w:pPr>
            <w:r w:rsidRPr="007D23C0">
              <w:rPr>
                <w:lang w:val="fr-FR"/>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D23C0" w14:paraId="6C692498" w14:textId="77777777" w:rsidTr="00530525">
        <w:trPr>
          <w:cantSplit/>
        </w:trPr>
        <w:tc>
          <w:tcPr>
            <w:tcW w:w="6804" w:type="dxa"/>
            <w:tcBorders>
              <w:bottom w:val="single" w:sz="12" w:space="0" w:color="auto"/>
            </w:tcBorders>
          </w:tcPr>
          <w:p w14:paraId="69D6E0BB" w14:textId="77777777" w:rsidR="00595780" w:rsidRPr="007D23C0" w:rsidRDefault="00595780" w:rsidP="00FF5D98">
            <w:pPr>
              <w:spacing w:before="0"/>
              <w:rPr>
                <w:lang w:val="fr-FR"/>
              </w:rPr>
            </w:pPr>
          </w:p>
        </w:tc>
        <w:tc>
          <w:tcPr>
            <w:tcW w:w="3007" w:type="dxa"/>
            <w:tcBorders>
              <w:bottom w:val="single" w:sz="12" w:space="0" w:color="auto"/>
            </w:tcBorders>
          </w:tcPr>
          <w:p w14:paraId="73786289" w14:textId="77777777" w:rsidR="00595780" w:rsidRPr="007D23C0" w:rsidRDefault="00595780" w:rsidP="00FF5D98">
            <w:pPr>
              <w:spacing w:before="0"/>
              <w:rPr>
                <w:lang w:val="fr-FR"/>
              </w:rPr>
            </w:pPr>
          </w:p>
        </w:tc>
      </w:tr>
      <w:tr w:rsidR="001D581B" w:rsidRPr="007D23C0" w14:paraId="12FF1837" w14:textId="77777777" w:rsidTr="00530525">
        <w:trPr>
          <w:cantSplit/>
        </w:trPr>
        <w:tc>
          <w:tcPr>
            <w:tcW w:w="6804" w:type="dxa"/>
            <w:tcBorders>
              <w:top w:val="single" w:sz="12" w:space="0" w:color="auto"/>
            </w:tcBorders>
          </w:tcPr>
          <w:p w14:paraId="18ADBAC1" w14:textId="77777777" w:rsidR="00595780" w:rsidRPr="007D23C0" w:rsidRDefault="00595780" w:rsidP="00FF5D98">
            <w:pPr>
              <w:spacing w:before="0"/>
              <w:rPr>
                <w:lang w:val="fr-FR"/>
              </w:rPr>
            </w:pPr>
          </w:p>
        </w:tc>
        <w:tc>
          <w:tcPr>
            <w:tcW w:w="3007" w:type="dxa"/>
          </w:tcPr>
          <w:p w14:paraId="5BE2485E" w14:textId="77777777" w:rsidR="00595780" w:rsidRPr="007D23C0" w:rsidRDefault="00595780" w:rsidP="00FF5D98">
            <w:pPr>
              <w:spacing w:before="0"/>
              <w:rPr>
                <w:rFonts w:ascii="Verdana" w:hAnsi="Verdana"/>
                <w:b/>
                <w:bCs/>
                <w:sz w:val="20"/>
                <w:lang w:val="fr-FR"/>
              </w:rPr>
            </w:pPr>
          </w:p>
        </w:tc>
      </w:tr>
      <w:tr w:rsidR="00C26BA2" w:rsidRPr="007D23C0" w14:paraId="2B524C27" w14:textId="77777777" w:rsidTr="00530525">
        <w:trPr>
          <w:cantSplit/>
        </w:trPr>
        <w:tc>
          <w:tcPr>
            <w:tcW w:w="6804" w:type="dxa"/>
          </w:tcPr>
          <w:p w14:paraId="5F50B631" w14:textId="49B3C0FB" w:rsidR="00C26BA2" w:rsidRPr="007D23C0" w:rsidRDefault="00B50CF1" w:rsidP="00FF5D98">
            <w:pPr>
              <w:spacing w:before="0"/>
              <w:rPr>
                <w:lang w:val="fr-FR"/>
              </w:rPr>
            </w:pPr>
            <w:r w:rsidRPr="007D23C0">
              <w:rPr>
                <w:rFonts w:ascii="Verdana" w:hAnsi="Verdana"/>
                <w:b/>
                <w:sz w:val="20"/>
                <w:lang w:val="fr-FR"/>
              </w:rPr>
              <w:t>SÉANCE PLÉNIÈRE</w:t>
            </w:r>
          </w:p>
        </w:tc>
        <w:tc>
          <w:tcPr>
            <w:tcW w:w="3007" w:type="dxa"/>
          </w:tcPr>
          <w:p w14:paraId="366A6931" w14:textId="0910E2A6" w:rsidR="00C26BA2" w:rsidRPr="007D23C0" w:rsidRDefault="00B50CF1" w:rsidP="00FF5D98">
            <w:pPr>
              <w:pStyle w:val="DocNumber"/>
              <w:rPr>
                <w:lang w:val="fr-FR"/>
              </w:rPr>
            </w:pPr>
            <w:r w:rsidRPr="007D23C0">
              <w:rPr>
                <w:lang w:val="fr-FR"/>
              </w:rPr>
              <w:t>Document 26-F</w:t>
            </w:r>
          </w:p>
        </w:tc>
      </w:tr>
      <w:tr w:rsidR="001D581B" w:rsidRPr="007D23C0" w14:paraId="4DE9306A" w14:textId="77777777" w:rsidTr="00530525">
        <w:trPr>
          <w:cantSplit/>
        </w:trPr>
        <w:tc>
          <w:tcPr>
            <w:tcW w:w="6804" w:type="dxa"/>
          </w:tcPr>
          <w:p w14:paraId="0F40355C" w14:textId="0FFF3228" w:rsidR="00595780" w:rsidRPr="007D23C0" w:rsidRDefault="00595780" w:rsidP="00FF5D98">
            <w:pPr>
              <w:spacing w:before="0"/>
              <w:rPr>
                <w:lang w:val="fr-FR"/>
              </w:rPr>
            </w:pPr>
          </w:p>
        </w:tc>
        <w:tc>
          <w:tcPr>
            <w:tcW w:w="3007" w:type="dxa"/>
          </w:tcPr>
          <w:p w14:paraId="2D4BBEF3" w14:textId="4F6A7894" w:rsidR="00595780" w:rsidRPr="007D23C0" w:rsidRDefault="00B50CF1" w:rsidP="00FF5D98">
            <w:pPr>
              <w:spacing w:before="0"/>
              <w:rPr>
                <w:lang w:val="fr-FR"/>
              </w:rPr>
            </w:pPr>
            <w:r w:rsidRPr="007D23C0">
              <w:rPr>
                <w:rFonts w:ascii="Verdana" w:hAnsi="Verdana"/>
                <w:b/>
                <w:sz w:val="20"/>
                <w:lang w:val="fr-FR"/>
              </w:rPr>
              <w:t>18 janvier 2022</w:t>
            </w:r>
          </w:p>
        </w:tc>
      </w:tr>
      <w:tr w:rsidR="001D581B" w:rsidRPr="007D23C0" w14:paraId="311DA8A3" w14:textId="77777777" w:rsidTr="00530525">
        <w:trPr>
          <w:cantSplit/>
        </w:trPr>
        <w:tc>
          <w:tcPr>
            <w:tcW w:w="6804" w:type="dxa"/>
          </w:tcPr>
          <w:p w14:paraId="05F33EEF" w14:textId="77777777" w:rsidR="00595780" w:rsidRPr="007D23C0" w:rsidRDefault="00595780" w:rsidP="00FF5D98">
            <w:pPr>
              <w:spacing w:before="0"/>
              <w:rPr>
                <w:lang w:val="fr-FR"/>
              </w:rPr>
            </w:pPr>
          </w:p>
        </w:tc>
        <w:tc>
          <w:tcPr>
            <w:tcW w:w="3007" w:type="dxa"/>
          </w:tcPr>
          <w:p w14:paraId="5FC203EE" w14:textId="3810CAE7" w:rsidR="00595780" w:rsidRPr="007D23C0" w:rsidRDefault="00B50CF1" w:rsidP="00FF5D98">
            <w:pPr>
              <w:spacing w:before="0"/>
              <w:rPr>
                <w:lang w:val="fr-FR"/>
              </w:rPr>
            </w:pPr>
            <w:r w:rsidRPr="007D23C0">
              <w:rPr>
                <w:rFonts w:ascii="Verdana" w:hAnsi="Verdana"/>
                <w:b/>
                <w:bCs/>
                <w:sz w:val="20"/>
                <w:lang w:val="fr-FR"/>
              </w:rPr>
              <w:t>Original: anglais</w:t>
            </w:r>
          </w:p>
        </w:tc>
      </w:tr>
      <w:tr w:rsidR="000032AD" w:rsidRPr="007D23C0" w14:paraId="4E23F5DE" w14:textId="77777777" w:rsidTr="00530525">
        <w:trPr>
          <w:cantSplit/>
        </w:trPr>
        <w:tc>
          <w:tcPr>
            <w:tcW w:w="9811" w:type="dxa"/>
            <w:gridSpan w:val="2"/>
          </w:tcPr>
          <w:p w14:paraId="59DB53A0" w14:textId="77777777" w:rsidR="000032AD" w:rsidRPr="007D23C0" w:rsidRDefault="000032AD" w:rsidP="00FF5D98">
            <w:pPr>
              <w:spacing w:before="0"/>
              <w:rPr>
                <w:rFonts w:ascii="Verdana" w:hAnsi="Verdana"/>
                <w:b/>
                <w:bCs/>
                <w:sz w:val="20"/>
                <w:lang w:val="fr-FR"/>
              </w:rPr>
            </w:pPr>
          </w:p>
        </w:tc>
      </w:tr>
      <w:tr w:rsidR="00B50CF1" w:rsidRPr="007D23C0" w14:paraId="06F1D33F" w14:textId="77777777" w:rsidTr="00530525">
        <w:trPr>
          <w:cantSplit/>
        </w:trPr>
        <w:tc>
          <w:tcPr>
            <w:tcW w:w="9811" w:type="dxa"/>
            <w:gridSpan w:val="2"/>
          </w:tcPr>
          <w:p w14:paraId="549C3032" w14:textId="77B5E1BA" w:rsidR="00B50CF1" w:rsidRPr="007D23C0" w:rsidRDefault="00B50CF1" w:rsidP="00FF5D98">
            <w:pPr>
              <w:pStyle w:val="Source"/>
              <w:rPr>
                <w:lang w:val="fr-FR"/>
              </w:rPr>
            </w:pPr>
            <w:r w:rsidRPr="007D23C0">
              <w:rPr>
                <w:lang w:val="fr-FR"/>
              </w:rPr>
              <w:t>Directeur du TSB</w:t>
            </w:r>
          </w:p>
        </w:tc>
      </w:tr>
      <w:tr w:rsidR="00B50CF1" w:rsidRPr="007D23C0" w14:paraId="25545E43" w14:textId="77777777" w:rsidTr="00530525">
        <w:trPr>
          <w:cantSplit/>
        </w:trPr>
        <w:tc>
          <w:tcPr>
            <w:tcW w:w="9811" w:type="dxa"/>
            <w:gridSpan w:val="2"/>
          </w:tcPr>
          <w:p w14:paraId="0641CCA4" w14:textId="083016B4" w:rsidR="00B50CF1" w:rsidRPr="007D23C0" w:rsidRDefault="00B50CF1" w:rsidP="00FF5D98">
            <w:pPr>
              <w:pStyle w:val="Title1"/>
              <w:rPr>
                <w:lang w:val="fr-FR"/>
              </w:rPr>
            </w:pPr>
            <w:r w:rsidRPr="007D23C0">
              <w:rPr>
                <w:lang w:val="fr-FR"/>
              </w:rPr>
              <w:t>RAPPORT DU GROUPE CONSULTATIF DE LA NORMALISATION</w:t>
            </w:r>
            <w:r w:rsidRPr="007D23C0">
              <w:rPr>
                <w:lang w:val="fr-FR"/>
              </w:rPr>
              <w:br/>
              <w:t>DES TéLéCOMMUNICATIONS à L'assemblée mondiale de normalisation des télécommunications (AMNT-20),</w:t>
            </w:r>
            <w:r w:rsidRPr="007D23C0">
              <w:rPr>
                <w:lang w:val="fr-FR"/>
              </w:rPr>
              <w:br/>
              <w:t>PARTIE IV: RAPPORT DU GCNT CONCERNant</w:t>
            </w:r>
            <w:r w:rsidRPr="007D23C0">
              <w:rPr>
                <w:lang w:val="fr-FR"/>
              </w:rPr>
              <w:br/>
              <w:t>LA RÉSOLUTION 22</w:t>
            </w:r>
          </w:p>
        </w:tc>
      </w:tr>
      <w:tr w:rsidR="00B50CF1" w:rsidRPr="007D23C0" w14:paraId="0E0F2FDE" w14:textId="77777777" w:rsidTr="00530525">
        <w:trPr>
          <w:cantSplit/>
        </w:trPr>
        <w:tc>
          <w:tcPr>
            <w:tcW w:w="9811" w:type="dxa"/>
            <w:gridSpan w:val="2"/>
          </w:tcPr>
          <w:p w14:paraId="30B0EA09" w14:textId="59A022E8" w:rsidR="00B50CF1" w:rsidRPr="007D23C0" w:rsidRDefault="00B50CF1" w:rsidP="00FF5D98">
            <w:pPr>
              <w:pStyle w:val="Title2"/>
              <w:rPr>
                <w:lang w:val="fr-FR"/>
              </w:rPr>
            </w:pPr>
          </w:p>
        </w:tc>
      </w:tr>
      <w:tr w:rsidR="00B50CF1" w:rsidRPr="007D23C0" w14:paraId="1E9DF784" w14:textId="77777777" w:rsidTr="00D300B0">
        <w:trPr>
          <w:cantSplit/>
          <w:trHeight w:hRule="exact" w:val="120"/>
        </w:trPr>
        <w:tc>
          <w:tcPr>
            <w:tcW w:w="9811" w:type="dxa"/>
            <w:gridSpan w:val="2"/>
          </w:tcPr>
          <w:p w14:paraId="77AC0DE5" w14:textId="310146A7" w:rsidR="00B50CF1" w:rsidRPr="007D23C0" w:rsidRDefault="00B50CF1" w:rsidP="00FF5D98">
            <w:pPr>
              <w:pStyle w:val="Agendaitem"/>
              <w:rPr>
                <w:lang w:val="fr-FR"/>
              </w:rPr>
            </w:pPr>
          </w:p>
        </w:tc>
      </w:tr>
    </w:tbl>
    <w:p w14:paraId="2D2D3708" w14:textId="77777777" w:rsidR="00E11197" w:rsidRPr="007D23C0" w:rsidRDefault="00E11197" w:rsidP="00FF5D98">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7D23C0" w14:paraId="29A1BD5F" w14:textId="77777777" w:rsidTr="00081194">
        <w:trPr>
          <w:cantSplit/>
        </w:trPr>
        <w:tc>
          <w:tcPr>
            <w:tcW w:w="1912" w:type="dxa"/>
          </w:tcPr>
          <w:p w14:paraId="3AA4EA99" w14:textId="1B148067" w:rsidR="00E11197" w:rsidRPr="007D23C0" w:rsidRDefault="00E11197" w:rsidP="00FF5D98">
            <w:pPr>
              <w:rPr>
                <w:lang w:val="fr-FR"/>
              </w:rPr>
            </w:pPr>
            <w:r w:rsidRPr="007D23C0">
              <w:rPr>
                <w:b/>
                <w:bCs/>
                <w:lang w:val="fr-FR"/>
              </w:rPr>
              <w:t>Résumé:</w:t>
            </w:r>
          </w:p>
        </w:tc>
        <w:tc>
          <w:tcPr>
            <w:tcW w:w="7899" w:type="dxa"/>
            <w:gridSpan w:val="2"/>
          </w:tcPr>
          <w:p w14:paraId="63C8CE5D" w14:textId="28332427" w:rsidR="00A012FD" w:rsidRPr="007D23C0" w:rsidRDefault="009874B1" w:rsidP="00FF5D98">
            <w:pPr>
              <w:rPr>
                <w:color w:val="000000" w:themeColor="text1"/>
                <w:lang w:val="fr-FR"/>
              </w:rPr>
            </w:pPr>
            <w:r w:rsidRPr="007D23C0">
              <w:rPr>
                <w:color w:val="000000" w:themeColor="text1"/>
                <w:lang w:val="fr-FR"/>
              </w:rPr>
              <w:t>L'AMNT-16 a confié au GCNT l'étude de questions spécifiques au sujet desquelles il peut prendre des mesures entre l'AMNT-16 et l'Assemblée suivante. Conformément au numéro 197I de la Convention et aux paragraphes 1.11.1, 4.4 et 4.9 de la Résolution 1 (Rév. Hammamet, 2016)</w:t>
            </w:r>
            <w:r w:rsidR="00B76409" w:rsidRPr="007D23C0">
              <w:rPr>
                <w:color w:val="000000"/>
                <w:lang w:val="fr-FR"/>
              </w:rPr>
              <w:t xml:space="preserve"> de l'AMNT,</w:t>
            </w:r>
            <w:r w:rsidRPr="007D23C0">
              <w:rPr>
                <w:color w:val="000000" w:themeColor="text1"/>
                <w:lang w:val="fr-FR"/>
              </w:rPr>
              <w:t xml:space="preserve"> le Directeur du TSB soumet le rapport ci-joint du Groupe consultatif de la normalisation des télécommunications (GCNT) du Secteur de la normalisation des télécommunications (UIT-T) à l'AMNT-20 pour examen et suite à donner. Le présent document contient le rapport que le GCNT </w:t>
            </w:r>
            <w:r w:rsidR="00B76409" w:rsidRPr="007D23C0">
              <w:rPr>
                <w:color w:val="000000" w:themeColor="text1"/>
                <w:lang w:val="fr-FR"/>
              </w:rPr>
              <w:t>doit</w:t>
            </w:r>
            <w:r w:rsidRPr="007D23C0">
              <w:rPr>
                <w:color w:val="000000" w:themeColor="text1"/>
                <w:lang w:val="fr-FR"/>
              </w:rPr>
              <w:t xml:space="preserve"> présenter à l'AMNT</w:t>
            </w:r>
            <w:r w:rsidR="00FF5D98" w:rsidRPr="007D23C0">
              <w:rPr>
                <w:color w:val="000000" w:themeColor="text1"/>
                <w:lang w:val="fr-FR"/>
              </w:rPr>
              <w:noBreakHyphen/>
            </w:r>
            <w:r w:rsidRPr="007D23C0">
              <w:rPr>
                <w:color w:val="000000" w:themeColor="text1"/>
                <w:lang w:val="fr-FR"/>
              </w:rPr>
              <w:t>20 en ce qui concerne les mesures qu'il a prises</w:t>
            </w:r>
            <w:r w:rsidR="00B76409" w:rsidRPr="007D23C0">
              <w:rPr>
                <w:color w:val="000000" w:themeColor="text1"/>
                <w:lang w:val="fr-FR"/>
              </w:rPr>
              <w:t xml:space="preserve"> à cet égard</w:t>
            </w:r>
            <w:r w:rsidRPr="007D23C0">
              <w:rPr>
                <w:color w:val="000000" w:themeColor="text1"/>
                <w:lang w:val="fr-FR"/>
              </w:rPr>
              <w:t xml:space="preserve">. Chaque titre de paragraphe renvoie aux points correspondants du </w:t>
            </w:r>
            <w:r w:rsidR="00FF5D98" w:rsidRPr="007D23C0">
              <w:rPr>
                <w:color w:val="000000" w:themeColor="text1"/>
                <w:lang w:val="fr-FR"/>
              </w:rPr>
              <w:t>"</w:t>
            </w:r>
            <w:r w:rsidRPr="007D23C0">
              <w:rPr>
                <w:color w:val="000000" w:themeColor="text1"/>
                <w:lang w:val="fr-FR"/>
              </w:rPr>
              <w:t>décide</w:t>
            </w:r>
            <w:r w:rsidR="00FF5D98" w:rsidRPr="007D23C0">
              <w:rPr>
                <w:color w:val="000000" w:themeColor="text1"/>
                <w:lang w:val="fr-FR"/>
              </w:rPr>
              <w:t>"</w:t>
            </w:r>
            <w:r w:rsidRPr="007D23C0">
              <w:rPr>
                <w:color w:val="000000" w:themeColor="text1"/>
                <w:lang w:val="fr-FR"/>
              </w:rPr>
              <w:t xml:space="preserve"> de la Résolution 22.</w:t>
            </w:r>
          </w:p>
        </w:tc>
      </w:tr>
      <w:tr w:rsidR="00081194" w:rsidRPr="007D23C0" w14:paraId="1F131B63" w14:textId="77777777" w:rsidTr="00081194">
        <w:trPr>
          <w:cantSplit/>
        </w:trPr>
        <w:tc>
          <w:tcPr>
            <w:tcW w:w="1912" w:type="dxa"/>
          </w:tcPr>
          <w:p w14:paraId="64CF59CE" w14:textId="7C8E9D6C" w:rsidR="00081194" w:rsidRPr="007D23C0" w:rsidRDefault="00081194" w:rsidP="00FF5D98">
            <w:pPr>
              <w:rPr>
                <w:b/>
                <w:bCs/>
                <w:lang w:val="fr-FR"/>
              </w:rPr>
            </w:pPr>
            <w:r w:rsidRPr="007D23C0">
              <w:rPr>
                <w:b/>
                <w:bCs/>
                <w:lang w:val="fr-FR"/>
              </w:rPr>
              <w:t>Contact:</w:t>
            </w:r>
          </w:p>
        </w:tc>
        <w:tc>
          <w:tcPr>
            <w:tcW w:w="3949" w:type="dxa"/>
          </w:tcPr>
          <w:p w14:paraId="32DE0F20" w14:textId="7A8333F9" w:rsidR="00081194" w:rsidRPr="007D23C0" w:rsidRDefault="00B50CF1" w:rsidP="00FF5D98">
            <w:pPr>
              <w:rPr>
                <w:lang w:val="fr-FR"/>
              </w:rPr>
            </w:pPr>
            <w:r w:rsidRPr="007D23C0">
              <w:rPr>
                <w:lang w:val="fr-FR"/>
              </w:rPr>
              <w:t>M. Bruce Gracie</w:t>
            </w:r>
            <w:r w:rsidRPr="007D23C0">
              <w:rPr>
                <w:lang w:val="fr-FR"/>
              </w:rPr>
              <w:br/>
            </w:r>
            <w:r w:rsidR="005867DF" w:rsidRPr="007D23C0">
              <w:rPr>
                <w:lang w:val="fr-FR"/>
              </w:rPr>
              <w:t xml:space="preserve">Président du GCNT </w:t>
            </w:r>
          </w:p>
        </w:tc>
        <w:tc>
          <w:tcPr>
            <w:tcW w:w="3950" w:type="dxa"/>
          </w:tcPr>
          <w:p w14:paraId="01B53085" w14:textId="1A92F363" w:rsidR="00081194" w:rsidRPr="007D23C0" w:rsidRDefault="00081194" w:rsidP="00FF5D98">
            <w:pPr>
              <w:tabs>
                <w:tab w:val="clear" w:pos="1134"/>
                <w:tab w:val="left" w:pos="976"/>
              </w:tabs>
              <w:rPr>
                <w:lang w:val="fr-FR"/>
              </w:rPr>
            </w:pPr>
            <w:r w:rsidRPr="007D23C0">
              <w:rPr>
                <w:lang w:val="fr-FR"/>
              </w:rPr>
              <w:t>Tél:</w:t>
            </w:r>
            <w:r w:rsidR="009019FD" w:rsidRPr="007D23C0">
              <w:rPr>
                <w:lang w:val="fr-FR"/>
              </w:rPr>
              <w:tab/>
            </w:r>
            <w:r w:rsidR="00B50CF1" w:rsidRPr="007D23C0">
              <w:rPr>
                <w:lang w:val="fr-FR"/>
              </w:rPr>
              <w:t>+1 613 592-3180</w:t>
            </w:r>
            <w:r w:rsidRPr="007D23C0">
              <w:rPr>
                <w:lang w:val="fr-FR"/>
              </w:rPr>
              <w:br/>
              <w:t>Courriel:</w:t>
            </w:r>
            <w:r w:rsidR="009019FD" w:rsidRPr="007D23C0">
              <w:rPr>
                <w:lang w:val="fr-FR"/>
              </w:rPr>
              <w:tab/>
            </w:r>
            <w:hyperlink r:id="rId9" w:history="1">
              <w:r w:rsidR="00B50CF1" w:rsidRPr="007D23C0">
                <w:rPr>
                  <w:rStyle w:val="Hyperlink"/>
                  <w:lang w:val="fr-FR"/>
                </w:rPr>
                <w:t>bruce.gracie@ericsson.com</w:t>
              </w:r>
            </w:hyperlink>
          </w:p>
        </w:tc>
      </w:tr>
    </w:tbl>
    <w:p w14:paraId="14263818" w14:textId="2744BB11" w:rsidR="00F776DF" w:rsidRPr="007D23C0" w:rsidRDefault="00F776DF" w:rsidP="00FF5D98">
      <w:pPr>
        <w:rPr>
          <w:lang w:val="fr-FR"/>
        </w:rPr>
      </w:pPr>
      <w:r w:rsidRPr="007D23C0">
        <w:rPr>
          <w:lang w:val="fr-FR"/>
        </w:rPr>
        <w:br w:type="page"/>
      </w:r>
    </w:p>
    <w:p w14:paraId="1942BA3A" w14:textId="08C97092" w:rsidR="00987C1F" w:rsidRPr="007D23C0" w:rsidRDefault="00B23F5E" w:rsidP="00FF5D98">
      <w:pPr>
        <w:rPr>
          <w:lang w:val="fr-FR"/>
        </w:rPr>
      </w:pPr>
      <w:r w:rsidRPr="007D23C0">
        <w:rPr>
          <w:lang w:val="fr-FR"/>
        </w:rPr>
        <w:lastRenderedPageBreak/>
        <w:t>Conformément au numéro 197I de la Convention et aux paragraphes 1.11.1, 4.4 et 4.9 de la Résolution 1 (Rév. Hammamet, 2016)</w:t>
      </w:r>
      <w:r w:rsidR="00B76409" w:rsidRPr="007D23C0">
        <w:rPr>
          <w:color w:val="000000"/>
          <w:lang w:val="fr-FR"/>
        </w:rPr>
        <w:t xml:space="preserve"> de l'AMNT,</w:t>
      </w:r>
      <w:r w:rsidRPr="007D23C0">
        <w:rPr>
          <w:lang w:val="fr-FR"/>
        </w:rPr>
        <w:t xml:space="preserve"> le Directeur du TSB soumet le rapport ci-joint du Groupe consultatif de la normalisation des télécommunications (GCNT) du Secteur de la normalisation des télécommunications (UIT-T) à l'AMNT-20 pour examen et suite à donner.</w:t>
      </w:r>
    </w:p>
    <w:p w14:paraId="6F989E9E" w14:textId="39126ABC" w:rsidR="00B50CF1" w:rsidRPr="007D23C0" w:rsidRDefault="00B50CF1" w:rsidP="00FF5D98">
      <w:pPr>
        <w:rPr>
          <w:lang w:val="fr-FR"/>
        </w:rPr>
      </w:pPr>
      <w:r w:rsidRPr="007D23C0">
        <w:rPr>
          <w:lang w:val="fr-FR"/>
        </w:rPr>
        <w:t>1</w:t>
      </w:r>
      <w:r w:rsidRPr="007D23C0">
        <w:rPr>
          <w:lang w:val="fr-FR"/>
        </w:rPr>
        <w:tab/>
      </w:r>
      <w:r w:rsidR="007D23C0" w:rsidRPr="007D23C0">
        <w:rPr>
          <w:lang w:val="fr-FR"/>
        </w:rPr>
        <w:t>D</w:t>
      </w:r>
      <w:r w:rsidRPr="007D23C0">
        <w:rPr>
          <w:lang w:val="fr-FR"/>
        </w:rPr>
        <w:t>e confier au GCNT les questions spécifiques suivantes relevant de sa compétence entre la présente Assemblée et la prochaine pour agir dans les domaines suivants, en consultation avec le Directeur du TSB, si nécessaire:</w:t>
      </w:r>
    </w:p>
    <w:p w14:paraId="4D0A0B82" w14:textId="610E64D4" w:rsidR="00B50CF1" w:rsidRPr="007D23C0" w:rsidRDefault="00B50CF1" w:rsidP="007D23C0">
      <w:pPr>
        <w:pStyle w:val="enumlev1"/>
        <w:rPr>
          <w:lang w:val="fr-FR"/>
        </w:rPr>
      </w:pPr>
      <w:r w:rsidRPr="007D23C0">
        <w:rPr>
          <w:lang w:val="fr-FR"/>
        </w:rPr>
        <w:t>1a)</w:t>
      </w:r>
      <w:r w:rsidRPr="007D23C0">
        <w:rPr>
          <w:lang w:val="fr-FR"/>
        </w:rPr>
        <w:tab/>
        <w:t xml:space="preserve">s'assurer que les lignes directrices </w:t>
      </w:r>
      <w:r w:rsidR="00DE5AD3" w:rsidRPr="007D23C0">
        <w:rPr>
          <w:lang w:val="fr-FR"/>
        </w:rPr>
        <w:t xml:space="preserve">de </w:t>
      </w:r>
      <w:r w:rsidRPr="007D23C0">
        <w:rPr>
          <w:lang w:val="fr-FR"/>
        </w:rPr>
        <w:t xml:space="preserve">travail </w:t>
      </w:r>
      <w:r w:rsidR="00DE5AD3" w:rsidRPr="007D23C0">
        <w:rPr>
          <w:lang w:val="fr-FR"/>
        </w:rPr>
        <w:t>demeurent</w:t>
      </w:r>
      <w:r w:rsidR="007D23C0" w:rsidRPr="007D23C0">
        <w:rPr>
          <w:lang w:val="fr-FR"/>
        </w:rPr>
        <w:t xml:space="preserve"> </w:t>
      </w:r>
      <w:r w:rsidRPr="007D23C0">
        <w:rPr>
          <w:lang w:val="fr-FR"/>
        </w:rPr>
        <w:t>efficaces</w:t>
      </w:r>
      <w:r w:rsidR="00DE5AD3" w:rsidRPr="007D23C0">
        <w:rPr>
          <w:lang w:val="fr-FR"/>
        </w:rPr>
        <w:t xml:space="preserve"> et </w:t>
      </w:r>
      <w:r w:rsidRPr="007D23C0">
        <w:rPr>
          <w:lang w:val="fr-FR"/>
        </w:rPr>
        <w:t>souples et</w:t>
      </w:r>
      <w:r w:rsidR="007D23C0" w:rsidRPr="007D23C0">
        <w:rPr>
          <w:lang w:val="fr-FR"/>
        </w:rPr>
        <w:t xml:space="preserve"> </w:t>
      </w:r>
      <w:r w:rsidR="00DE5AD3" w:rsidRPr="007D23C0">
        <w:rPr>
          <w:lang w:val="fr-FR"/>
        </w:rPr>
        <w:t>les actualiser</w:t>
      </w:r>
      <w:r w:rsidR="007D23C0" w:rsidRPr="007D23C0">
        <w:rPr>
          <w:lang w:val="fr-FR"/>
        </w:rPr>
        <w:t>;</w:t>
      </w:r>
    </w:p>
    <w:p w14:paraId="3A8DAF52" w14:textId="41EB79C1" w:rsidR="00B50CF1" w:rsidRPr="007D23C0" w:rsidRDefault="00B50CF1" w:rsidP="007D23C0">
      <w:pPr>
        <w:pStyle w:val="enumlev2"/>
        <w:rPr>
          <w:lang w:val="fr-FR"/>
        </w:rPr>
      </w:pPr>
      <w:r w:rsidRPr="007D23C0">
        <w:rPr>
          <w:lang w:val="fr-FR"/>
        </w:rPr>
        <w:t>•</w:t>
      </w:r>
      <w:r w:rsidRPr="007D23C0">
        <w:rPr>
          <w:lang w:val="fr-FR"/>
        </w:rPr>
        <w:tab/>
      </w:r>
      <w:r w:rsidR="006C09C8" w:rsidRPr="007D23C0">
        <w:rPr>
          <w:lang w:val="fr-FR"/>
        </w:rPr>
        <w:t>voir les paragraphes 2, 3.2.3, 3.2.6 et</w:t>
      </w:r>
      <w:r w:rsidRPr="007D23C0">
        <w:rPr>
          <w:lang w:val="fr-FR"/>
        </w:rPr>
        <w:t xml:space="preserve"> 3.2.7 </w:t>
      </w:r>
      <w:r w:rsidR="006C09C8" w:rsidRPr="007D23C0">
        <w:rPr>
          <w:lang w:val="fr-FR"/>
        </w:rPr>
        <w:t>du</w:t>
      </w:r>
      <w:r w:rsidRPr="007D23C0">
        <w:rPr>
          <w:lang w:val="fr-FR"/>
        </w:rPr>
        <w:t xml:space="preserve"> </w:t>
      </w:r>
      <w:hyperlink r:id="rId10" w:history="1">
        <w:r w:rsidRPr="007D23C0">
          <w:rPr>
            <w:rStyle w:val="Hyperlink"/>
            <w:lang w:val="fr-FR"/>
          </w:rPr>
          <w:t>Doc</w:t>
        </w:r>
        <w:r w:rsidR="006C09C8" w:rsidRPr="007D23C0">
          <w:rPr>
            <w:rStyle w:val="Hyperlink"/>
            <w:lang w:val="fr-FR"/>
          </w:rPr>
          <w:t xml:space="preserve">ument </w:t>
        </w:r>
        <w:r w:rsidRPr="007D23C0">
          <w:rPr>
            <w:rStyle w:val="Hyperlink"/>
            <w:lang w:val="fr-FR"/>
          </w:rPr>
          <w:t>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15686633" w14:textId="3CBA5C79" w:rsidR="00B50CF1" w:rsidRPr="007D23C0" w:rsidRDefault="00B50CF1" w:rsidP="00FF5D98">
      <w:pPr>
        <w:pStyle w:val="enumlev1"/>
        <w:rPr>
          <w:lang w:val="fr-FR"/>
        </w:rPr>
      </w:pPr>
      <w:r w:rsidRPr="007D23C0">
        <w:rPr>
          <w:lang w:val="fr-FR"/>
        </w:rPr>
        <w:t>1b)</w:t>
      </w:r>
      <w:r w:rsidRPr="007D23C0">
        <w:rPr>
          <w:lang w:val="fr-FR"/>
        </w:rPr>
        <w:tab/>
        <w:t>assumer la responsabilité des Recommandations UIT</w:t>
      </w:r>
      <w:r w:rsidRPr="007D23C0">
        <w:rPr>
          <w:lang w:val="fr-FR"/>
        </w:rPr>
        <w:noBreakHyphen/>
        <w:t>T de la série A (organisation du travail de l'UIT</w:t>
      </w:r>
      <w:r w:rsidRPr="007D23C0">
        <w:rPr>
          <w:lang w:val="fr-FR"/>
        </w:rPr>
        <w:noBreakHyphen/>
        <w:t>T), et notamment celle de leur élaboration et de leur soumission pour approbation selon les procédures appropriées;</w:t>
      </w:r>
    </w:p>
    <w:p w14:paraId="547A5477" w14:textId="2C2E0721" w:rsidR="00B50CF1" w:rsidRPr="007D23C0" w:rsidRDefault="00B50CF1" w:rsidP="007D23C0">
      <w:pPr>
        <w:pStyle w:val="enumlev2"/>
        <w:rPr>
          <w:lang w:val="fr-FR"/>
        </w:rPr>
      </w:pPr>
      <w:r w:rsidRPr="007D23C0">
        <w:rPr>
          <w:lang w:val="fr-FR"/>
        </w:rPr>
        <w:t>•</w:t>
      </w:r>
      <w:r w:rsidRPr="007D23C0">
        <w:rPr>
          <w:lang w:val="fr-FR"/>
        </w:rPr>
        <w:tab/>
      </w:r>
      <w:r w:rsidR="006C09C8" w:rsidRPr="007D23C0">
        <w:rPr>
          <w:lang w:val="fr-FR"/>
        </w:rPr>
        <w:t xml:space="preserve">voir les paragraphes </w:t>
      </w:r>
      <w:r w:rsidRPr="007D23C0">
        <w:rPr>
          <w:lang w:val="fr-FR"/>
        </w:rPr>
        <w:t xml:space="preserve">3.2.3 </w:t>
      </w:r>
      <w:r w:rsidR="006C09C8" w:rsidRPr="007D23C0">
        <w:rPr>
          <w:lang w:val="fr-FR"/>
        </w:rPr>
        <w:t>et</w:t>
      </w:r>
      <w:r w:rsidRPr="007D23C0">
        <w:rPr>
          <w:lang w:val="fr-FR"/>
        </w:rPr>
        <w:t xml:space="preserve"> 3.2.6 </w:t>
      </w:r>
      <w:r w:rsidR="006C09C8" w:rsidRPr="007D23C0">
        <w:rPr>
          <w:lang w:val="fr-FR"/>
        </w:rPr>
        <w:t>du</w:t>
      </w:r>
      <w:r w:rsidRPr="007D23C0">
        <w:rPr>
          <w:lang w:val="fr-FR"/>
        </w:rPr>
        <w:t xml:space="preserve"> </w:t>
      </w:r>
      <w:hyperlink r:id="rId11" w:history="1">
        <w:hyperlink r:id="rId12" w:history="1">
          <w:r w:rsidRPr="007D23C0">
            <w:rPr>
              <w:rStyle w:val="Hyperlink"/>
              <w:lang w:val="fr-FR"/>
            </w:rPr>
            <w:t>Doc</w:t>
          </w:r>
          <w:r w:rsidR="006C09C8" w:rsidRPr="007D23C0">
            <w:rPr>
              <w:rStyle w:val="Hyperlink"/>
              <w:lang w:val="fr-FR"/>
            </w:rPr>
            <w:t xml:space="preserve">ument </w:t>
          </w:r>
          <w:r w:rsidRPr="007D23C0">
            <w:rPr>
              <w:rStyle w:val="Hyperlink"/>
              <w:lang w:val="fr-FR"/>
            </w:rPr>
            <w:t>23</w:t>
          </w:r>
        </w:hyperlink>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w:t>
      </w:r>
      <w:r w:rsidR="007D23C0" w:rsidRPr="007D23C0">
        <w:rPr>
          <w:lang w:val="fr-FR"/>
        </w:rPr>
        <w:t> </w:t>
      </w:r>
      <w:r w:rsidR="006C09C8" w:rsidRPr="007D23C0">
        <w:rPr>
          <w:lang w:val="fr-FR"/>
        </w:rPr>
        <w:t>I: Considérations générales</w:t>
      </w:r>
      <w:r w:rsidR="001E6817" w:rsidRPr="007D23C0">
        <w:rPr>
          <w:lang w:val="fr-FR"/>
        </w:rPr>
        <w:t>;</w:t>
      </w:r>
    </w:p>
    <w:p w14:paraId="6125828D" w14:textId="40A8A235" w:rsidR="00B50CF1" w:rsidRPr="007D23C0" w:rsidRDefault="00B50CF1" w:rsidP="00FF5D98">
      <w:pPr>
        <w:pStyle w:val="enumlev1"/>
        <w:rPr>
          <w:lang w:val="fr-FR"/>
        </w:rPr>
      </w:pPr>
      <w:r w:rsidRPr="007D23C0">
        <w:rPr>
          <w:lang w:val="fr-FR"/>
        </w:rPr>
        <w:t>1c)</w:t>
      </w:r>
      <w:r w:rsidRPr="007D23C0">
        <w:rPr>
          <w:lang w:val="fr-FR"/>
        </w:rPr>
        <w:tab/>
        <w:t>restructurer et créer des Commissions d'études de l'UIT-T, compte tenu des besoins des membres de l'UIT</w:t>
      </w:r>
      <w:r w:rsidRPr="007D23C0">
        <w:rPr>
          <w:lang w:val="fr-FR"/>
        </w:rPr>
        <w:noBreakHyphen/>
        <w:t xml:space="preserve">T et </w:t>
      </w:r>
      <w:r w:rsidRPr="007D23C0">
        <w:rPr>
          <w:color w:val="000000"/>
          <w:lang w:val="fr-FR"/>
        </w:rPr>
        <w:t>pour répondre à l'évolution du marché des télécommunications,</w:t>
      </w:r>
      <w:r w:rsidRPr="007D23C0">
        <w:rPr>
          <w:lang w:val="fr-FR"/>
        </w:rPr>
        <w:t xml:space="preserve"> et désigner les présidents et les vice</w:t>
      </w:r>
      <w:r w:rsidRPr="007D23C0">
        <w:rPr>
          <w:lang w:val="fr-FR"/>
        </w:rPr>
        <w:noBreakHyphen/>
        <w:t>présidents qui agiront jusqu'à la prochaine AMNT, conformément à la Résolution 35 (Rév. Hammamet, 2016) de la présente Assemblée;</w:t>
      </w:r>
    </w:p>
    <w:p w14:paraId="45C9D933" w14:textId="7DA56EB2" w:rsidR="00B50CF1" w:rsidRPr="007D23C0" w:rsidRDefault="00B50CF1" w:rsidP="007D23C0">
      <w:pPr>
        <w:pStyle w:val="enumlev2"/>
        <w:rPr>
          <w:lang w:val="fr-FR"/>
        </w:rPr>
      </w:pPr>
      <w:r w:rsidRPr="007D23C0">
        <w:rPr>
          <w:lang w:val="fr-FR"/>
        </w:rPr>
        <w:t>•</w:t>
      </w:r>
      <w:r w:rsidRPr="007D23C0">
        <w:rPr>
          <w:lang w:val="fr-FR"/>
        </w:rPr>
        <w:tab/>
      </w:r>
      <w:r w:rsidR="006C09C8" w:rsidRPr="007D23C0">
        <w:rPr>
          <w:lang w:val="fr-FR"/>
        </w:rPr>
        <w:t>voir le paragraphe</w:t>
      </w:r>
      <w:r w:rsidRPr="007D23C0">
        <w:rPr>
          <w:lang w:val="fr-FR"/>
        </w:rPr>
        <w:t xml:space="preserve"> 3.2.7 </w:t>
      </w:r>
      <w:r w:rsidR="006C09C8" w:rsidRPr="007D23C0">
        <w:rPr>
          <w:lang w:val="fr-FR"/>
        </w:rPr>
        <w:t>du</w:t>
      </w:r>
      <w:r w:rsidRPr="007D23C0">
        <w:rPr>
          <w:lang w:val="fr-FR"/>
        </w:rPr>
        <w:t xml:space="preserve"> </w:t>
      </w:r>
      <w:hyperlink r:id="rId13" w:history="1">
        <w:r w:rsidRPr="007D23C0">
          <w:rPr>
            <w:rStyle w:val="Hyperlink"/>
            <w:lang w:val="fr-FR"/>
          </w:rPr>
          <w:t>Doc</w:t>
        </w:r>
        <w:r w:rsidR="006C09C8" w:rsidRPr="007D23C0">
          <w:rPr>
            <w:rStyle w:val="Hyperlink"/>
            <w:lang w:val="fr-FR"/>
          </w:rPr>
          <w:t xml:space="preserve">ument </w:t>
        </w:r>
        <w:r w:rsidRPr="007D23C0">
          <w:rPr>
            <w:rStyle w:val="Hyperlink"/>
            <w:lang w:val="fr-FR"/>
          </w:rPr>
          <w:t>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770E34C2" w14:textId="3B196119" w:rsidR="00B50CF1" w:rsidRPr="007D23C0" w:rsidRDefault="00B50CF1" w:rsidP="00FF5D98">
      <w:pPr>
        <w:pStyle w:val="enumlev1"/>
        <w:rPr>
          <w:lang w:val="fr-FR"/>
        </w:rPr>
      </w:pPr>
      <w:r w:rsidRPr="007D23C0">
        <w:rPr>
          <w:lang w:val="fr-FR"/>
        </w:rPr>
        <w:t>1d)</w:t>
      </w:r>
      <w:r w:rsidRPr="007D23C0">
        <w:rPr>
          <w:lang w:val="fr-FR"/>
        </w:rPr>
        <w:tab/>
        <w:t>formuler des avis sur les calendriers de travail des commissions d'études pour respecter les priorités dans le domaine de la normalisation;</w:t>
      </w:r>
    </w:p>
    <w:p w14:paraId="5F6D0E55" w14:textId="31BD2E93" w:rsidR="00B50CF1" w:rsidRPr="007D23C0" w:rsidRDefault="00B50CF1" w:rsidP="007D23C0">
      <w:pPr>
        <w:pStyle w:val="enumlev2"/>
        <w:rPr>
          <w:lang w:val="fr-FR"/>
        </w:rPr>
      </w:pPr>
      <w:r w:rsidRPr="007D23C0">
        <w:rPr>
          <w:lang w:val="fr-FR"/>
        </w:rPr>
        <w:t>•</w:t>
      </w:r>
      <w:r w:rsidRPr="007D23C0">
        <w:rPr>
          <w:lang w:val="fr-FR"/>
        </w:rPr>
        <w:tab/>
      </w:r>
      <w:r w:rsidR="006C09C8" w:rsidRPr="007D23C0">
        <w:rPr>
          <w:lang w:val="fr-FR"/>
        </w:rPr>
        <w:t xml:space="preserve">voir le paragraphe </w:t>
      </w:r>
      <w:r w:rsidRPr="007D23C0">
        <w:rPr>
          <w:lang w:val="fr-FR"/>
        </w:rPr>
        <w:t xml:space="preserve">3.4.6 </w:t>
      </w:r>
      <w:r w:rsidR="006C09C8" w:rsidRPr="007D23C0">
        <w:rPr>
          <w:lang w:val="fr-FR"/>
        </w:rPr>
        <w:t>du</w:t>
      </w:r>
      <w:r w:rsidRPr="007D23C0">
        <w:rPr>
          <w:lang w:val="fr-FR"/>
        </w:rPr>
        <w:t xml:space="preserve"> </w:t>
      </w:r>
      <w:hyperlink r:id="rId14" w:history="1">
        <w:r w:rsidRPr="007D23C0">
          <w:rPr>
            <w:rStyle w:val="Hyperlink"/>
            <w:lang w:val="fr-FR"/>
          </w:rPr>
          <w:t>Doc</w:t>
        </w:r>
        <w:r w:rsidR="006C09C8" w:rsidRPr="007D23C0">
          <w:rPr>
            <w:rStyle w:val="Hyperlink"/>
            <w:lang w:val="fr-FR"/>
          </w:rPr>
          <w:t xml:space="preserve">ument </w:t>
        </w:r>
        <w:r w:rsidRPr="007D23C0">
          <w:rPr>
            <w:rStyle w:val="Hyperlink"/>
            <w:lang w:val="fr-FR"/>
          </w:rPr>
          <w:t>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770AF900" w14:textId="032B5A5C" w:rsidR="00B50CF1" w:rsidRPr="007D23C0" w:rsidRDefault="00B50CF1" w:rsidP="00FF5D98">
      <w:pPr>
        <w:pStyle w:val="enumlev1"/>
        <w:rPr>
          <w:lang w:val="fr-FR"/>
        </w:rPr>
      </w:pPr>
      <w:r w:rsidRPr="007D23C0">
        <w:rPr>
          <w:lang w:val="fr-FR"/>
        </w:rPr>
        <w:t>1e)</w:t>
      </w:r>
      <w:r w:rsidRPr="007D23C0">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7D23C0">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3FB23855" w14:textId="2879FD46" w:rsidR="00B50CF1" w:rsidRPr="007D23C0" w:rsidRDefault="00B50CF1" w:rsidP="007D23C0">
      <w:pPr>
        <w:pStyle w:val="enumlev2"/>
        <w:rPr>
          <w:lang w:val="fr-FR"/>
        </w:rPr>
      </w:pPr>
      <w:r w:rsidRPr="007D23C0">
        <w:rPr>
          <w:lang w:val="fr-FR"/>
        </w:rPr>
        <w:t>•</w:t>
      </w:r>
      <w:r w:rsidRPr="007D23C0">
        <w:rPr>
          <w:lang w:val="fr-FR"/>
        </w:rPr>
        <w:tab/>
      </w:r>
      <w:r w:rsidR="006C09C8" w:rsidRPr="007D23C0">
        <w:rPr>
          <w:lang w:val="fr-FR"/>
        </w:rPr>
        <w:t>voir les paragraphes</w:t>
      </w:r>
      <w:r w:rsidRPr="007D23C0">
        <w:rPr>
          <w:lang w:val="fr-FR"/>
        </w:rPr>
        <w:t xml:space="preserve"> 2 </w:t>
      </w:r>
      <w:r w:rsidR="006C09C8" w:rsidRPr="007D23C0">
        <w:rPr>
          <w:lang w:val="fr-FR"/>
        </w:rPr>
        <w:t>et</w:t>
      </w:r>
      <w:r w:rsidRPr="007D23C0">
        <w:rPr>
          <w:lang w:val="fr-FR"/>
        </w:rPr>
        <w:t xml:space="preserve"> 3.3 </w:t>
      </w:r>
      <w:r w:rsidR="006C09C8" w:rsidRPr="007D23C0">
        <w:rPr>
          <w:lang w:val="fr-FR"/>
        </w:rPr>
        <w:t>du</w:t>
      </w:r>
      <w:r w:rsidRPr="007D23C0">
        <w:rPr>
          <w:lang w:val="fr-FR"/>
        </w:rPr>
        <w:t xml:space="preserve"> </w:t>
      </w:r>
      <w:hyperlink r:id="rId15" w:history="1">
        <w:r w:rsidRPr="007D23C0">
          <w:rPr>
            <w:rStyle w:val="Hyperlink"/>
            <w:lang w:val="fr-FR"/>
          </w:rPr>
          <w:t>Doc</w:t>
        </w:r>
        <w:r w:rsidR="006C09C8" w:rsidRPr="007D23C0">
          <w:rPr>
            <w:rStyle w:val="Hyperlink"/>
            <w:lang w:val="fr-FR"/>
          </w:rPr>
          <w:t xml:space="preserve">ument </w:t>
        </w:r>
        <w:r w:rsidRPr="007D23C0">
          <w:rPr>
            <w:rStyle w:val="Hyperlink"/>
            <w:lang w:val="fr-FR"/>
          </w:rPr>
          <w:t>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7AFF5F05" w14:textId="1330C3D7" w:rsidR="00B50CF1" w:rsidRPr="007D23C0" w:rsidRDefault="00B50CF1" w:rsidP="00FF5D98">
      <w:pPr>
        <w:pStyle w:val="enumlev1"/>
        <w:rPr>
          <w:lang w:val="fr-FR"/>
        </w:rPr>
      </w:pPr>
      <w:r w:rsidRPr="007D23C0">
        <w:rPr>
          <w:lang w:val="fr-FR"/>
        </w:rPr>
        <w:t>1f)</w:t>
      </w:r>
      <w:r w:rsidRPr="007D23C0">
        <w:rPr>
          <w:lang w:val="fr-FR"/>
        </w:rPr>
        <w:tab/>
        <w:t>déterminer l'évolution des besoins et donner des avis sur les modifications qu'il convient d'apporter à l'ordre de priorité des travaux des Commissions d'études de l'UIT-T ainsi qu'à la planification et à la répartition des travaux entre ces commissions, en tenant dûment compte des coûts et des ressources disponibles;</w:t>
      </w:r>
    </w:p>
    <w:p w14:paraId="10A60632" w14:textId="1C34BD8B" w:rsidR="00B50CF1" w:rsidRPr="007D23C0" w:rsidRDefault="00B50CF1" w:rsidP="007D23C0">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3.2.5 </w:t>
      </w:r>
      <w:r w:rsidR="004E55C1" w:rsidRPr="007D23C0">
        <w:rPr>
          <w:lang w:val="fr-FR"/>
        </w:rPr>
        <w:t>et</w:t>
      </w:r>
      <w:r w:rsidRPr="007D23C0">
        <w:rPr>
          <w:lang w:val="fr-FR"/>
        </w:rPr>
        <w:t xml:space="preserve"> 3.2.7 </w:t>
      </w:r>
      <w:r w:rsidR="006C09C8" w:rsidRPr="007D23C0">
        <w:rPr>
          <w:lang w:val="fr-FR"/>
        </w:rPr>
        <w:t xml:space="preserve">du </w:t>
      </w:r>
      <w:hyperlink r:id="rId16"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31ED43EB" w14:textId="7595C838" w:rsidR="00B50CF1" w:rsidRPr="007D23C0" w:rsidRDefault="00B50CF1" w:rsidP="00FF5D98">
      <w:pPr>
        <w:pStyle w:val="enumlev1"/>
        <w:rPr>
          <w:lang w:val="fr-FR"/>
        </w:rPr>
      </w:pPr>
      <w:r w:rsidRPr="007D23C0">
        <w:rPr>
          <w:lang w:val="fr-FR"/>
        </w:rPr>
        <w:t>1g)</w:t>
      </w:r>
      <w:r w:rsidRPr="007D23C0">
        <w:rPr>
          <w:lang w:val="fr-FR"/>
        </w:rPr>
        <w:tab/>
        <w:t>examiner les rapports et les propositions appropriées soumis par les groupes de coordination et les autres groupes, et mettre en œuvre ceux qui sont approuvés;</w:t>
      </w:r>
    </w:p>
    <w:p w14:paraId="12EC41A5" w14:textId="776C6A9E" w:rsidR="00B50CF1" w:rsidRPr="007D23C0" w:rsidRDefault="00B50CF1" w:rsidP="007D23C0">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2, 3.2.3, 3.2.7 </w:t>
      </w:r>
      <w:r w:rsidR="004E55C1" w:rsidRPr="007D23C0">
        <w:rPr>
          <w:lang w:val="fr-FR"/>
        </w:rPr>
        <w:t>et</w:t>
      </w:r>
      <w:r w:rsidRPr="007D23C0">
        <w:rPr>
          <w:lang w:val="fr-FR"/>
        </w:rPr>
        <w:t xml:space="preserve"> 3.3 </w:t>
      </w:r>
      <w:r w:rsidR="001824CF" w:rsidRPr="007D23C0">
        <w:rPr>
          <w:lang w:val="fr-FR"/>
        </w:rPr>
        <w:t>du</w:t>
      </w:r>
      <w:r w:rsidRPr="007D23C0">
        <w:rPr>
          <w:lang w:val="fr-FR"/>
        </w:rPr>
        <w:t xml:space="preserve"> </w:t>
      </w:r>
      <w:hyperlink r:id="rId17"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76536702" w14:textId="4C35055C" w:rsidR="00B50CF1" w:rsidRPr="007D23C0" w:rsidRDefault="00B50CF1" w:rsidP="00FF5D98">
      <w:pPr>
        <w:pStyle w:val="enumlev1"/>
        <w:rPr>
          <w:lang w:val="fr-FR"/>
        </w:rPr>
      </w:pPr>
      <w:r w:rsidRPr="007D23C0">
        <w:rPr>
          <w:lang w:val="fr-FR"/>
        </w:rPr>
        <w:lastRenderedPageBreak/>
        <w:t>1h)</w:t>
      </w:r>
      <w:r w:rsidRPr="007D23C0">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54B1ABA8" w14:textId="05B33FF3" w:rsidR="00B50CF1" w:rsidRPr="007D23C0" w:rsidRDefault="00B50CF1" w:rsidP="007D23C0">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2, 3.2.3, 3.2.7</w:t>
      </w:r>
      <w:r w:rsidR="004E55C1" w:rsidRPr="007D23C0">
        <w:rPr>
          <w:lang w:val="fr-FR"/>
        </w:rPr>
        <w:t xml:space="preserve"> et</w:t>
      </w:r>
      <w:r w:rsidRPr="007D23C0">
        <w:rPr>
          <w:lang w:val="fr-FR"/>
        </w:rPr>
        <w:t xml:space="preserve"> 3.3 </w:t>
      </w:r>
      <w:r w:rsidR="001824CF" w:rsidRPr="007D23C0">
        <w:rPr>
          <w:lang w:val="fr-FR"/>
        </w:rPr>
        <w:t>du</w:t>
      </w:r>
      <w:r w:rsidRPr="007D23C0">
        <w:rPr>
          <w:lang w:val="fr-FR"/>
        </w:rPr>
        <w:t xml:space="preserve"> </w:t>
      </w:r>
      <w:hyperlink r:id="rId18"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78A3B35B" w14:textId="0B2762D3" w:rsidR="00B50CF1" w:rsidRPr="007D23C0" w:rsidRDefault="00B50CF1" w:rsidP="00FF5D98">
      <w:pPr>
        <w:pStyle w:val="enumlev1"/>
        <w:rPr>
          <w:color w:val="000000"/>
          <w:lang w:val="fr-FR"/>
        </w:rPr>
      </w:pPr>
      <w:r w:rsidRPr="007D23C0">
        <w:rPr>
          <w:lang w:val="fr-FR"/>
        </w:rPr>
        <w:t>1i)</w:t>
      </w:r>
      <w:r w:rsidRPr="007D23C0">
        <w:rPr>
          <w:lang w:val="fr-FR"/>
        </w:rPr>
        <w:tab/>
        <w:t xml:space="preserve">examiner les progrès accomplis dans </w:t>
      </w:r>
      <w:r w:rsidRPr="007D23C0">
        <w:rPr>
          <w:color w:val="000000"/>
          <w:lang w:val="fr-FR"/>
        </w:rPr>
        <w:t>l'exécution du programme de travail de l'UIT-T, notamment en encourageant la coordination et la collaboration avec</w:t>
      </w:r>
      <w:r w:rsidR="001E6817" w:rsidRPr="007D23C0">
        <w:rPr>
          <w:color w:val="000000"/>
          <w:lang w:val="fr-FR"/>
        </w:rPr>
        <w:t xml:space="preserve"> les autres organismes concerné</w:t>
      </w:r>
      <w:r w:rsidRPr="007D23C0">
        <w:rPr>
          <w:color w:val="000000"/>
          <w:lang w:val="fr-FR"/>
        </w:rPr>
        <w:t>s, par exemple des organisations de normalisation, des forums et des consortiums extérieurs à l'UIT;</w:t>
      </w:r>
    </w:p>
    <w:p w14:paraId="71943D31" w14:textId="408380F0" w:rsidR="00B50CF1" w:rsidRPr="007D23C0" w:rsidRDefault="00B50CF1" w:rsidP="007D23C0">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3.2.3 </w:t>
      </w:r>
      <w:r w:rsidR="004E55C1" w:rsidRPr="007D23C0">
        <w:rPr>
          <w:lang w:val="fr-FR"/>
        </w:rPr>
        <w:t>et</w:t>
      </w:r>
      <w:r w:rsidRPr="007D23C0">
        <w:rPr>
          <w:lang w:val="fr-FR"/>
        </w:rPr>
        <w:t xml:space="preserve"> 3.2.7 </w:t>
      </w:r>
      <w:r w:rsidR="001824CF" w:rsidRPr="007D23C0">
        <w:rPr>
          <w:lang w:val="fr-FR"/>
        </w:rPr>
        <w:t>du</w:t>
      </w:r>
      <w:r w:rsidRPr="007D23C0">
        <w:rPr>
          <w:lang w:val="fr-FR"/>
        </w:rPr>
        <w:t xml:space="preserve"> </w:t>
      </w:r>
      <w:hyperlink r:id="rId19"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w:t>
      </w:r>
      <w:r w:rsidR="007D23C0">
        <w:rPr>
          <w:lang w:val="fr-FR"/>
        </w:rPr>
        <w:t> </w:t>
      </w:r>
      <w:r w:rsidR="006C09C8" w:rsidRPr="007D23C0">
        <w:rPr>
          <w:lang w:val="fr-FR"/>
        </w:rPr>
        <w:t>I: Considérations générales</w:t>
      </w:r>
      <w:r w:rsidR="001E6817" w:rsidRPr="007D23C0">
        <w:rPr>
          <w:lang w:val="fr-FR"/>
        </w:rPr>
        <w:t>;</w:t>
      </w:r>
    </w:p>
    <w:p w14:paraId="3B249F2C" w14:textId="0BCB4B4B" w:rsidR="00B50CF1" w:rsidRPr="007D23C0" w:rsidRDefault="00B50CF1" w:rsidP="00FF5D98">
      <w:pPr>
        <w:pStyle w:val="enumlev1"/>
        <w:rPr>
          <w:lang w:val="fr-FR"/>
        </w:rPr>
      </w:pPr>
      <w:r w:rsidRPr="007D23C0">
        <w:rPr>
          <w:lang w:val="fr-FR"/>
        </w:rPr>
        <w:t>1j)</w:t>
      </w:r>
      <w:r w:rsidRPr="007D23C0">
        <w:rPr>
          <w:lang w:val="fr-FR"/>
        </w:rPr>
        <w:tab/>
        <w:t>donner des avis au Directeur du TSB sur les questions financières et autres;</w:t>
      </w:r>
    </w:p>
    <w:p w14:paraId="3B33C42E" w14:textId="7CA3CF78" w:rsidR="00F43439" w:rsidRPr="007D23C0" w:rsidRDefault="00F43439" w:rsidP="007D23C0">
      <w:pPr>
        <w:pStyle w:val="enumlev2"/>
        <w:rPr>
          <w:lang w:val="fr-FR"/>
        </w:rPr>
      </w:pPr>
      <w:r w:rsidRPr="007D23C0">
        <w:rPr>
          <w:lang w:val="fr-FR"/>
        </w:rPr>
        <w:t>•</w:t>
      </w:r>
      <w:r w:rsidRPr="007D23C0">
        <w:rPr>
          <w:lang w:val="fr-FR"/>
        </w:rPr>
        <w:tab/>
      </w:r>
      <w:r w:rsidR="00B23F5E" w:rsidRPr="007D23C0">
        <w:rPr>
          <w:lang w:val="fr-FR"/>
        </w:rPr>
        <w:t xml:space="preserve">voir le paragraphe </w:t>
      </w:r>
      <w:r w:rsidRPr="007D23C0">
        <w:rPr>
          <w:lang w:val="fr-FR"/>
        </w:rPr>
        <w:t xml:space="preserve">3.2.4 </w:t>
      </w:r>
      <w:r w:rsidR="001824CF" w:rsidRPr="007D23C0">
        <w:rPr>
          <w:lang w:val="fr-FR"/>
        </w:rPr>
        <w:t>du</w:t>
      </w:r>
      <w:r w:rsidRPr="007D23C0">
        <w:rPr>
          <w:lang w:val="fr-FR"/>
        </w:rPr>
        <w:t xml:space="preserve"> </w:t>
      </w:r>
      <w:hyperlink r:id="rId20"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06FB313B" w14:textId="2373F9A9" w:rsidR="00B50CF1" w:rsidRPr="007D23C0" w:rsidRDefault="00B50CF1" w:rsidP="00FF5D98">
      <w:pPr>
        <w:pStyle w:val="enumlev1"/>
        <w:rPr>
          <w:lang w:val="fr-FR"/>
        </w:rPr>
      </w:pPr>
      <w:r w:rsidRPr="007D23C0">
        <w:rPr>
          <w:lang w:val="fr-FR"/>
        </w:rPr>
        <w:t>1k)</w:t>
      </w:r>
      <w:r w:rsidRPr="007D23C0">
        <w:rPr>
          <w:lang w:val="fr-FR"/>
        </w:rPr>
        <w:tab/>
        <w:t>approuver le programme de travail découlant de l'examen de Questions existantes ou nouvelles et déterminer la priorité, l'urgence, les incidences financières estimées et le délai imparti pour l'achèvement de leur étude;</w:t>
      </w:r>
    </w:p>
    <w:p w14:paraId="7A188C5F" w14:textId="75D65D99" w:rsidR="00F43439" w:rsidRPr="007D23C0" w:rsidRDefault="00F43439" w:rsidP="007D23C0">
      <w:pPr>
        <w:pStyle w:val="enumlev2"/>
        <w:rPr>
          <w:lang w:val="fr-FR"/>
        </w:rPr>
      </w:pPr>
      <w:r w:rsidRPr="007D23C0">
        <w:rPr>
          <w:lang w:val="fr-FR"/>
        </w:rPr>
        <w:t>•</w:t>
      </w:r>
      <w:r w:rsidRPr="007D23C0">
        <w:rPr>
          <w:lang w:val="fr-FR"/>
        </w:rPr>
        <w:tab/>
      </w:r>
      <w:r w:rsidR="00BD76A4" w:rsidRPr="007D23C0">
        <w:rPr>
          <w:lang w:val="fr-FR"/>
        </w:rPr>
        <w:t xml:space="preserve">voir le paragraphe </w:t>
      </w:r>
      <w:r w:rsidRPr="007D23C0">
        <w:rPr>
          <w:lang w:val="fr-FR"/>
        </w:rPr>
        <w:t xml:space="preserve">3.2.7 </w:t>
      </w:r>
      <w:r w:rsidR="001824CF" w:rsidRPr="007D23C0">
        <w:rPr>
          <w:lang w:val="fr-FR"/>
        </w:rPr>
        <w:t>du</w:t>
      </w:r>
      <w:r w:rsidRPr="007D23C0">
        <w:rPr>
          <w:lang w:val="fr-FR"/>
        </w:rPr>
        <w:t xml:space="preserve"> </w:t>
      </w:r>
      <w:hyperlink r:id="rId21"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1E6817" w:rsidRPr="007D23C0">
        <w:rPr>
          <w:lang w:val="fr-FR"/>
        </w:rPr>
        <w:t>;</w:t>
      </w:r>
    </w:p>
    <w:p w14:paraId="6D9C5A88" w14:textId="509218EC" w:rsidR="00B50CF1" w:rsidRPr="007D23C0" w:rsidRDefault="00B50CF1" w:rsidP="00FF5D98">
      <w:pPr>
        <w:pStyle w:val="enumlev1"/>
        <w:rPr>
          <w:lang w:val="fr-FR"/>
        </w:rPr>
      </w:pPr>
      <w:r w:rsidRPr="007D23C0">
        <w:rPr>
          <w:lang w:val="fr-FR"/>
        </w:rPr>
        <w:t>1l)</w:t>
      </w:r>
      <w:r w:rsidRPr="007D23C0">
        <w:rPr>
          <w:lang w:val="fr-FR"/>
        </w:rPr>
        <w:tab/>
        <w:t>regrouper, dans la mesure du possible, les Questions présentant de l'intérêt pour les pays en développement, y compris les pays les moins avancés, les petits États insulaires en développement, les pays en développement sans littoral et les pays dont l'économie est en transition, afin de faciliter leur participation à ces études;</w:t>
      </w:r>
    </w:p>
    <w:p w14:paraId="10705F26" w14:textId="0ED7AEA7" w:rsidR="00F43439" w:rsidRPr="007D23C0" w:rsidRDefault="00F43439" w:rsidP="007D23C0">
      <w:pPr>
        <w:pStyle w:val="enumlev2"/>
        <w:rPr>
          <w:lang w:val="fr-FR"/>
        </w:rPr>
      </w:pPr>
      <w:r w:rsidRPr="007D23C0">
        <w:rPr>
          <w:lang w:val="fr-FR"/>
        </w:rPr>
        <w:t>•</w:t>
      </w:r>
      <w:r w:rsidRPr="007D23C0">
        <w:rPr>
          <w:lang w:val="fr-FR"/>
        </w:rPr>
        <w:tab/>
      </w:r>
      <w:r w:rsidR="00B23F5E" w:rsidRPr="007D23C0">
        <w:rPr>
          <w:lang w:val="fr-FR"/>
        </w:rPr>
        <w:t>processus permanent d'examen</w:t>
      </w:r>
      <w:r w:rsidR="001E6817" w:rsidRPr="007D23C0">
        <w:rPr>
          <w:lang w:val="fr-FR"/>
        </w:rPr>
        <w:t>;</w:t>
      </w:r>
    </w:p>
    <w:p w14:paraId="2249F2CB" w14:textId="3BFCAAB3" w:rsidR="00B50CF1" w:rsidRPr="007D23C0" w:rsidRDefault="00B50CF1" w:rsidP="00FF5D98">
      <w:pPr>
        <w:pStyle w:val="enumlev1"/>
        <w:rPr>
          <w:lang w:val="fr-FR"/>
        </w:rPr>
      </w:pPr>
      <w:r w:rsidRPr="007D23C0">
        <w:rPr>
          <w:lang w:val="fr-FR"/>
        </w:rPr>
        <w:t>1m)</w:t>
      </w:r>
      <w:r w:rsidR="00B23F5E" w:rsidRPr="007D23C0">
        <w:rPr>
          <w:lang w:val="fr-FR"/>
        </w:rPr>
        <w:tab/>
      </w:r>
      <w:r w:rsidR="000646B1" w:rsidRPr="007D23C0">
        <w:rPr>
          <w:lang w:val="fr-FR"/>
        </w:rPr>
        <w:t xml:space="preserve">examiner </w:t>
      </w:r>
      <w:r w:rsidRPr="007D23C0">
        <w:rPr>
          <w:lang w:val="fr-FR"/>
        </w:rPr>
        <w:t>d'autres questions particulières relevant de la compétence de l'AMNT, sous réserve de l'approbation des États Membres, moyennant l'application de la procédure d'approbation figurant dans la section 9 de la Résolution 1 (Rév. Hammamet, 2016) de la présente Assemblée;</w:t>
      </w:r>
    </w:p>
    <w:p w14:paraId="6DBC37CB" w14:textId="034CA216" w:rsidR="00F43439" w:rsidRPr="007D23C0" w:rsidRDefault="00F43439" w:rsidP="007D23C0">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3.2.1</w:t>
      </w:r>
      <w:r w:rsidR="00BD76A4" w:rsidRPr="007D23C0">
        <w:rPr>
          <w:lang w:val="fr-FR"/>
        </w:rPr>
        <w:t xml:space="preserve"> et</w:t>
      </w:r>
      <w:r w:rsidRPr="007D23C0">
        <w:rPr>
          <w:lang w:val="fr-FR"/>
        </w:rPr>
        <w:t xml:space="preserve"> 3.2.2 </w:t>
      </w:r>
      <w:r w:rsidR="001824CF" w:rsidRPr="007D23C0">
        <w:rPr>
          <w:lang w:val="fr-FR"/>
        </w:rPr>
        <w:t>du</w:t>
      </w:r>
      <w:r w:rsidRPr="007D23C0">
        <w:rPr>
          <w:lang w:val="fr-FR"/>
        </w:rPr>
        <w:t xml:space="preserve"> </w:t>
      </w:r>
      <w:hyperlink r:id="rId22"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09F41211" w14:textId="0A063850" w:rsidR="00B50CF1" w:rsidRPr="007D23C0" w:rsidRDefault="00B50CF1" w:rsidP="00FF5D98">
      <w:pPr>
        <w:keepLines/>
        <w:rPr>
          <w:lang w:val="fr-FR"/>
        </w:rPr>
      </w:pPr>
      <w:r w:rsidRPr="007D23C0">
        <w:rPr>
          <w:lang w:val="fr-FR"/>
        </w:rPr>
        <w:t>2</w:t>
      </w:r>
      <w:r w:rsidRPr="007D23C0">
        <w:rPr>
          <w:lang w:val="fr-FR"/>
        </w:rPr>
        <w:tab/>
      </w:r>
      <w:r w:rsidR="007D23C0">
        <w:rPr>
          <w:lang w:val="fr-FR"/>
        </w:rPr>
        <w:t>L</w:t>
      </w:r>
      <w:r w:rsidR="000646B1" w:rsidRPr="007D23C0">
        <w:rPr>
          <w:lang w:val="fr-FR"/>
        </w:rPr>
        <w:t>e GCNT examinera l'état d'avancement de la mise en œuvre des mesures et des objectifs figurant dans les plans opérationnels annuels et dans le Plan d'action de l'AMNT</w:t>
      </w:r>
      <w:r w:rsidR="000646B1" w:rsidRPr="007D23C0">
        <w:rPr>
          <w:lang w:val="fr-FR"/>
        </w:rPr>
        <w:noBreakHyphen/>
        <w:t>16, qui comprend les Résolutions de l'AMNT, en vue de recenser les difficultés éventuelles et les stratégies envisageables pour mettre en œuvre les éléments essentiels, et de recommander des solutions au Directeur du TSB concernant ces difficultés et stratégies</w:t>
      </w:r>
      <w:r w:rsidRPr="007D23C0">
        <w:rPr>
          <w:lang w:val="fr-FR"/>
        </w:rPr>
        <w:t>;</w:t>
      </w:r>
    </w:p>
    <w:p w14:paraId="5188542C" w14:textId="16E8F4AB" w:rsidR="006343CB" w:rsidRPr="007D23C0" w:rsidRDefault="006343CB" w:rsidP="00FF5D98">
      <w:pPr>
        <w:pStyle w:val="enumlev2"/>
        <w:rPr>
          <w:lang w:val="fr-FR"/>
        </w:rPr>
      </w:pPr>
      <w:r w:rsidRPr="007D23C0">
        <w:rPr>
          <w:lang w:val="fr-FR"/>
        </w:rPr>
        <w:t>•</w:t>
      </w:r>
      <w:r w:rsidRPr="007D23C0">
        <w:rPr>
          <w:lang w:val="fr-FR"/>
        </w:rPr>
        <w:tab/>
      </w:r>
      <w:r w:rsidR="00BD76A4" w:rsidRPr="007D23C0">
        <w:rPr>
          <w:lang w:val="fr-FR"/>
        </w:rPr>
        <w:t xml:space="preserve">voir le paragraphe </w:t>
      </w:r>
      <w:r w:rsidRPr="007D23C0">
        <w:rPr>
          <w:lang w:val="fr-FR"/>
        </w:rPr>
        <w:t xml:space="preserve">3.4.3 </w:t>
      </w:r>
      <w:r w:rsidR="001824CF" w:rsidRPr="007D23C0">
        <w:rPr>
          <w:lang w:val="fr-FR"/>
        </w:rPr>
        <w:t>du</w:t>
      </w:r>
      <w:r w:rsidRPr="007D23C0">
        <w:rPr>
          <w:lang w:val="fr-FR"/>
        </w:rPr>
        <w:t xml:space="preserve"> </w:t>
      </w:r>
      <w:hyperlink r:id="rId23"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7365D21E" w14:textId="080809FB" w:rsidR="00B50CF1" w:rsidRPr="007D23C0" w:rsidRDefault="00B50CF1" w:rsidP="00FF5D98">
      <w:pPr>
        <w:rPr>
          <w:lang w:val="fr-FR"/>
        </w:rPr>
      </w:pPr>
      <w:r w:rsidRPr="007D23C0">
        <w:rPr>
          <w:lang w:val="fr-FR"/>
        </w:rPr>
        <w:t>3</w:t>
      </w:r>
      <w:r w:rsidRPr="007D23C0">
        <w:rPr>
          <w:lang w:val="fr-FR"/>
        </w:rPr>
        <w:tab/>
      </w:r>
      <w:r w:rsidR="007D23C0">
        <w:rPr>
          <w:lang w:val="fr-FR"/>
        </w:rPr>
        <w:t>D</w:t>
      </w:r>
      <w:r w:rsidRPr="007D23C0">
        <w:rPr>
          <w:lang w:val="fr-FR"/>
        </w:rPr>
        <w:t>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Hammamet, 2016) de la présente Assemblée;</w:t>
      </w:r>
    </w:p>
    <w:p w14:paraId="70C187B6" w14:textId="218DA1E3" w:rsidR="006343CB" w:rsidRPr="007D23C0" w:rsidRDefault="006343CB" w:rsidP="00FF5D98">
      <w:pPr>
        <w:pStyle w:val="enumlev2"/>
        <w:rPr>
          <w:lang w:val="fr-FR"/>
        </w:rPr>
      </w:pPr>
      <w:r w:rsidRPr="007D23C0">
        <w:rPr>
          <w:lang w:val="fr-FR"/>
        </w:rPr>
        <w:t>•</w:t>
      </w:r>
      <w:r w:rsidRPr="007D23C0">
        <w:rPr>
          <w:lang w:val="fr-FR"/>
        </w:rPr>
        <w:tab/>
      </w:r>
      <w:r w:rsidR="00D9110C" w:rsidRPr="007D23C0">
        <w:rPr>
          <w:lang w:val="fr-FR"/>
        </w:rPr>
        <w:t>aucune mesure à prendre</w:t>
      </w:r>
      <w:r w:rsidR="007D23C0">
        <w:rPr>
          <w:lang w:val="fr-FR"/>
        </w:rPr>
        <w:t>.</w:t>
      </w:r>
    </w:p>
    <w:p w14:paraId="243AAEBA" w14:textId="6F7EEF61" w:rsidR="00B50CF1" w:rsidRPr="007D23C0" w:rsidRDefault="00B50CF1" w:rsidP="007D23C0">
      <w:pPr>
        <w:keepNext/>
        <w:keepLines/>
        <w:rPr>
          <w:lang w:val="fr-FR"/>
        </w:rPr>
      </w:pPr>
      <w:r w:rsidRPr="007D23C0">
        <w:rPr>
          <w:lang w:val="fr-FR"/>
        </w:rPr>
        <w:lastRenderedPageBreak/>
        <w:t>4</w:t>
      </w:r>
      <w:r w:rsidRPr="007D23C0">
        <w:rPr>
          <w:lang w:val="fr-FR"/>
        </w:rPr>
        <w:tab/>
      </w:r>
      <w:r w:rsidR="007D23C0">
        <w:rPr>
          <w:lang w:val="fr-FR"/>
        </w:rPr>
        <w:t>L</w:t>
      </w:r>
      <w:r w:rsidR="000646B1" w:rsidRPr="007D23C0">
        <w:rPr>
          <w:lang w:val="fr-FR"/>
        </w:rPr>
        <w:t>e GCNT assurera la liaison avec des organisations extérieures à l'UIT pour ce qui est de ses propres activités, en consultation avec le Directeur du TSB, si nécessaire</w:t>
      </w:r>
      <w:r w:rsidRPr="007D23C0">
        <w:rPr>
          <w:lang w:val="fr-FR"/>
        </w:rPr>
        <w:t>;</w:t>
      </w:r>
    </w:p>
    <w:p w14:paraId="20D705CB" w14:textId="654E1074" w:rsidR="006343CB" w:rsidRPr="007D23C0" w:rsidRDefault="006343CB" w:rsidP="007D23C0">
      <w:pPr>
        <w:pStyle w:val="enumlev2"/>
        <w:keepNext/>
        <w:keepLines/>
        <w:rPr>
          <w:lang w:val="fr-FR"/>
        </w:rPr>
      </w:pPr>
      <w:r w:rsidRPr="007D23C0">
        <w:rPr>
          <w:lang w:val="fr-FR"/>
        </w:rPr>
        <w:t>•</w:t>
      </w:r>
      <w:r w:rsidRPr="007D23C0">
        <w:rPr>
          <w:lang w:val="fr-FR"/>
        </w:rPr>
        <w:tab/>
      </w:r>
      <w:r w:rsidR="00BD76A4" w:rsidRPr="007D23C0">
        <w:rPr>
          <w:lang w:val="fr-FR"/>
        </w:rPr>
        <w:t xml:space="preserve">voir le paragraphe </w:t>
      </w:r>
      <w:r w:rsidRPr="007D23C0">
        <w:rPr>
          <w:lang w:val="fr-FR"/>
        </w:rPr>
        <w:t xml:space="preserve">3.2.3 </w:t>
      </w:r>
      <w:r w:rsidR="001824CF" w:rsidRPr="007D23C0">
        <w:rPr>
          <w:lang w:val="fr-FR"/>
        </w:rPr>
        <w:t>du</w:t>
      </w:r>
      <w:r w:rsidRPr="007D23C0">
        <w:rPr>
          <w:lang w:val="fr-FR"/>
        </w:rPr>
        <w:t xml:space="preserve"> </w:t>
      </w:r>
      <w:hyperlink r:id="rId24"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7A4DE9B6" w14:textId="05815115" w:rsidR="00B50CF1" w:rsidRPr="007D23C0" w:rsidRDefault="00B50CF1" w:rsidP="00FF5D98">
      <w:pPr>
        <w:rPr>
          <w:lang w:val="fr-FR"/>
        </w:rPr>
      </w:pPr>
      <w:r w:rsidRPr="007D23C0">
        <w:rPr>
          <w:lang w:val="fr-FR"/>
        </w:rPr>
        <w:t>5</w:t>
      </w:r>
      <w:r w:rsidRPr="007D23C0">
        <w:rPr>
          <w:lang w:val="fr-FR"/>
        </w:rPr>
        <w:tab/>
      </w:r>
      <w:r w:rsidR="007D23C0">
        <w:rPr>
          <w:lang w:val="fr-FR"/>
        </w:rPr>
        <w:t>L</w:t>
      </w:r>
      <w:r w:rsidR="000646B1" w:rsidRPr="007D23C0">
        <w:rPr>
          <w:lang w:val="fr-FR"/>
        </w:rPr>
        <w:t>e GCNT examinera les incidences pour l'UIT-T des besoins du marché et des nouvelles technologies émergentes qui n'ont pas encore été pris en compte aux fins de normalisation par l'UIT</w:t>
      </w:r>
      <w:r w:rsidR="000646B1" w:rsidRPr="007D23C0">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r w:rsidRPr="007D23C0">
        <w:rPr>
          <w:lang w:val="fr-FR"/>
        </w:rPr>
        <w:t>;</w:t>
      </w:r>
    </w:p>
    <w:p w14:paraId="39B11C71" w14:textId="1DE16FA4" w:rsidR="006343CB" w:rsidRPr="007D23C0" w:rsidRDefault="006343CB" w:rsidP="00FF5D98">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2</w:t>
      </w:r>
      <w:r w:rsidR="00BD76A4" w:rsidRPr="007D23C0">
        <w:rPr>
          <w:lang w:val="fr-FR"/>
        </w:rPr>
        <w:t xml:space="preserve"> et </w:t>
      </w:r>
      <w:r w:rsidRPr="007D23C0">
        <w:rPr>
          <w:lang w:val="fr-FR"/>
        </w:rPr>
        <w:t xml:space="preserve">3.2.5 </w:t>
      </w:r>
      <w:r w:rsidR="001824CF" w:rsidRPr="007D23C0">
        <w:rPr>
          <w:lang w:val="fr-FR"/>
        </w:rPr>
        <w:t>du</w:t>
      </w:r>
      <w:r w:rsidRPr="007D23C0">
        <w:rPr>
          <w:lang w:val="fr-FR"/>
        </w:rPr>
        <w:t xml:space="preserve"> </w:t>
      </w:r>
      <w:hyperlink r:id="rId25"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1A0BEAA6" w14:textId="7E870B1B" w:rsidR="00B50CF1" w:rsidRPr="007D23C0" w:rsidRDefault="00B50CF1" w:rsidP="00FF5D98">
      <w:pPr>
        <w:rPr>
          <w:lang w:val="fr-FR"/>
        </w:rPr>
      </w:pPr>
      <w:r w:rsidRPr="007D23C0">
        <w:rPr>
          <w:lang w:val="fr-FR"/>
        </w:rPr>
        <w:t>6</w:t>
      </w:r>
      <w:r w:rsidRPr="007D23C0">
        <w:rPr>
          <w:lang w:val="fr-FR"/>
        </w:rPr>
        <w:tab/>
      </w:r>
      <w:r w:rsidR="007D23C0">
        <w:rPr>
          <w:lang w:val="fr-FR"/>
        </w:rPr>
        <w:t>L</w:t>
      </w:r>
      <w:r w:rsidR="000646B1" w:rsidRPr="007D23C0">
        <w:rPr>
          <w:lang w:val="fr-FR"/>
        </w:rPr>
        <w:t>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r w:rsidRPr="007D23C0">
        <w:rPr>
          <w:lang w:val="fr-FR"/>
        </w:rPr>
        <w:t>;</w:t>
      </w:r>
    </w:p>
    <w:p w14:paraId="3B90BAA6" w14:textId="476BB81A" w:rsidR="006343CB" w:rsidRPr="007D23C0" w:rsidRDefault="006343CB" w:rsidP="00FF5D98">
      <w:pPr>
        <w:pStyle w:val="enumlev2"/>
        <w:rPr>
          <w:lang w:val="fr-FR"/>
        </w:rPr>
      </w:pPr>
      <w:r w:rsidRPr="007D23C0">
        <w:rPr>
          <w:lang w:val="fr-FR"/>
        </w:rPr>
        <w:t>•</w:t>
      </w:r>
      <w:r w:rsidRPr="007D23C0">
        <w:rPr>
          <w:lang w:val="fr-FR"/>
        </w:rPr>
        <w:tab/>
      </w:r>
      <w:r w:rsidR="00BD76A4" w:rsidRPr="007D23C0">
        <w:rPr>
          <w:lang w:val="fr-FR"/>
        </w:rPr>
        <w:t>v</w:t>
      </w:r>
      <w:r w:rsidR="006C09C8" w:rsidRPr="007D23C0">
        <w:rPr>
          <w:lang w:val="fr-FR"/>
        </w:rPr>
        <w:t>oir les paragraphes</w:t>
      </w:r>
      <w:r w:rsidRPr="007D23C0">
        <w:rPr>
          <w:lang w:val="fr-FR"/>
        </w:rPr>
        <w:t xml:space="preserve"> 2</w:t>
      </w:r>
      <w:r w:rsidR="00BD76A4" w:rsidRPr="007D23C0">
        <w:rPr>
          <w:lang w:val="fr-FR"/>
        </w:rPr>
        <w:t xml:space="preserve"> et </w:t>
      </w:r>
      <w:r w:rsidRPr="007D23C0">
        <w:rPr>
          <w:lang w:val="fr-FR"/>
        </w:rPr>
        <w:t xml:space="preserve">3.2.5 </w:t>
      </w:r>
      <w:r w:rsidR="001824CF" w:rsidRPr="007D23C0">
        <w:rPr>
          <w:lang w:val="fr-FR"/>
        </w:rPr>
        <w:t>du</w:t>
      </w:r>
      <w:r w:rsidRPr="007D23C0">
        <w:rPr>
          <w:lang w:val="fr-FR"/>
        </w:rPr>
        <w:t xml:space="preserve"> </w:t>
      </w:r>
      <w:hyperlink r:id="rId26"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56359BC6" w14:textId="06A8E9A8" w:rsidR="00B50CF1" w:rsidRPr="007D23C0" w:rsidRDefault="00B50CF1" w:rsidP="00FF5D98">
      <w:pPr>
        <w:rPr>
          <w:lang w:val="fr-FR"/>
        </w:rPr>
      </w:pPr>
      <w:r w:rsidRPr="007D23C0">
        <w:rPr>
          <w:lang w:val="fr-FR"/>
        </w:rPr>
        <w:t>7</w:t>
      </w:r>
      <w:r w:rsidRPr="007D23C0">
        <w:rPr>
          <w:lang w:val="fr-FR"/>
        </w:rPr>
        <w:tab/>
      </w:r>
      <w:r w:rsidR="007D23C0">
        <w:rPr>
          <w:lang w:val="fr-FR"/>
        </w:rPr>
        <w:t>L</w:t>
      </w:r>
      <w:r w:rsidR="000646B1" w:rsidRPr="007D23C0">
        <w:rPr>
          <w:lang w:val="fr-FR"/>
        </w:rPr>
        <w:t>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r w:rsidRPr="007D23C0">
        <w:rPr>
          <w:lang w:val="fr-FR"/>
        </w:rPr>
        <w:t>;</w:t>
      </w:r>
    </w:p>
    <w:p w14:paraId="6B84CC02" w14:textId="51034932" w:rsidR="006343CB" w:rsidRPr="007D23C0" w:rsidRDefault="006343CB" w:rsidP="00FF5D98">
      <w:pPr>
        <w:pStyle w:val="enumlev2"/>
        <w:rPr>
          <w:lang w:val="fr-FR"/>
        </w:rPr>
      </w:pPr>
      <w:r w:rsidRPr="007D23C0">
        <w:rPr>
          <w:lang w:val="fr-FR"/>
        </w:rPr>
        <w:t>•</w:t>
      </w:r>
      <w:r w:rsidRPr="007D23C0">
        <w:rPr>
          <w:lang w:val="fr-FR"/>
        </w:rPr>
        <w:tab/>
      </w:r>
      <w:r w:rsidR="001E6817" w:rsidRPr="007D23C0">
        <w:rPr>
          <w:lang w:val="fr-FR"/>
        </w:rPr>
        <w:t>v</w:t>
      </w:r>
      <w:r w:rsidR="006C09C8" w:rsidRPr="007D23C0">
        <w:rPr>
          <w:lang w:val="fr-FR"/>
        </w:rPr>
        <w:t>oir les paragraphes</w:t>
      </w:r>
      <w:r w:rsidRPr="007D23C0">
        <w:rPr>
          <w:lang w:val="fr-FR"/>
        </w:rPr>
        <w:t xml:space="preserve"> 2</w:t>
      </w:r>
      <w:r w:rsidR="001E6817" w:rsidRPr="007D23C0">
        <w:rPr>
          <w:lang w:val="fr-FR"/>
        </w:rPr>
        <w:t xml:space="preserve"> et </w:t>
      </w:r>
      <w:r w:rsidRPr="007D23C0">
        <w:rPr>
          <w:lang w:val="fr-FR"/>
        </w:rPr>
        <w:t xml:space="preserve">3.2.5 </w:t>
      </w:r>
      <w:r w:rsidR="001824CF" w:rsidRPr="007D23C0">
        <w:rPr>
          <w:lang w:val="fr-FR"/>
        </w:rPr>
        <w:t>du</w:t>
      </w:r>
      <w:r w:rsidRPr="007D23C0">
        <w:rPr>
          <w:lang w:val="fr-FR"/>
        </w:rPr>
        <w:t xml:space="preserve"> </w:t>
      </w:r>
      <w:hyperlink r:id="rId27" w:history="1">
        <w:r w:rsidR="007D23C0" w:rsidRPr="007D23C0">
          <w:rPr>
            <w:rStyle w:val="Hyperlink"/>
            <w:lang w:val="fr-FR"/>
          </w:rPr>
          <w:t>Document 23</w:t>
        </w:r>
      </w:hyperlink>
      <w:r w:rsidRPr="007D23C0">
        <w:rPr>
          <w:lang w:val="fr-FR"/>
        </w:rPr>
        <w:t xml:space="preserve"> </w:t>
      </w:r>
      <w:r w:rsidR="007D23C0" w:rsidRPr="007D23C0">
        <w:rPr>
          <w:lang w:val="fr-FR"/>
        </w:rPr>
        <w:t>–</w:t>
      </w:r>
      <w:r w:rsidRPr="007D23C0">
        <w:rPr>
          <w:lang w:val="fr-FR"/>
        </w:rPr>
        <w:t xml:space="preserve"> </w:t>
      </w:r>
      <w:r w:rsidR="006C09C8" w:rsidRPr="007D23C0">
        <w:rPr>
          <w:lang w:val="fr-FR"/>
        </w:rPr>
        <w:t>Rapport du GCNT – Partie I: Considérations générales</w:t>
      </w:r>
      <w:r w:rsidR="007D23C0">
        <w:rPr>
          <w:lang w:val="fr-FR"/>
        </w:rPr>
        <w:t>.</w:t>
      </w:r>
    </w:p>
    <w:p w14:paraId="61A5E0FB" w14:textId="102F6A41" w:rsidR="00B50CF1" w:rsidRPr="007D23C0" w:rsidRDefault="00B50CF1" w:rsidP="00FF5D98">
      <w:pPr>
        <w:keepNext/>
        <w:keepLines/>
        <w:rPr>
          <w:lang w:val="fr-FR"/>
        </w:rPr>
      </w:pPr>
      <w:r w:rsidRPr="007D23C0">
        <w:rPr>
          <w:lang w:val="fr-FR"/>
        </w:rPr>
        <w:t>8</w:t>
      </w:r>
      <w:r w:rsidRPr="007D23C0">
        <w:rPr>
          <w:lang w:val="fr-FR"/>
        </w:rPr>
        <w:tab/>
      </w:r>
      <w:r w:rsidR="007D23C0">
        <w:rPr>
          <w:lang w:val="fr-FR"/>
        </w:rPr>
        <w:t>L</w:t>
      </w:r>
      <w:r w:rsidR="000646B1" w:rsidRPr="007D23C0">
        <w:rPr>
          <w:lang w:val="fr-FR"/>
        </w:rPr>
        <w:t xml:space="preserve">e </w:t>
      </w:r>
      <w:r w:rsidRPr="007D23C0">
        <w:rPr>
          <w:lang w:val="fr-FR"/>
        </w:rPr>
        <w:t>GCNT examinera les résultats de la présente Assemblée en ce qui concerne le Colloque mondial sur la normalisation et prendra des mesures de suivi, s'il y a lieu;</w:t>
      </w:r>
    </w:p>
    <w:p w14:paraId="1B1436D2" w14:textId="2419A22F" w:rsidR="006343CB" w:rsidRPr="007D23C0" w:rsidRDefault="006343CB" w:rsidP="00FF5D98">
      <w:pPr>
        <w:pStyle w:val="enumlev2"/>
        <w:rPr>
          <w:lang w:val="fr-FR"/>
        </w:rPr>
      </w:pPr>
      <w:r w:rsidRPr="007D23C0">
        <w:rPr>
          <w:lang w:val="fr-FR"/>
        </w:rPr>
        <w:t>•</w:t>
      </w:r>
      <w:r w:rsidRPr="007D23C0">
        <w:rPr>
          <w:lang w:val="fr-FR"/>
        </w:rPr>
        <w:tab/>
      </w:r>
      <w:r w:rsidR="00C5670A" w:rsidRPr="007D23C0">
        <w:rPr>
          <w:lang w:val="fr-FR"/>
        </w:rPr>
        <w:t xml:space="preserve">l'AMNT-16 a examiné les résultats du Colloque mondial sur la normalisation de 2016. Aucune mesure </w:t>
      </w:r>
      <w:r w:rsidR="00930385" w:rsidRPr="007D23C0">
        <w:rPr>
          <w:lang w:val="fr-FR"/>
        </w:rPr>
        <w:t>ne doit être prise par</w:t>
      </w:r>
      <w:r w:rsidR="00C5670A" w:rsidRPr="007D23C0">
        <w:rPr>
          <w:lang w:val="fr-FR"/>
        </w:rPr>
        <w:t xml:space="preserve"> le GCNT</w:t>
      </w:r>
      <w:r w:rsidR="007D23C0">
        <w:rPr>
          <w:lang w:val="fr-FR"/>
        </w:rPr>
        <w:t>.</w:t>
      </w:r>
    </w:p>
    <w:p w14:paraId="33B4E629" w14:textId="57AA80C2" w:rsidR="00B50CF1" w:rsidRPr="007D23C0" w:rsidRDefault="00B50CF1" w:rsidP="00FF5D98">
      <w:pPr>
        <w:rPr>
          <w:lang w:val="fr-FR"/>
        </w:rPr>
      </w:pPr>
      <w:r w:rsidRPr="007D23C0">
        <w:rPr>
          <w:lang w:val="fr-FR"/>
        </w:rPr>
        <w:t>9</w:t>
      </w:r>
      <w:r w:rsidRPr="007D23C0">
        <w:rPr>
          <w:lang w:val="fr-FR"/>
        </w:rPr>
        <w:tab/>
      </w:r>
      <w:r w:rsidR="007D23C0">
        <w:rPr>
          <w:lang w:val="fr-FR"/>
        </w:rPr>
        <w:t>L</w:t>
      </w:r>
      <w:r w:rsidR="000646B1" w:rsidRPr="007D23C0">
        <w:rPr>
          <w:lang w:val="fr-FR"/>
        </w:rPr>
        <w:t>e</w:t>
      </w:r>
      <w:r w:rsidRPr="007D23C0">
        <w:rPr>
          <w:lang w:val="fr-FR"/>
        </w:rPr>
        <w:t xml:space="preserve"> GCNT devra faire rapport à la prochaine AMNT sur les activités énumérées ci</w:t>
      </w:r>
      <w:r w:rsidRPr="007D23C0">
        <w:rPr>
          <w:lang w:val="fr-FR"/>
        </w:rPr>
        <w:noBreakHyphen/>
        <w:t>dessus</w:t>
      </w:r>
      <w:r w:rsidR="007D23C0">
        <w:rPr>
          <w:lang w:val="fr-FR"/>
        </w:rPr>
        <w:t>;</w:t>
      </w:r>
    </w:p>
    <w:p w14:paraId="79130048" w14:textId="0EBBBC08" w:rsidR="006343CB" w:rsidRPr="007D23C0" w:rsidRDefault="006343CB" w:rsidP="00FF5D98">
      <w:pPr>
        <w:pStyle w:val="enumlev2"/>
        <w:rPr>
          <w:lang w:val="fr-FR"/>
        </w:rPr>
      </w:pPr>
      <w:r w:rsidRPr="007D23C0">
        <w:rPr>
          <w:lang w:val="fr-FR"/>
        </w:rPr>
        <w:t>•</w:t>
      </w:r>
      <w:r w:rsidRPr="007D23C0">
        <w:rPr>
          <w:lang w:val="fr-FR"/>
        </w:rPr>
        <w:tab/>
      </w:r>
      <w:r w:rsidR="00C5670A" w:rsidRPr="007D23C0">
        <w:rPr>
          <w:lang w:val="fr-FR"/>
        </w:rPr>
        <w:t>présent document</w:t>
      </w:r>
      <w:r w:rsidR="007D23C0">
        <w:rPr>
          <w:lang w:val="fr-FR"/>
        </w:rPr>
        <w:t>.</w:t>
      </w:r>
    </w:p>
    <w:p w14:paraId="6ACB2E72" w14:textId="38D32589" w:rsidR="00A012FD" w:rsidRPr="007D23C0" w:rsidRDefault="00A012FD" w:rsidP="00FF5D98">
      <w:pPr>
        <w:rPr>
          <w:lang w:val="fr-FR"/>
        </w:rPr>
      </w:pPr>
      <w:r w:rsidRPr="007D23C0">
        <w:rPr>
          <w:lang w:val="fr-FR"/>
        </w:rPr>
        <w:t>10</w:t>
      </w:r>
      <w:r w:rsidRPr="007D23C0">
        <w:rPr>
          <w:lang w:val="fr-FR"/>
        </w:rPr>
        <w:tab/>
      </w:r>
      <w:r w:rsidR="007D23C0">
        <w:rPr>
          <w:lang w:val="fr-FR"/>
        </w:rPr>
        <w:t>L</w:t>
      </w:r>
      <w:r w:rsidR="00C5670A" w:rsidRPr="007D23C0">
        <w:rPr>
          <w:lang w:val="fr-FR"/>
        </w:rPr>
        <w:t>e GCNT élabore</w:t>
      </w:r>
      <w:r w:rsidR="00D32ED5" w:rsidRPr="007D23C0">
        <w:rPr>
          <w:lang w:val="fr-FR"/>
        </w:rPr>
        <w:t>ra</w:t>
      </w:r>
      <w:r w:rsidR="00C5670A" w:rsidRPr="007D23C0">
        <w:rPr>
          <w:lang w:val="fr-FR"/>
        </w:rPr>
        <w:t xml:space="preserve"> un rapport à l'intention de l'Assemblée sur les questions qui lui ont été confiées par l'AMNT précédente</w:t>
      </w:r>
      <w:r w:rsidR="007D23C0">
        <w:rPr>
          <w:lang w:val="fr-FR"/>
        </w:rPr>
        <w:t>.</w:t>
      </w:r>
    </w:p>
    <w:p w14:paraId="0FC1CB8B" w14:textId="030D3C43" w:rsidR="00A012FD" w:rsidRPr="007D23C0" w:rsidRDefault="007D23C0" w:rsidP="00FF5D98">
      <w:pPr>
        <w:rPr>
          <w:lang w:val="fr-FR"/>
        </w:rPr>
      </w:pPr>
      <w:r>
        <w:rPr>
          <w:lang w:val="fr-FR" w:eastAsia="zh-CN"/>
        </w:rPr>
        <w:t>L</w:t>
      </w:r>
      <w:r w:rsidR="00C5670A" w:rsidRPr="007D23C0">
        <w:rPr>
          <w:lang w:val="fr-FR" w:eastAsia="zh-CN"/>
        </w:rPr>
        <w:t xml:space="preserve">'AMNT-16 </w:t>
      </w:r>
      <w:r w:rsidR="00C5670A" w:rsidRPr="007D23C0">
        <w:rPr>
          <w:lang w:val="fr-FR"/>
        </w:rPr>
        <w:t xml:space="preserve">a </w:t>
      </w:r>
      <w:r w:rsidR="006447C9" w:rsidRPr="007D23C0">
        <w:rPr>
          <w:lang w:val="fr-FR"/>
        </w:rPr>
        <w:t>prié le</w:t>
      </w:r>
      <w:r w:rsidR="00C5670A" w:rsidRPr="007D23C0">
        <w:rPr>
          <w:lang w:val="fr-FR"/>
        </w:rPr>
        <w:t xml:space="preserve"> GCNT </w:t>
      </w:r>
      <w:r w:rsidR="00930385" w:rsidRPr="007D23C0">
        <w:rPr>
          <w:lang w:val="fr-FR"/>
        </w:rPr>
        <w:t>de donner suite à</w:t>
      </w:r>
      <w:r w:rsidR="00C5670A" w:rsidRPr="007D23C0">
        <w:rPr>
          <w:lang w:val="fr-FR"/>
        </w:rPr>
        <w:t xml:space="preserve"> </w:t>
      </w:r>
      <w:r w:rsidR="006447C9" w:rsidRPr="007D23C0">
        <w:rPr>
          <w:lang w:val="fr-FR"/>
        </w:rPr>
        <w:t xml:space="preserve">ces </w:t>
      </w:r>
      <w:r w:rsidR="00C5670A" w:rsidRPr="007D23C0">
        <w:rPr>
          <w:lang w:val="fr-FR"/>
        </w:rPr>
        <w:t xml:space="preserve">quatre </w:t>
      </w:r>
      <w:r w:rsidR="006447C9" w:rsidRPr="007D23C0">
        <w:rPr>
          <w:lang w:val="fr-FR"/>
        </w:rPr>
        <w:t>points</w:t>
      </w:r>
      <w:r w:rsidR="00A012FD" w:rsidRPr="007D23C0">
        <w:rPr>
          <w:lang w:val="fr-FR"/>
        </w:rPr>
        <w:t>:</w:t>
      </w:r>
    </w:p>
    <w:p w14:paraId="18AA5E5A" w14:textId="559E4616" w:rsidR="00A012FD" w:rsidRPr="007D23C0" w:rsidRDefault="00A012FD" w:rsidP="00FF5D98">
      <w:pPr>
        <w:pStyle w:val="enumlev1"/>
        <w:rPr>
          <w:lang w:val="fr-FR"/>
        </w:rPr>
      </w:pPr>
      <w:r w:rsidRPr="007D23C0">
        <w:rPr>
          <w:lang w:val="fr-FR"/>
        </w:rPr>
        <w:t>•</w:t>
      </w:r>
      <w:r w:rsidRPr="007D23C0">
        <w:rPr>
          <w:lang w:val="fr-FR"/>
        </w:rPr>
        <w:tab/>
        <w:t>établir une définition du terme "accord" pour les textes non normatifs (</w:t>
      </w:r>
      <w:r w:rsidR="006447C9" w:rsidRPr="007D23C0">
        <w:rPr>
          <w:lang w:val="fr-FR"/>
        </w:rPr>
        <w:t>AMNT-16 – Actes</w:t>
      </w:r>
      <w:r w:rsidRPr="007D23C0">
        <w:rPr>
          <w:lang w:val="fr-FR"/>
        </w:rPr>
        <w:t>, 5.4);</w:t>
      </w:r>
    </w:p>
    <w:p w14:paraId="5AF267C7" w14:textId="6BA78D3E" w:rsidR="00A012FD" w:rsidRPr="007D23C0" w:rsidRDefault="00A012FD" w:rsidP="00FF5D98">
      <w:pPr>
        <w:pStyle w:val="enumlev1"/>
        <w:rPr>
          <w:lang w:val="fr-FR"/>
        </w:rPr>
      </w:pPr>
      <w:r w:rsidRPr="007D23C0">
        <w:rPr>
          <w:lang w:val="fr-FR"/>
        </w:rPr>
        <w:t>•</w:t>
      </w:r>
      <w:r w:rsidRPr="007D23C0">
        <w:rPr>
          <w:lang w:val="fr-FR"/>
        </w:rPr>
        <w:tab/>
        <w:t>procéder à un examen global des procédures d'élaboration et d'approbation des documents dans l'ensemble de la Résolution 1, et dans les Recommandation</w:t>
      </w:r>
      <w:r w:rsidR="006447C9" w:rsidRPr="007D23C0">
        <w:rPr>
          <w:lang w:val="fr-FR"/>
        </w:rPr>
        <w:t>s UIT-T A.1 et UIT</w:t>
      </w:r>
      <w:r w:rsidR="006447C9" w:rsidRPr="007D23C0">
        <w:rPr>
          <w:lang w:val="fr-FR"/>
        </w:rPr>
        <w:noBreakHyphen/>
        <w:t xml:space="preserve">T A.13, et </w:t>
      </w:r>
      <w:r w:rsidRPr="007D23C0">
        <w:rPr>
          <w:lang w:val="fr-FR"/>
        </w:rPr>
        <w:t>élaborer une proposition qui sera soumise à la prochaine Assemblée (</w:t>
      </w:r>
      <w:r w:rsidR="006447C9" w:rsidRPr="007D23C0">
        <w:rPr>
          <w:lang w:val="fr-FR"/>
        </w:rPr>
        <w:t>AMNT-16 – Actes</w:t>
      </w:r>
      <w:r w:rsidRPr="007D23C0">
        <w:rPr>
          <w:lang w:val="fr-FR"/>
        </w:rPr>
        <w:t>, 5.4);</w:t>
      </w:r>
    </w:p>
    <w:p w14:paraId="20842944" w14:textId="61AFF26C" w:rsidR="00A012FD" w:rsidRPr="007D23C0" w:rsidRDefault="00A012FD" w:rsidP="00FF5D98">
      <w:pPr>
        <w:pStyle w:val="enumlev1"/>
        <w:rPr>
          <w:lang w:val="fr-FR"/>
        </w:rPr>
      </w:pPr>
      <w:r w:rsidRPr="007D23C0">
        <w:rPr>
          <w:lang w:val="fr-FR"/>
        </w:rPr>
        <w:t>•</w:t>
      </w:r>
      <w:r w:rsidRPr="007D23C0">
        <w:rPr>
          <w:lang w:val="fr-FR"/>
        </w:rPr>
        <w:tab/>
      </w:r>
      <w:r w:rsidR="002173D9" w:rsidRPr="007D23C0">
        <w:rPr>
          <w:lang w:val="fr-FR"/>
        </w:rPr>
        <w:t>étudier plus avant les procédures d'élaboration et d'acceptation des textes non normatifs à l'UIT-T et donner à l'examen de cette question un caractère d'urgence</w:t>
      </w:r>
      <w:r w:rsidRPr="007D23C0">
        <w:rPr>
          <w:lang w:val="fr-FR"/>
        </w:rPr>
        <w:t xml:space="preserve"> (</w:t>
      </w:r>
      <w:r w:rsidR="002173D9" w:rsidRPr="007D23C0">
        <w:rPr>
          <w:lang w:val="fr-FR"/>
        </w:rPr>
        <w:t>AMNT-16 – Actes</w:t>
      </w:r>
      <w:r w:rsidRPr="007D23C0">
        <w:rPr>
          <w:lang w:val="fr-FR"/>
        </w:rPr>
        <w:t xml:space="preserve">, 5.4); </w:t>
      </w:r>
      <w:r w:rsidR="002173D9" w:rsidRPr="007D23C0">
        <w:rPr>
          <w:lang w:val="fr-FR"/>
        </w:rPr>
        <w:t>et</w:t>
      </w:r>
    </w:p>
    <w:p w14:paraId="092FE5BB" w14:textId="6B273D1C" w:rsidR="00A012FD" w:rsidRPr="007D23C0" w:rsidRDefault="00A012FD" w:rsidP="00023E75">
      <w:pPr>
        <w:pStyle w:val="enumlev1"/>
        <w:keepNext/>
        <w:keepLines/>
        <w:rPr>
          <w:lang w:val="fr-FR"/>
        </w:rPr>
      </w:pPr>
      <w:r w:rsidRPr="007D23C0">
        <w:rPr>
          <w:lang w:val="fr-FR"/>
        </w:rPr>
        <w:lastRenderedPageBreak/>
        <w:t>•</w:t>
      </w:r>
      <w:r w:rsidRPr="007D23C0">
        <w:rPr>
          <w:lang w:val="fr-FR"/>
        </w:rPr>
        <w:tab/>
      </w:r>
      <w:r w:rsidR="002173D9" w:rsidRPr="007D23C0">
        <w:rPr>
          <w:lang w:val="fr-FR"/>
        </w:rPr>
        <w:t>t</w:t>
      </w:r>
      <w:r w:rsidRPr="007D23C0">
        <w:rPr>
          <w:lang w:val="fr-FR"/>
        </w:rPr>
        <w:t xml:space="preserve">enir compte du texte </w:t>
      </w:r>
      <w:r w:rsidR="002173D9" w:rsidRPr="007D23C0">
        <w:rPr>
          <w:lang w:val="fr-FR"/>
        </w:rPr>
        <w:t>du paragraphe</w:t>
      </w:r>
      <w:r w:rsidRPr="007D23C0">
        <w:rPr>
          <w:lang w:val="fr-FR"/>
        </w:rPr>
        <w:t xml:space="preserve"> </w:t>
      </w:r>
      <w:r w:rsidR="002173D9" w:rsidRPr="007D23C0">
        <w:rPr>
          <w:lang w:val="fr-FR"/>
        </w:rPr>
        <w:t>1bis.10 (Document 116</w:t>
      </w:r>
      <w:r w:rsidR="002F3C80" w:rsidRPr="007D23C0">
        <w:rPr>
          <w:lang w:val="fr-FR"/>
        </w:rPr>
        <w:t xml:space="preserve"> de l'AMNT-16</w:t>
      </w:r>
      <w:r w:rsidR="002173D9" w:rsidRPr="007D23C0">
        <w:rPr>
          <w:lang w:val="fr-FR"/>
        </w:rPr>
        <w:t xml:space="preserve">) </w:t>
      </w:r>
      <w:r w:rsidRPr="007D23C0">
        <w:rPr>
          <w:lang w:val="fr-FR"/>
        </w:rPr>
        <w:t>lors</w:t>
      </w:r>
      <w:r w:rsidR="002173D9" w:rsidRPr="007D23C0">
        <w:rPr>
          <w:lang w:val="fr-FR"/>
        </w:rPr>
        <w:t xml:space="preserve"> de l</w:t>
      </w:r>
      <w:r w:rsidR="00023E75">
        <w:rPr>
          <w:lang w:val="fr-FR"/>
        </w:rPr>
        <w:t>'</w:t>
      </w:r>
      <w:r w:rsidR="002173D9" w:rsidRPr="007D23C0">
        <w:rPr>
          <w:lang w:val="fr-FR"/>
        </w:rPr>
        <w:t>élaboration d</w:t>
      </w:r>
      <w:r w:rsidR="00023E75">
        <w:rPr>
          <w:lang w:val="fr-FR"/>
        </w:rPr>
        <w:t>'</w:t>
      </w:r>
      <w:r w:rsidRPr="007D23C0">
        <w:rPr>
          <w:lang w:val="fr-FR"/>
        </w:rPr>
        <w:t xml:space="preserve">un projet de texte révisé pour la Résolution 1 de l'AMNT qui serait examiné à l'AMNT-20 ou </w:t>
      </w:r>
      <w:r w:rsidR="002173D9" w:rsidRPr="007D23C0">
        <w:rPr>
          <w:lang w:val="fr-FR"/>
        </w:rPr>
        <w:t>d</w:t>
      </w:r>
      <w:r w:rsidR="00023E75">
        <w:rPr>
          <w:lang w:val="fr-FR"/>
        </w:rPr>
        <w:t>'</w:t>
      </w:r>
      <w:r w:rsidRPr="007D23C0">
        <w:rPr>
          <w:lang w:val="fr-FR"/>
        </w:rPr>
        <w:t>un texte qui serait intégré dans la Recommandation UIT-T A.1 (</w:t>
      </w:r>
      <w:r w:rsidR="002173D9" w:rsidRPr="007D23C0">
        <w:rPr>
          <w:lang w:val="fr-FR"/>
        </w:rPr>
        <w:t>AMNT-16 – Actes</w:t>
      </w:r>
      <w:r w:rsidRPr="007D23C0">
        <w:rPr>
          <w:lang w:val="fr-FR"/>
        </w:rPr>
        <w:t>, 2.2.3).</w:t>
      </w:r>
    </w:p>
    <w:p w14:paraId="0910C40A" w14:textId="46E8C82F" w:rsidR="006343CB" w:rsidRPr="007D23C0" w:rsidRDefault="001824CF" w:rsidP="00FF5D98">
      <w:pPr>
        <w:rPr>
          <w:lang w:val="fr-FR"/>
        </w:rPr>
      </w:pPr>
      <w:r w:rsidRPr="007D23C0">
        <w:rPr>
          <w:lang w:val="fr-FR"/>
        </w:rPr>
        <w:t xml:space="preserve">Les rapports sur ces questions figurent dans le paragraphe 3.2.6 du </w:t>
      </w:r>
      <w:hyperlink r:id="rId28" w:history="1">
        <w:r w:rsidRPr="007D23C0">
          <w:rPr>
            <w:rStyle w:val="Hyperlink"/>
            <w:lang w:val="fr-FR"/>
          </w:rPr>
          <w:t>Document 23</w:t>
        </w:r>
      </w:hyperlink>
      <w:r w:rsidRPr="007D23C0">
        <w:rPr>
          <w:lang w:val="fr-FR"/>
        </w:rPr>
        <w:t xml:space="preserve"> </w:t>
      </w:r>
      <w:r w:rsidR="00023E75" w:rsidRPr="00023E75">
        <w:rPr>
          <w:lang w:val="fr-FR"/>
        </w:rPr>
        <w:t>–</w:t>
      </w:r>
      <w:r w:rsidRPr="007D23C0">
        <w:rPr>
          <w:lang w:val="fr-FR"/>
        </w:rPr>
        <w:t xml:space="preserve"> </w:t>
      </w:r>
      <w:r w:rsidR="006C09C8" w:rsidRPr="007D23C0">
        <w:rPr>
          <w:lang w:val="fr-FR"/>
        </w:rPr>
        <w:t>Rapport du GCNT – Partie I: Considérations générales</w:t>
      </w:r>
      <w:r w:rsidR="00A012FD" w:rsidRPr="007D23C0">
        <w:rPr>
          <w:lang w:val="fr-FR"/>
        </w:rPr>
        <w:t>.</w:t>
      </w:r>
    </w:p>
    <w:p w14:paraId="6F0E1E12" w14:textId="77777777" w:rsidR="00A012FD" w:rsidRPr="007D23C0" w:rsidRDefault="00A012FD" w:rsidP="00FF5D98">
      <w:pPr>
        <w:spacing w:before="360"/>
        <w:jc w:val="center"/>
        <w:rPr>
          <w:lang w:val="fr-FR"/>
        </w:rPr>
      </w:pPr>
      <w:r w:rsidRPr="007D23C0">
        <w:rPr>
          <w:lang w:val="fr-FR"/>
        </w:rPr>
        <w:t>______________</w:t>
      </w:r>
    </w:p>
    <w:sectPr w:rsidR="00A012FD" w:rsidRPr="007D23C0" w:rsidSect="00D300B0">
      <w:headerReference w:type="default" r:id="rId29"/>
      <w:footerReference w:type="even" r:id="rId30"/>
      <w:footerReference w:type="default" r:id="rId31"/>
      <w:footerReference w:type="first" r:id="rId32"/>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B114" w14:textId="77777777" w:rsidR="003468BE" w:rsidRDefault="003468BE">
      <w:r>
        <w:separator/>
      </w:r>
    </w:p>
  </w:endnote>
  <w:endnote w:type="continuationSeparator" w:id="0">
    <w:p w14:paraId="23D3AD8D" w14:textId="77777777" w:rsidR="003468BE" w:rsidRDefault="0034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D0" w14:textId="77777777" w:rsidR="00E45D05" w:rsidRDefault="00E45D05">
    <w:pPr>
      <w:framePr w:wrap="around" w:vAnchor="text" w:hAnchor="margin" w:xAlign="right" w:y="1"/>
    </w:pPr>
    <w:r>
      <w:fldChar w:fldCharType="begin"/>
    </w:r>
    <w:r>
      <w:instrText xml:space="preserve">PAGE  </w:instrText>
    </w:r>
    <w:r>
      <w:fldChar w:fldCharType="end"/>
    </w:r>
  </w:p>
  <w:p w14:paraId="1A4143AF" w14:textId="692F9232"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A116D3">
      <w:rPr>
        <w:noProof/>
      </w:rPr>
      <w:t>28.01.22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D80" w14:textId="504C8D24" w:rsidR="00E45D05" w:rsidRPr="00A012FD" w:rsidRDefault="00A012FD" w:rsidP="00526703">
    <w:pPr>
      <w:pStyle w:val="Footer"/>
      <w:rPr>
        <w:lang w:val="fr-FR"/>
      </w:rPr>
    </w:pPr>
    <w:r>
      <w:fldChar w:fldCharType="begin"/>
    </w:r>
    <w:r w:rsidRPr="00A012FD">
      <w:rPr>
        <w:lang w:val="fr-FR"/>
      </w:rPr>
      <w:instrText xml:space="preserve"> FILENAME \p  \* MERGEFORMAT </w:instrText>
    </w:r>
    <w:r>
      <w:fldChar w:fldCharType="separate"/>
    </w:r>
    <w:r w:rsidR="00023E75">
      <w:rPr>
        <w:lang w:val="fr-FR"/>
      </w:rPr>
      <w:t>P:\FRA\ITU-T\CONF-T\WTSA20\000\026F.docx</w:t>
    </w:r>
    <w:r>
      <w:fldChar w:fldCharType="end"/>
    </w:r>
    <w:r w:rsidRPr="00A012FD">
      <w:rPr>
        <w:lang w:val="fr-FR"/>
      </w:rPr>
      <w:t xml:space="preserve"> (</w:t>
    </w:r>
    <w:r>
      <w:rPr>
        <w:lang w:val="fr-FR"/>
      </w:rPr>
      <w:t>478076</w:t>
    </w:r>
    <w:r w:rsidRPr="00A012FD">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971" w14:textId="0DDF0A28" w:rsidR="00A012FD" w:rsidRPr="00A012FD" w:rsidRDefault="00A012FD" w:rsidP="00A012FD">
    <w:pPr>
      <w:pStyle w:val="Footer"/>
      <w:rPr>
        <w:lang w:val="fr-FR"/>
      </w:rPr>
    </w:pPr>
    <w:r>
      <w:fldChar w:fldCharType="begin"/>
    </w:r>
    <w:r w:rsidRPr="00A012FD">
      <w:rPr>
        <w:lang w:val="fr-FR"/>
      </w:rPr>
      <w:instrText xml:space="preserve"> FILENAME \p  \* MERGEFORMAT </w:instrText>
    </w:r>
    <w:r>
      <w:fldChar w:fldCharType="separate"/>
    </w:r>
    <w:r w:rsidR="007D23C0">
      <w:rPr>
        <w:lang w:val="fr-FR"/>
      </w:rPr>
      <w:t>P:\FRA\ITU-T\CONF-T\WTSA20\000\026F.docx</w:t>
    </w:r>
    <w:r>
      <w:fldChar w:fldCharType="end"/>
    </w:r>
    <w:r w:rsidRPr="00A012FD">
      <w:rPr>
        <w:lang w:val="fr-FR"/>
      </w:rPr>
      <w:t xml:space="preserve"> (</w:t>
    </w:r>
    <w:r>
      <w:rPr>
        <w:lang w:val="fr-FR"/>
      </w:rPr>
      <w:t>478076</w:t>
    </w:r>
    <w:r w:rsidRPr="00A012FD">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9C35" w14:textId="77777777" w:rsidR="003468BE" w:rsidRDefault="003468BE">
      <w:r>
        <w:rPr>
          <w:b/>
        </w:rPr>
        <w:t>_______________</w:t>
      </w:r>
    </w:p>
  </w:footnote>
  <w:footnote w:type="continuationSeparator" w:id="0">
    <w:p w14:paraId="2C204E51" w14:textId="77777777" w:rsidR="003468BE" w:rsidRDefault="0034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599" w14:textId="0677A895" w:rsidR="00987C1F" w:rsidRDefault="00987C1F" w:rsidP="00987C1F">
    <w:pPr>
      <w:pStyle w:val="Header"/>
    </w:pPr>
    <w:r>
      <w:fldChar w:fldCharType="begin"/>
    </w:r>
    <w:r>
      <w:instrText xml:space="preserve"> PAGE </w:instrText>
    </w:r>
    <w:r>
      <w:fldChar w:fldCharType="separate"/>
    </w:r>
    <w:r w:rsidR="00D32ED5">
      <w:rPr>
        <w:noProof/>
      </w:rPr>
      <w:t>7</w:t>
    </w:r>
    <w:r>
      <w:fldChar w:fldCharType="end"/>
    </w:r>
  </w:p>
  <w:p w14:paraId="1E5833E6" w14:textId="5633D481" w:rsidR="00987C1F" w:rsidRDefault="00D300B0" w:rsidP="00987C1F">
    <w:pPr>
      <w:pStyle w:val="Header"/>
    </w:pPr>
    <w:r>
      <w:fldChar w:fldCharType="begin"/>
    </w:r>
    <w:r>
      <w:instrText xml:space="preserve"> styleref DocNumber </w:instrText>
    </w:r>
    <w:r>
      <w:fldChar w:fldCharType="separate"/>
    </w:r>
    <w:r w:rsidR="00023E75">
      <w:rPr>
        <w:noProof/>
      </w:rPr>
      <w:t>Document 26-F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1220719"/>
    <w:multiLevelType w:val="hybridMultilevel"/>
    <w:tmpl w:val="FCEEE2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90C8537-1A75-4C73-A7C7-47900752C33D}"/>
    <w:docVar w:name="dgnword-eventsink" w:val="2471900031600"/>
  </w:docVars>
  <w:rsids>
    <w:rsidRoot w:val="00B31EF6"/>
    <w:rsid w:val="000032AD"/>
    <w:rsid w:val="000041EA"/>
    <w:rsid w:val="00022A29"/>
    <w:rsid w:val="00023E75"/>
    <w:rsid w:val="000355FD"/>
    <w:rsid w:val="00051E39"/>
    <w:rsid w:val="00062F18"/>
    <w:rsid w:val="000646B1"/>
    <w:rsid w:val="00077239"/>
    <w:rsid w:val="00081194"/>
    <w:rsid w:val="00086491"/>
    <w:rsid w:val="00091346"/>
    <w:rsid w:val="0009706C"/>
    <w:rsid w:val="000A14AF"/>
    <w:rsid w:val="000E05BB"/>
    <w:rsid w:val="000F73FF"/>
    <w:rsid w:val="00114CF7"/>
    <w:rsid w:val="00123B68"/>
    <w:rsid w:val="00126F2E"/>
    <w:rsid w:val="00146F6F"/>
    <w:rsid w:val="00164C14"/>
    <w:rsid w:val="001824CF"/>
    <w:rsid w:val="00187BD9"/>
    <w:rsid w:val="00190B55"/>
    <w:rsid w:val="001978FA"/>
    <w:rsid w:val="001A0F27"/>
    <w:rsid w:val="001C3B5F"/>
    <w:rsid w:val="001D058F"/>
    <w:rsid w:val="001D581B"/>
    <w:rsid w:val="001D77E9"/>
    <w:rsid w:val="001E1430"/>
    <w:rsid w:val="001E6817"/>
    <w:rsid w:val="002009EA"/>
    <w:rsid w:val="00202CA0"/>
    <w:rsid w:val="00216B6D"/>
    <w:rsid w:val="002173D9"/>
    <w:rsid w:val="00250AF4"/>
    <w:rsid w:val="00271316"/>
    <w:rsid w:val="002B2A75"/>
    <w:rsid w:val="002D4D50"/>
    <w:rsid w:val="002D58BE"/>
    <w:rsid w:val="002E210D"/>
    <w:rsid w:val="002F3C80"/>
    <w:rsid w:val="00305D87"/>
    <w:rsid w:val="003236A6"/>
    <w:rsid w:val="00332C56"/>
    <w:rsid w:val="00345A52"/>
    <w:rsid w:val="003468BE"/>
    <w:rsid w:val="003474F2"/>
    <w:rsid w:val="003506F8"/>
    <w:rsid w:val="00377BD3"/>
    <w:rsid w:val="003832C0"/>
    <w:rsid w:val="00384088"/>
    <w:rsid w:val="0039169B"/>
    <w:rsid w:val="003A7F8C"/>
    <w:rsid w:val="003B532E"/>
    <w:rsid w:val="003C5A14"/>
    <w:rsid w:val="003D0F8B"/>
    <w:rsid w:val="004054F5"/>
    <w:rsid w:val="004079B0"/>
    <w:rsid w:val="0041348E"/>
    <w:rsid w:val="00417AD4"/>
    <w:rsid w:val="00444030"/>
    <w:rsid w:val="004508E2"/>
    <w:rsid w:val="00476533"/>
    <w:rsid w:val="00492075"/>
    <w:rsid w:val="00492140"/>
    <w:rsid w:val="004969AD"/>
    <w:rsid w:val="004A26C4"/>
    <w:rsid w:val="004B13CB"/>
    <w:rsid w:val="004D5D5C"/>
    <w:rsid w:val="004E42A3"/>
    <w:rsid w:val="004E55C1"/>
    <w:rsid w:val="0050139F"/>
    <w:rsid w:val="00526703"/>
    <w:rsid w:val="00530525"/>
    <w:rsid w:val="0055140B"/>
    <w:rsid w:val="005867DF"/>
    <w:rsid w:val="00595780"/>
    <w:rsid w:val="005964AB"/>
    <w:rsid w:val="005C099A"/>
    <w:rsid w:val="005C31A5"/>
    <w:rsid w:val="005E10C9"/>
    <w:rsid w:val="005E61DD"/>
    <w:rsid w:val="006023DF"/>
    <w:rsid w:val="006343CB"/>
    <w:rsid w:val="006447C9"/>
    <w:rsid w:val="00657DE0"/>
    <w:rsid w:val="00685313"/>
    <w:rsid w:val="0069092B"/>
    <w:rsid w:val="00692833"/>
    <w:rsid w:val="006A6E9B"/>
    <w:rsid w:val="006B249F"/>
    <w:rsid w:val="006B6656"/>
    <w:rsid w:val="006B7C2A"/>
    <w:rsid w:val="006C093E"/>
    <w:rsid w:val="006C09C8"/>
    <w:rsid w:val="006C23DA"/>
    <w:rsid w:val="006E013B"/>
    <w:rsid w:val="006E3D45"/>
    <w:rsid w:val="006F580E"/>
    <w:rsid w:val="007149F9"/>
    <w:rsid w:val="00733A30"/>
    <w:rsid w:val="00745AEE"/>
    <w:rsid w:val="00750F10"/>
    <w:rsid w:val="007742CA"/>
    <w:rsid w:val="00790D70"/>
    <w:rsid w:val="007D23C0"/>
    <w:rsid w:val="007D5320"/>
    <w:rsid w:val="008006C5"/>
    <w:rsid w:val="00800972"/>
    <w:rsid w:val="00804475"/>
    <w:rsid w:val="00811633"/>
    <w:rsid w:val="00813B79"/>
    <w:rsid w:val="00824A70"/>
    <w:rsid w:val="00864CD2"/>
    <w:rsid w:val="00872FC8"/>
    <w:rsid w:val="008845D0"/>
    <w:rsid w:val="008A69FB"/>
    <w:rsid w:val="008B1AEA"/>
    <w:rsid w:val="008B43F2"/>
    <w:rsid w:val="008B6CFF"/>
    <w:rsid w:val="008C27E9"/>
    <w:rsid w:val="008C6BAA"/>
    <w:rsid w:val="008F3885"/>
    <w:rsid w:val="009019FD"/>
    <w:rsid w:val="00901DDC"/>
    <w:rsid w:val="0092425C"/>
    <w:rsid w:val="009274B4"/>
    <w:rsid w:val="00930385"/>
    <w:rsid w:val="00934EA2"/>
    <w:rsid w:val="00940614"/>
    <w:rsid w:val="00944A5C"/>
    <w:rsid w:val="009451D1"/>
    <w:rsid w:val="00952A66"/>
    <w:rsid w:val="00957670"/>
    <w:rsid w:val="009874B1"/>
    <w:rsid w:val="00987C1F"/>
    <w:rsid w:val="009A2C6A"/>
    <w:rsid w:val="009C3191"/>
    <w:rsid w:val="009C56E5"/>
    <w:rsid w:val="009E5FC8"/>
    <w:rsid w:val="009E687A"/>
    <w:rsid w:val="009F63E2"/>
    <w:rsid w:val="00A012FD"/>
    <w:rsid w:val="00A066F1"/>
    <w:rsid w:val="00A102CA"/>
    <w:rsid w:val="00A116D3"/>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E3E7F"/>
    <w:rsid w:val="00B23F5E"/>
    <w:rsid w:val="00B31EF6"/>
    <w:rsid w:val="00B50CF1"/>
    <w:rsid w:val="00B639E9"/>
    <w:rsid w:val="00B76409"/>
    <w:rsid w:val="00B817CD"/>
    <w:rsid w:val="00B94AD0"/>
    <w:rsid w:val="00BA5265"/>
    <w:rsid w:val="00BA7630"/>
    <w:rsid w:val="00BB3A95"/>
    <w:rsid w:val="00BB6D50"/>
    <w:rsid w:val="00BD76A4"/>
    <w:rsid w:val="00BF3F06"/>
    <w:rsid w:val="00C0018F"/>
    <w:rsid w:val="00C16A5A"/>
    <w:rsid w:val="00C20466"/>
    <w:rsid w:val="00C214ED"/>
    <w:rsid w:val="00C234E6"/>
    <w:rsid w:val="00C26BA2"/>
    <w:rsid w:val="00C324A8"/>
    <w:rsid w:val="00C41E75"/>
    <w:rsid w:val="00C54517"/>
    <w:rsid w:val="00C5670A"/>
    <w:rsid w:val="00C64CD8"/>
    <w:rsid w:val="00C94561"/>
    <w:rsid w:val="00C97C68"/>
    <w:rsid w:val="00CA1A47"/>
    <w:rsid w:val="00CA4058"/>
    <w:rsid w:val="00CC247A"/>
    <w:rsid w:val="00CE388F"/>
    <w:rsid w:val="00CE5E47"/>
    <w:rsid w:val="00CF020F"/>
    <w:rsid w:val="00CF1E9D"/>
    <w:rsid w:val="00CF2532"/>
    <w:rsid w:val="00CF2B5B"/>
    <w:rsid w:val="00D14CE0"/>
    <w:rsid w:val="00D23FCD"/>
    <w:rsid w:val="00D300B0"/>
    <w:rsid w:val="00D32ED5"/>
    <w:rsid w:val="00D54009"/>
    <w:rsid w:val="00D5651D"/>
    <w:rsid w:val="00D57A34"/>
    <w:rsid w:val="00D6112A"/>
    <w:rsid w:val="00D74898"/>
    <w:rsid w:val="00D801ED"/>
    <w:rsid w:val="00D9110C"/>
    <w:rsid w:val="00D936BC"/>
    <w:rsid w:val="00D96530"/>
    <w:rsid w:val="00DD44AF"/>
    <w:rsid w:val="00DE2AC3"/>
    <w:rsid w:val="00DE5692"/>
    <w:rsid w:val="00DE5AD3"/>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43439"/>
    <w:rsid w:val="00F6155B"/>
    <w:rsid w:val="00F65C19"/>
    <w:rsid w:val="00F7356B"/>
    <w:rsid w:val="00F776DF"/>
    <w:rsid w:val="00F840C7"/>
    <w:rsid w:val="00FD2546"/>
    <w:rsid w:val="00FD772E"/>
    <w:rsid w:val="00FE78C7"/>
    <w:rsid w:val="00FF43AC"/>
    <w:rsid w:val="00FF5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sid w:val="00B50CF1"/>
    <w:rPr>
      <w:color w:val="0000FF" w:themeColor="hyperlink"/>
      <w:u w:val="single"/>
    </w:rPr>
  </w:style>
  <w:style w:type="character" w:customStyle="1" w:styleId="UnresolvedMention1">
    <w:name w:val="Unresolved Mention1"/>
    <w:basedOn w:val="DefaultParagraphFont"/>
    <w:uiPriority w:val="99"/>
    <w:semiHidden/>
    <w:unhideWhenUsed/>
    <w:rsid w:val="00B50CF1"/>
    <w:rPr>
      <w:color w:val="605E5C"/>
      <w:shd w:val="clear" w:color="auto" w:fill="E1DFDD"/>
    </w:rPr>
  </w:style>
  <w:style w:type="character" w:customStyle="1" w:styleId="CallChar">
    <w:name w:val="Call Char"/>
    <w:link w:val="Call"/>
    <w:rsid w:val="00B50CF1"/>
    <w:rPr>
      <w:rFonts w:ascii="Times New Roman" w:hAnsi="Times New Roman"/>
      <w:i/>
      <w:sz w:val="24"/>
      <w:lang w:val="en-GB" w:eastAsia="en-US"/>
    </w:rPr>
  </w:style>
  <w:style w:type="character" w:customStyle="1" w:styleId="enumlev1Char">
    <w:name w:val="enumlev1 Char"/>
    <w:link w:val="enumlev1"/>
    <w:rsid w:val="00B50CF1"/>
    <w:rPr>
      <w:rFonts w:ascii="Times New Roman" w:hAnsi="Times New Roman"/>
      <w:sz w:val="24"/>
      <w:lang w:val="en-GB" w:eastAsia="en-US"/>
    </w:rPr>
  </w:style>
  <w:style w:type="character" w:styleId="FollowedHyperlink">
    <w:name w:val="FollowedHyperlink"/>
    <w:basedOn w:val="DefaultParagraphFont"/>
    <w:semiHidden/>
    <w:unhideWhenUsed/>
    <w:rsid w:val="006C09C8"/>
    <w:rPr>
      <w:color w:val="800080" w:themeColor="followedHyperlink"/>
      <w:u w:val="single"/>
    </w:rPr>
  </w:style>
  <w:style w:type="paragraph" w:styleId="Revision">
    <w:name w:val="Revision"/>
    <w:hidden/>
    <w:uiPriority w:val="99"/>
    <w:semiHidden/>
    <w:rsid w:val="00AE3E7F"/>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7D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WTSA.20-C-0023" TargetMode="External"/><Relationship Id="rId18" Type="http://schemas.openxmlformats.org/officeDocument/2006/relationships/hyperlink" Target="https://www.itu.int/md/T17-WTSA.20-C-0023" TargetMode="External"/><Relationship Id="rId26" Type="http://schemas.openxmlformats.org/officeDocument/2006/relationships/hyperlink" Target="https://www.itu.int/md/T17-WTSA.20-C-0023" TargetMode="External"/><Relationship Id="rId3" Type="http://schemas.openxmlformats.org/officeDocument/2006/relationships/styles" Target="styles.xml"/><Relationship Id="rId21" Type="http://schemas.openxmlformats.org/officeDocument/2006/relationships/hyperlink" Target="https://www.itu.int/md/T17-WTSA.20-C-0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WTSA.20-C-0023" TargetMode="External"/><Relationship Id="rId17" Type="http://schemas.openxmlformats.org/officeDocument/2006/relationships/hyperlink" Target="https://www.itu.int/md/T17-WTSA.20-C-0023" TargetMode="External"/><Relationship Id="rId25" Type="http://schemas.openxmlformats.org/officeDocument/2006/relationships/hyperlink" Target="https://www.itu.int/md/T17-WTSA.20-C-0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17-WTSA.20-C-0023" TargetMode="External"/><Relationship Id="rId20" Type="http://schemas.openxmlformats.org/officeDocument/2006/relationships/hyperlink" Target="https://www.itu.int/md/T17-WTSA.20-C-0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C-0024/en" TargetMode="External"/><Relationship Id="rId24" Type="http://schemas.openxmlformats.org/officeDocument/2006/relationships/hyperlink" Target="https://www.itu.int/md/T17-WTSA.20-C-0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T17-WTSA.20-C-0023" TargetMode="External"/><Relationship Id="rId23" Type="http://schemas.openxmlformats.org/officeDocument/2006/relationships/hyperlink" Target="https://www.itu.int/md/T17-WTSA.20-C-0023" TargetMode="External"/><Relationship Id="rId28" Type="http://schemas.openxmlformats.org/officeDocument/2006/relationships/hyperlink" Target="https://www.itu.int/md/T17-WTSA.20-C-0023" TargetMode="External"/><Relationship Id="rId10" Type="http://schemas.openxmlformats.org/officeDocument/2006/relationships/hyperlink" Target="https://www.itu.int/md/T17-WTSA.20-C-0023" TargetMode="External"/><Relationship Id="rId19" Type="http://schemas.openxmlformats.org/officeDocument/2006/relationships/hyperlink" Target="https://www.itu.int/md/T17-WTSA.20-C-00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T17-WTSA.20-C-0023" TargetMode="External"/><Relationship Id="rId22" Type="http://schemas.openxmlformats.org/officeDocument/2006/relationships/hyperlink" Target="https://www.itu.int/md/T17-WTSA.20-C-0023" TargetMode="External"/><Relationship Id="rId27" Type="http://schemas.openxmlformats.org/officeDocument/2006/relationships/hyperlink" Target="https://www.itu.int/md/T17-WTSA.20-C-0023"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4188-CA1D-48DA-BE3F-C0D5AC8D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1662</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French</cp:lastModifiedBy>
  <cp:revision>3</cp:revision>
  <cp:lastPrinted>2016-06-07T13:22:00Z</cp:lastPrinted>
  <dcterms:created xsi:type="dcterms:W3CDTF">2022-01-28T10:08:00Z</dcterms:created>
  <dcterms:modified xsi:type="dcterms:W3CDTF">2022-01-28T10:27:00Z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