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01"/>
        <w:gridCol w:w="3210"/>
      </w:tblGrid>
      <w:tr w:rsidR="00DE6C68" w:rsidRPr="00DE6C68" w14:paraId="57CAB2F4" w14:textId="77777777" w:rsidTr="001D63D9">
        <w:trPr>
          <w:cantSplit/>
        </w:trPr>
        <w:tc>
          <w:tcPr>
            <w:tcW w:w="6601" w:type="dxa"/>
            <w:vAlign w:val="center"/>
          </w:tcPr>
          <w:p w14:paraId="7753D6C6" w14:textId="77777777" w:rsidR="00DE6C68" w:rsidRPr="00DE6C68" w:rsidRDefault="00DE6C68" w:rsidP="00DE6C6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DE6C68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5E3212E5" w14:textId="5848BB3C" w:rsidR="00DE6C68" w:rsidRPr="00DE6C68" w:rsidRDefault="003E2CDC" w:rsidP="00DE6C6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067894" w:rsidRPr="00067894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10" w:type="dxa"/>
            <w:vAlign w:val="center"/>
            <w:hideMark/>
          </w:tcPr>
          <w:p w14:paraId="420BBFD2" w14:textId="709F0373" w:rsidR="00DE6C68" w:rsidRPr="00DE6C68" w:rsidRDefault="00DE6C68" w:rsidP="00DE6C68">
            <w:pPr>
              <w:spacing w:after="160"/>
              <w:rPr>
                <w:sz w:val="22"/>
                <w:szCs w:val="22"/>
              </w:rPr>
            </w:pPr>
            <w:r w:rsidRPr="00DE6C68">
              <w:rPr>
                <w:noProof/>
                <w:lang w:val="en-US" w:eastAsia="zh-CN"/>
              </w:rPr>
              <w:drawing>
                <wp:inline distT="0" distB="0" distL="0" distR="0" wp14:anchorId="1F543BD4" wp14:editId="7D8800F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DE6C68" w14:paraId="6132775D" w14:textId="77777777" w:rsidTr="001D63D9">
        <w:trPr>
          <w:cantSplit/>
        </w:trPr>
        <w:tc>
          <w:tcPr>
            <w:tcW w:w="6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40286A" w14:textId="77777777" w:rsidR="009759FE" w:rsidRPr="00DE6C68" w:rsidRDefault="009759FE" w:rsidP="00E2414B">
            <w:pPr>
              <w:spacing w:before="0"/>
              <w:rPr>
                <w:rFonts w:eastAsiaTheme="minorEastAsia"/>
                <w:b/>
                <w:bCs/>
                <w:sz w:val="20"/>
                <w:lang w:eastAsia="zh-CN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5B21F5" w14:textId="77777777" w:rsidR="009759FE" w:rsidRPr="00DE6C68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RPr="00DE6C68" w14:paraId="6694C3FD" w14:textId="77777777" w:rsidTr="00DE6C68">
        <w:trPr>
          <w:cantSplit/>
        </w:trPr>
        <w:tc>
          <w:tcPr>
            <w:tcW w:w="67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1A0FF0" w14:textId="77777777" w:rsidR="009759FE" w:rsidRPr="00DE6C68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268" w:type="dxa"/>
          </w:tcPr>
          <w:p w14:paraId="4AE24C45" w14:textId="77777777" w:rsidR="009759FE" w:rsidRPr="00DE6C68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DE6C68" w14:paraId="51E93427" w14:textId="77777777" w:rsidTr="00DE6C68">
        <w:trPr>
          <w:cantSplit/>
        </w:trPr>
        <w:tc>
          <w:tcPr>
            <w:tcW w:w="6762" w:type="dxa"/>
          </w:tcPr>
          <w:p w14:paraId="742FA157" w14:textId="77777777" w:rsidR="000A3B30" w:rsidRPr="00DE6C68" w:rsidRDefault="000D3DDB" w:rsidP="00E2414B">
            <w:pPr>
              <w:spacing w:before="0"/>
              <w:rPr>
                <w:sz w:val="22"/>
                <w:szCs w:val="22"/>
                <w:lang w:eastAsia="zh-CN"/>
              </w:rPr>
            </w:pPr>
            <w:r w:rsidRPr="00DE6C68"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268" w:type="dxa"/>
            <w:hideMark/>
          </w:tcPr>
          <w:p w14:paraId="624D7E0A" w14:textId="5066FBEA" w:rsidR="000A3B30" w:rsidRPr="00DE6C68" w:rsidRDefault="000D3DDB" w:rsidP="000D3DDB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DE6C68"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5401EC">
              <w:rPr>
                <w:rFonts w:ascii="Verdana" w:hAnsi="Verdana" w:hint="eastAsia"/>
                <w:b/>
                <w:sz w:val="20"/>
                <w:lang w:eastAsia="zh-CN"/>
              </w:rPr>
              <w:t xml:space="preserve"> </w:t>
            </w:r>
            <w:r w:rsidR="001D63D9"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0A3B30" w:rsidRPr="00DE6C68">
              <w:rPr>
                <w:rFonts w:ascii="Verdana" w:hAnsi="Verdana"/>
                <w:b/>
                <w:sz w:val="20"/>
              </w:rPr>
              <w:t>-</w:t>
            </w:r>
            <w:r w:rsidRPr="00DE6C68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0A3B30" w:rsidRPr="00DE6C68" w14:paraId="3B52D901" w14:textId="77777777" w:rsidTr="00DE6C68">
        <w:trPr>
          <w:cantSplit/>
        </w:trPr>
        <w:tc>
          <w:tcPr>
            <w:tcW w:w="6762" w:type="dxa"/>
          </w:tcPr>
          <w:p w14:paraId="7A8292EF" w14:textId="77777777" w:rsidR="000A3B30" w:rsidRPr="00DE6C6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8" w:type="dxa"/>
            <w:hideMark/>
          </w:tcPr>
          <w:p w14:paraId="7E4BC1B3" w14:textId="75311C91" w:rsidR="000A3B30" w:rsidRPr="003031C8" w:rsidRDefault="00DE6C68" w:rsidP="001D63D9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3031C8"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8D287F">
              <w:rPr>
                <w:rFonts w:ascii="Verdana" w:hAnsi="Verdana" w:hint="eastAsia"/>
                <w:b/>
                <w:bCs/>
                <w:sz w:val="20"/>
                <w:lang w:eastAsia="zh-CN"/>
              </w:rPr>
              <w:t>2</w:t>
            </w:r>
            <w:r w:rsidRPr="003031C8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="001D63D9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D6046" w:rsidRPr="003031C8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D63D9">
              <w:rPr>
                <w:rFonts w:ascii="Verdana" w:hAnsi="Verdana" w:hint="eastAsia"/>
                <w:b/>
                <w:bCs/>
                <w:sz w:val="20"/>
                <w:lang w:eastAsia="zh-CN"/>
              </w:rPr>
              <w:t>18</w:t>
            </w:r>
            <w:r w:rsidR="001D63D9"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0A3B30" w:rsidRPr="00DE6C68" w14:paraId="7EF84FC8" w14:textId="77777777" w:rsidTr="00DE6C68">
        <w:trPr>
          <w:cantSplit/>
        </w:trPr>
        <w:tc>
          <w:tcPr>
            <w:tcW w:w="6762" w:type="dxa"/>
          </w:tcPr>
          <w:p w14:paraId="745BC145" w14:textId="77777777" w:rsidR="000A3B30" w:rsidRPr="00DE6C68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268" w:type="dxa"/>
            <w:hideMark/>
          </w:tcPr>
          <w:p w14:paraId="7F125FF6" w14:textId="22C064ED" w:rsidR="000A3B30" w:rsidRPr="00DE6C68" w:rsidRDefault="00DE6C68" w:rsidP="00E2414B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DE6C68">
              <w:rPr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9D164C" w:rsidRPr="00DE6C68" w14:paraId="4F7861F1" w14:textId="77777777" w:rsidTr="00DE6C68">
        <w:trPr>
          <w:cantSplit/>
        </w:trPr>
        <w:tc>
          <w:tcPr>
            <w:tcW w:w="10030" w:type="dxa"/>
            <w:gridSpan w:val="2"/>
          </w:tcPr>
          <w:p w14:paraId="1719AFC2" w14:textId="77777777" w:rsidR="009D164C" w:rsidRPr="00DE6C68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1D63D9" w:rsidRPr="00DE6C68" w14:paraId="680C2B54" w14:textId="77777777" w:rsidTr="00DE6C68">
        <w:trPr>
          <w:cantSplit/>
        </w:trPr>
        <w:tc>
          <w:tcPr>
            <w:tcW w:w="10030" w:type="dxa"/>
            <w:gridSpan w:val="2"/>
            <w:hideMark/>
          </w:tcPr>
          <w:p w14:paraId="58524ACB" w14:textId="6AD74A39" w:rsidR="001D63D9" w:rsidRPr="00C10B0D" w:rsidRDefault="001D63D9" w:rsidP="001D63D9">
            <w:pPr>
              <w:pStyle w:val="Source"/>
              <w:rPr>
                <w:lang w:eastAsia="zh-CN"/>
              </w:rPr>
            </w:pPr>
            <w:proofErr w:type="spellStart"/>
            <w:r w:rsidRPr="007C755C">
              <w:rPr>
                <w:rFonts w:hint="eastAsia"/>
              </w:rPr>
              <w:t>电信标准化局主任</w:t>
            </w:r>
            <w:proofErr w:type="spellEnd"/>
          </w:p>
        </w:tc>
      </w:tr>
      <w:tr w:rsidR="001D63D9" w:rsidRPr="00DE6C68" w14:paraId="01440E2F" w14:textId="77777777" w:rsidTr="001D63D9">
        <w:trPr>
          <w:cantSplit/>
        </w:trPr>
        <w:tc>
          <w:tcPr>
            <w:tcW w:w="9811" w:type="dxa"/>
            <w:gridSpan w:val="2"/>
            <w:hideMark/>
          </w:tcPr>
          <w:p w14:paraId="35E730B3" w14:textId="74BDA57C" w:rsidR="001D63D9" w:rsidRPr="00C10B0D" w:rsidRDefault="001D63D9" w:rsidP="001D63D9">
            <w:pPr>
              <w:pStyle w:val="Title1"/>
              <w:rPr>
                <w:rFonts w:ascii="Verdana" w:hAnsi="Verdana"/>
                <w:lang w:eastAsia="zh-CN"/>
              </w:rPr>
            </w:pPr>
            <w:r w:rsidRPr="007C755C">
              <w:rPr>
                <w:rFonts w:hint="eastAsia"/>
                <w:lang w:eastAsia="zh-CN"/>
              </w:rPr>
              <w:t>电信标准化顾问组</w:t>
            </w:r>
            <w:r>
              <w:rPr>
                <w:rFonts w:hint="eastAsia"/>
                <w:lang w:eastAsia="zh-CN"/>
              </w:rPr>
              <w:t>提交</w:t>
            </w:r>
            <w:r w:rsidRPr="007C755C">
              <w:rPr>
                <w:rFonts w:hint="eastAsia"/>
                <w:lang w:eastAsia="zh-CN"/>
              </w:rPr>
              <w:t>世界电信标准化全会（</w:t>
            </w:r>
            <w:r>
              <w:rPr>
                <w:rFonts w:hint="eastAsia"/>
                <w:lang w:eastAsia="zh-CN"/>
              </w:rPr>
              <w:t>WTSA-20</w:t>
            </w:r>
            <w:r w:rsidRPr="007C755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报告：</w:t>
            </w:r>
            <w:r w:rsidRPr="007C755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四部分：</w:t>
            </w:r>
            <w:r>
              <w:rPr>
                <w:rFonts w:hint="eastAsia"/>
                <w:lang w:eastAsia="zh-CN"/>
              </w:rPr>
              <w:t>TSAG</w:t>
            </w:r>
            <w:r w:rsidRPr="007C755C">
              <w:rPr>
                <w:rFonts w:hint="eastAsia"/>
                <w:lang w:eastAsia="zh-CN"/>
              </w:rPr>
              <w:t>有关第</w:t>
            </w:r>
            <w:r w:rsidRPr="007C755C">
              <w:rPr>
                <w:rFonts w:hint="eastAsia"/>
                <w:lang w:eastAsia="zh-CN"/>
              </w:rPr>
              <w:t>22</w:t>
            </w:r>
            <w:r w:rsidRPr="007C755C">
              <w:rPr>
                <w:rFonts w:hint="eastAsia"/>
                <w:lang w:eastAsia="zh-CN"/>
              </w:rPr>
              <w:t>号决议的报告</w:t>
            </w:r>
          </w:p>
        </w:tc>
      </w:tr>
      <w:tr w:rsidR="000A3B30" w:rsidRPr="00DE6C68" w14:paraId="59E189C4" w14:textId="77777777" w:rsidTr="001D63D9">
        <w:trPr>
          <w:cantSplit/>
        </w:trPr>
        <w:tc>
          <w:tcPr>
            <w:tcW w:w="9811" w:type="dxa"/>
            <w:gridSpan w:val="2"/>
          </w:tcPr>
          <w:p w14:paraId="3F9BDFB2" w14:textId="77777777" w:rsidR="000A3B30" w:rsidRPr="00DE6C68" w:rsidRDefault="000A3B30" w:rsidP="00E2414B">
            <w:pPr>
              <w:pStyle w:val="Agendaitem"/>
            </w:pPr>
          </w:p>
        </w:tc>
      </w:tr>
    </w:tbl>
    <w:p w14:paraId="3C6EFB1F" w14:textId="75EA7A8E" w:rsidR="003556C0" w:rsidRPr="00DE6C68" w:rsidRDefault="003556C0" w:rsidP="003556C0">
      <w:pPr>
        <w:rPr>
          <w:lang w:val="en-US" w:eastAsia="zh-CN"/>
        </w:rPr>
      </w:pPr>
      <w:bookmarkStart w:id="1" w:name="_Hlk54179934"/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1D63D9" w:rsidRPr="00E06DFC" w14:paraId="3EDA4A44" w14:textId="77777777" w:rsidTr="009F1573">
        <w:trPr>
          <w:cantSplit/>
        </w:trPr>
        <w:tc>
          <w:tcPr>
            <w:tcW w:w="1276" w:type="dxa"/>
          </w:tcPr>
          <w:p w14:paraId="0CCB60CD" w14:textId="3AA278ED" w:rsidR="001D63D9" w:rsidRPr="00E06DFC" w:rsidRDefault="001D63D9" w:rsidP="001D63D9">
            <w:r>
              <w:rPr>
                <w:rFonts w:hint="eastAsia"/>
                <w:b/>
                <w:bCs/>
                <w:lang w:eastAsia="zh-CN"/>
              </w:rPr>
              <w:t>摘</w:t>
            </w:r>
            <w:r w:rsidRPr="00E06DFC">
              <w:rPr>
                <w:rFonts w:hint="eastAsia"/>
                <w:b/>
                <w:bCs/>
              </w:rPr>
              <w:t>要</w:t>
            </w:r>
            <w:r w:rsidRPr="00E06DFC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535" w:type="dxa"/>
            <w:gridSpan w:val="2"/>
          </w:tcPr>
          <w:p w14:paraId="714D559D" w14:textId="11AC9B58" w:rsidR="001D63D9" w:rsidRPr="00E06DFC" w:rsidRDefault="001D63D9" w:rsidP="001D63D9">
            <w:pPr>
              <w:rPr>
                <w:lang w:eastAsia="zh-CN"/>
              </w:rPr>
            </w:pPr>
            <w:r w:rsidRPr="007F63EF">
              <w:rPr>
                <w:rFonts w:hint="eastAsia"/>
                <w:color w:val="000000" w:themeColor="text1"/>
                <w:lang w:val="en-US" w:eastAsia="zh-CN"/>
              </w:rPr>
              <w:t>20</w:t>
            </w:r>
            <w:r w:rsidRPr="007F63EF">
              <w:rPr>
                <w:color w:val="000000" w:themeColor="text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年世界电信标准化全会（</w:t>
            </w:r>
            <w:r w:rsidRPr="007F63EF">
              <w:rPr>
                <w:color w:val="000000" w:themeColor="text1"/>
                <w:lang w:val="en-US" w:eastAsia="zh-CN"/>
              </w:rPr>
              <w:t>WTSA-1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）向电信标准化顾问组（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TSAG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）分派了具体工作，该组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可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在</w:t>
            </w:r>
            <w:r w:rsidRPr="00B86EC5">
              <w:rPr>
                <w:color w:val="000000" w:themeColor="text1"/>
                <w:lang w:val="en-US" w:eastAsia="zh-CN"/>
              </w:rPr>
              <w:t>WTSA-1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和</w:t>
            </w:r>
            <w:r>
              <w:rPr>
                <w:rFonts w:hint="eastAsia"/>
                <w:color w:val="000000" w:themeColor="text1"/>
                <w:lang w:val="en-US" w:eastAsia="zh-CN"/>
              </w:rPr>
              <w:t>之后的</w:t>
            </w:r>
            <w:r w:rsidRPr="007F63EF">
              <w:rPr>
                <w:rFonts w:hint="eastAsia"/>
                <w:color w:val="000000" w:themeColor="text1"/>
                <w:lang w:val="en-US" w:eastAsia="zh-CN"/>
              </w:rPr>
              <w:t>一届全会之间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就这些工作采取行动</w:t>
            </w:r>
            <w:r>
              <w:rPr>
                <w:rFonts w:hint="eastAsia"/>
                <w:color w:val="000000" w:themeColor="text1"/>
                <w:lang w:val="en-US" w:eastAsia="zh-CN"/>
              </w:rPr>
              <w:t>。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根据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《组织法》第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197I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款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和第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1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号决议（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2016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年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，哈马马特，修订版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）第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1.11.1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、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4.4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、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4.9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款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，电信标准化局主任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谨向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WTSA-20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提交电信标准化部门（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ITU-T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）电信标准化顾问组（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TSAG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）的报告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，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供其</w:t>
            </w:r>
            <w:r w:rsidR="00DD76AB">
              <w:rPr>
                <w:rFonts w:hint="eastAsia"/>
                <w:color w:val="000000" w:themeColor="text1"/>
                <w:lang w:val="en-US" w:eastAsia="zh-CN"/>
              </w:rPr>
              <w:t>审议并</w:t>
            </w:r>
            <w:r w:rsidR="00DD76AB" w:rsidRPr="00DD76AB">
              <w:rPr>
                <w:rFonts w:hint="eastAsia"/>
                <w:color w:val="000000" w:themeColor="text1"/>
                <w:lang w:val="en-US" w:eastAsia="zh-CN"/>
              </w:rPr>
              <w:t>采取适当行动。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本文件包含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TSAG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按要求向</w:t>
            </w:r>
            <w:r w:rsidRPr="001D63D9">
              <w:rPr>
                <w:color w:val="000000" w:themeColor="text1"/>
                <w:lang w:val="en-US" w:eastAsia="zh-CN"/>
              </w:rPr>
              <w:t>WTSA-</w:t>
            </w:r>
            <w:r>
              <w:rPr>
                <w:color w:val="000000" w:themeColor="text1"/>
                <w:lang w:val="en-US" w:eastAsia="zh-CN"/>
              </w:rPr>
              <w:t>20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提交的有关开展此</w:t>
            </w:r>
            <w:r w:rsidRPr="001D63D9">
              <w:rPr>
                <w:color w:val="000000" w:themeColor="text1"/>
                <w:lang w:val="en-US" w:eastAsia="zh-CN"/>
              </w:rPr>
              <w:t>方面行动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的报告。每节标题均与第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22</w:t>
            </w:r>
            <w:r w:rsidRPr="001D63D9">
              <w:rPr>
                <w:rFonts w:hint="eastAsia"/>
                <w:color w:val="000000" w:themeColor="text1"/>
                <w:lang w:val="en-US" w:eastAsia="zh-CN"/>
              </w:rPr>
              <w:t>号决议“做出决议”相应部分分别对应。</w:t>
            </w:r>
          </w:p>
        </w:tc>
      </w:tr>
      <w:tr w:rsidR="003031C8" w:rsidRPr="00E06DFC" w14:paraId="56AFC01A" w14:textId="77777777" w:rsidTr="009F1573">
        <w:trPr>
          <w:cantSplit/>
        </w:trPr>
        <w:tc>
          <w:tcPr>
            <w:tcW w:w="1276" w:type="dxa"/>
          </w:tcPr>
          <w:p w14:paraId="575FF1A3" w14:textId="77777777" w:rsidR="003031C8" w:rsidRPr="00E06DFC" w:rsidRDefault="003031C8" w:rsidP="009F1573">
            <w:pPr>
              <w:rPr>
                <w:b/>
                <w:bCs/>
              </w:rPr>
            </w:pPr>
            <w:proofErr w:type="spellStart"/>
            <w:r w:rsidRPr="00E06DFC">
              <w:rPr>
                <w:rFonts w:hint="eastAsia"/>
                <w:b/>
                <w:bCs/>
              </w:rPr>
              <w:t>联系人</w:t>
            </w:r>
            <w:proofErr w:type="spellEnd"/>
            <w:r w:rsidRPr="00E06DFC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16C5D960" w14:textId="50DE359A" w:rsidR="003031C8" w:rsidRPr="00E06DFC" w:rsidRDefault="00DD76AB" w:rsidP="001D6046">
            <w:pPr>
              <w:rPr>
                <w:lang w:eastAsia="zh-CN"/>
              </w:rPr>
            </w:pPr>
            <w:bookmarkStart w:id="2" w:name="lt_pId014"/>
            <w:r w:rsidRPr="00625260">
              <w:rPr>
                <w:lang w:eastAsia="zh-CN"/>
              </w:rPr>
              <w:t>TSAG</w:t>
            </w:r>
            <w:r>
              <w:rPr>
                <w:rFonts w:hint="eastAsia"/>
                <w:lang w:eastAsia="zh-CN"/>
              </w:rPr>
              <w:t>主席</w:t>
            </w:r>
            <w:bookmarkEnd w:id="2"/>
            <w:r w:rsidR="00625260" w:rsidRPr="00625260">
              <w:rPr>
                <w:lang w:eastAsia="zh-CN"/>
              </w:rPr>
              <w:br/>
            </w:r>
            <w:bookmarkStart w:id="3" w:name="lt_pId015"/>
            <w:r w:rsidRPr="00625260">
              <w:rPr>
                <w:lang w:eastAsia="zh-CN"/>
              </w:rPr>
              <w:t>Bruce Gracie</w:t>
            </w:r>
            <w:r>
              <w:rPr>
                <w:rFonts w:hint="eastAsia"/>
                <w:lang w:eastAsia="zh-CN"/>
              </w:rPr>
              <w:t>先生</w:t>
            </w:r>
            <w:bookmarkEnd w:id="3"/>
          </w:p>
        </w:tc>
        <w:tc>
          <w:tcPr>
            <w:tcW w:w="4268" w:type="dxa"/>
          </w:tcPr>
          <w:p w14:paraId="3F310593" w14:textId="59F031D0" w:rsidR="003031C8" w:rsidRPr="00E06DFC" w:rsidRDefault="003031C8" w:rsidP="00625260">
            <w:pPr>
              <w:tabs>
                <w:tab w:val="clear" w:pos="1134"/>
                <w:tab w:val="left" w:pos="1296"/>
              </w:tabs>
              <w:rPr>
                <w:lang w:eastAsia="zh-CN"/>
              </w:rPr>
            </w:pPr>
            <w:r w:rsidRPr="00E06DFC">
              <w:rPr>
                <w:rFonts w:hint="eastAsia"/>
                <w:lang w:eastAsia="zh-CN"/>
              </w:rPr>
              <w:t>电话：</w:t>
            </w:r>
            <w:r w:rsidRPr="006E1140">
              <w:rPr>
                <w:lang w:eastAsia="zh-CN"/>
              </w:rPr>
              <w:tab/>
            </w:r>
            <w:r w:rsidR="00625260" w:rsidRPr="00625260">
              <w:rPr>
                <w:lang w:val="fr-CH" w:eastAsia="zh-CN"/>
              </w:rPr>
              <w:t>+1 613 592-3180</w:t>
            </w:r>
            <w:r w:rsidRPr="00E06DFC">
              <w:rPr>
                <w:lang w:eastAsia="zh-CN"/>
              </w:rPr>
              <w:br/>
            </w:r>
            <w:r w:rsidRPr="00E06DFC">
              <w:rPr>
                <w:rFonts w:hint="eastAsia"/>
                <w:lang w:eastAsia="zh-CN"/>
              </w:rPr>
              <w:t>电子邮件：</w:t>
            </w:r>
            <w:r w:rsidRPr="006E1140">
              <w:rPr>
                <w:lang w:eastAsia="zh-CN"/>
              </w:rPr>
              <w:tab/>
            </w:r>
            <w:hyperlink r:id="rId8" w:history="1">
              <w:bookmarkStart w:id="4" w:name="lt_pId019"/>
              <w:r w:rsidR="00625260" w:rsidRPr="00625260">
                <w:rPr>
                  <w:rStyle w:val="Hyperlink"/>
                  <w:lang w:val="fr-CH" w:eastAsia="zh-CN"/>
                </w:rPr>
                <w:t>bruce.gracie@ericsson.com</w:t>
              </w:r>
              <w:bookmarkEnd w:id="4"/>
            </w:hyperlink>
          </w:p>
        </w:tc>
      </w:tr>
      <w:bookmarkEnd w:id="1"/>
    </w:tbl>
    <w:p w14:paraId="56456F52" w14:textId="77777777" w:rsidR="00DE6C68" w:rsidRPr="00DE6C68" w:rsidRDefault="00DE6C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DE6C68">
        <w:rPr>
          <w:lang w:eastAsia="zh-CN"/>
        </w:rPr>
        <w:br w:type="page"/>
      </w:r>
    </w:p>
    <w:p w14:paraId="5E621C5C" w14:textId="69498EAA" w:rsidR="00281807" w:rsidRPr="004B1FF7" w:rsidRDefault="00A138C3" w:rsidP="00000054">
      <w:pPr>
        <w:ind w:firstLineChars="200" w:firstLine="480"/>
        <w:rPr>
          <w:color w:val="000000" w:themeColor="text1"/>
          <w:lang w:eastAsia="zh-CN"/>
        </w:rPr>
      </w:pPr>
      <w:r w:rsidRPr="00DD76AB">
        <w:rPr>
          <w:rFonts w:hint="eastAsia"/>
          <w:color w:val="000000" w:themeColor="text1"/>
          <w:lang w:val="en-US" w:eastAsia="zh-CN"/>
        </w:rPr>
        <w:lastRenderedPageBreak/>
        <w:t>根据</w:t>
      </w:r>
      <w:r>
        <w:rPr>
          <w:rFonts w:hint="eastAsia"/>
          <w:color w:val="000000" w:themeColor="text1"/>
          <w:lang w:val="en-US" w:eastAsia="zh-CN"/>
        </w:rPr>
        <w:t>《组织法》第</w:t>
      </w:r>
      <w:r w:rsidRPr="00DD76AB">
        <w:rPr>
          <w:rFonts w:hint="eastAsia"/>
          <w:color w:val="000000" w:themeColor="text1"/>
          <w:lang w:val="en-US" w:eastAsia="zh-CN"/>
        </w:rPr>
        <w:t>197I</w:t>
      </w:r>
      <w:r>
        <w:rPr>
          <w:rFonts w:hint="eastAsia"/>
          <w:color w:val="000000" w:themeColor="text1"/>
          <w:lang w:val="en-US" w:eastAsia="zh-CN"/>
        </w:rPr>
        <w:t>款</w:t>
      </w:r>
      <w:r w:rsidRPr="00DD76AB">
        <w:rPr>
          <w:rFonts w:hint="eastAsia"/>
          <w:color w:val="000000" w:themeColor="text1"/>
          <w:lang w:val="en-US" w:eastAsia="zh-CN"/>
        </w:rPr>
        <w:t>和第</w:t>
      </w:r>
      <w:r w:rsidRPr="00DD76AB">
        <w:rPr>
          <w:rFonts w:hint="eastAsia"/>
          <w:color w:val="000000" w:themeColor="text1"/>
          <w:lang w:val="en-US" w:eastAsia="zh-CN"/>
        </w:rPr>
        <w:t>1</w:t>
      </w:r>
      <w:r w:rsidRPr="00DD76AB">
        <w:rPr>
          <w:rFonts w:hint="eastAsia"/>
          <w:color w:val="000000" w:themeColor="text1"/>
          <w:lang w:val="en-US" w:eastAsia="zh-CN"/>
        </w:rPr>
        <w:t>号决议（</w:t>
      </w:r>
      <w:r w:rsidRPr="00DD76AB">
        <w:rPr>
          <w:rFonts w:hint="eastAsia"/>
          <w:color w:val="000000" w:themeColor="text1"/>
          <w:lang w:val="en-US" w:eastAsia="zh-CN"/>
        </w:rPr>
        <w:t>2016</w:t>
      </w:r>
      <w:r w:rsidRPr="00DD76AB">
        <w:rPr>
          <w:rFonts w:hint="eastAsia"/>
          <w:color w:val="000000" w:themeColor="text1"/>
          <w:lang w:val="en-US" w:eastAsia="zh-CN"/>
        </w:rPr>
        <w:t>年</w:t>
      </w:r>
      <w:r>
        <w:rPr>
          <w:rFonts w:hint="eastAsia"/>
          <w:color w:val="000000" w:themeColor="text1"/>
          <w:lang w:val="en-US" w:eastAsia="zh-CN"/>
        </w:rPr>
        <w:t>，哈马马特，修订版</w:t>
      </w:r>
      <w:r w:rsidRPr="00DD76AB">
        <w:rPr>
          <w:rFonts w:hint="eastAsia"/>
          <w:color w:val="000000" w:themeColor="text1"/>
          <w:lang w:val="en-US" w:eastAsia="zh-CN"/>
        </w:rPr>
        <w:t>）第</w:t>
      </w:r>
      <w:r w:rsidRPr="00DD76AB">
        <w:rPr>
          <w:rFonts w:hint="eastAsia"/>
          <w:color w:val="000000" w:themeColor="text1"/>
          <w:lang w:val="en-US" w:eastAsia="zh-CN"/>
        </w:rPr>
        <w:t>1.11.1</w:t>
      </w:r>
      <w:r w:rsidRPr="00DD76AB">
        <w:rPr>
          <w:rFonts w:hint="eastAsia"/>
          <w:color w:val="000000" w:themeColor="text1"/>
          <w:lang w:val="en-US" w:eastAsia="zh-CN"/>
        </w:rPr>
        <w:t>、</w:t>
      </w:r>
      <w:r w:rsidRPr="00DD76AB">
        <w:rPr>
          <w:rFonts w:hint="eastAsia"/>
          <w:color w:val="000000" w:themeColor="text1"/>
          <w:lang w:val="en-US" w:eastAsia="zh-CN"/>
        </w:rPr>
        <w:t>4.4</w:t>
      </w:r>
      <w:r w:rsidRPr="00DD76AB">
        <w:rPr>
          <w:rFonts w:hint="eastAsia"/>
          <w:color w:val="000000" w:themeColor="text1"/>
          <w:lang w:val="en-US" w:eastAsia="zh-CN"/>
        </w:rPr>
        <w:t>、</w:t>
      </w:r>
      <w:r w:rsidRPr="00DD76AB">
        <w:rPr>
          <w:rFonts w:hint="eastAsia"/>
          <w:color w:val="000000" w:themeColor="text1"/>
          <w:lang w:val="en-US" w:eastAsia="zh-CN"/>
        </w:rPr>
        <w:t>4.9</w:t>
      </w:r>
      <w:r>
        <w:rPr>
          <w:rFonts w:hint="eastAsia"/>
          <w:color w:val="000000" w:themeColor="text1"/>
          <w:lang w:val="en-US" w:eastAsia="zh-CN"/>
        </w:rPr>
        <w:t>款</w:t>
      </w:r>
      <w:r w:rsidRPr="00DD76AB">
        <w:rPr>
          <w:rFonts w:hint="eastAsia"/>
          <w:color w:val="000000" w:themeColor="text1"/>
          <w:lang w:val="en-US" w:eastAsia="zh-CN"/>
        </w:rPr>
        <w:t>，电信标准化局主任</w:t>
      </w:r>
      <w:r>
        <w:rPr>
          <w:rFonts w:hint="eastAsia"/>
          <w:color w:val="000000" w:themeColor="text1"/>
          <w:lang w:val="en-US" w:eastAsia="zh-CN"/>
        </w:rPr>
        <w:t>谨向</w:t>
      </w:r>
      <w:r w:rsidRPr="00DD76AB">
        <w:rPr>
          <w:rFonts w:hint="eastAsia"/>
          <w:color w:val="000000" w:themeColor="text1"/>
          <w:lang w:val="en-US" w:eastAsia="zh-CN"/>
        </w:rPr>
        <w:t>WTSA-20</w:t>
      </w:r>
      <w:r w:rsidRPr="00DD76AB">
        <w:rPr>
          <w:rFonts w:hint="eastAsia"/>
          <w:color w:val="000000" w:themeColor="text1"/>
          <w:lang w:val="en-US" w:eastAsia="zh-CN"/>
        </w:rPr>
        <w:t>提交电信标准化部门（</w:t>
      </w:r>
      <w:r w:rsidRPr="00DD76AB">
        <w:rPr>
          <w:rFonts w:hint="eastAsia"/>
          <w:color w:val="000000" w:themeColor="text1"/>
          <w:lang w:val="en-US" w:eastAsia="zh-CN"/>
        </w:rPr>
        <w:t>ITU-T</w:t>
      </w:r>
      <w:r w:rsidRPr="00DD76AB">
        <w:rPr>
          <w:rFonts w:hint="eastAsia"/>
          <w:color w:val="000000" w:themeColor="text1"/>
          <w:lang w:val="en-US" w:eastAsia="zh-CN"/>
        </w:rPr>
        <w:t>）电信标准化顾问组（</w:t>
      </w:r>
      <w:r w:rsidRPr="00DD76AB">
        <w:rPr>
          <w:rFonts w:hint="eastAsia"/>
          <w:color w:val="000000" w:themeColor="text1"/>
          <w:lang w:val="en-US" w:eastAsia="zh-CN"/>
        </w:rPr>
        <w:t>TSAG</w:t>
      </w:r>
      <w:r w:rsidRPr="00DD76AB">
        <w:rPr>
          <w:rFonts w:hint="eastAsia"/>
          <w:color w:val="000000" w:themeColor="text1"/>
          <w:lang w:val="en-US" w:eastAsia="zh-CN"/>
        </w:rPr>
        <w:t>）的报告</w:t>
      </w:r>
      <w:r>
        <w:rPr>
          <w:rFonts w:hint="eastAsia"/>
          <w:color w:val="000000" w:themeColor="text1"/>
          <w:lang w:val="en-US" w:eastAsia="zh-CN"/>
        </w:rPr>
        <w:t>，</w:t>
      </w:r>
      <w:r w:rsidRPr="00DD76AB">
        <w:rPr>
          <w:rFonts w:hint="eastAsia"/>
          <w:color w:val="000000" w:themeColor="text1"/>
          <w:lang w:val="en-US" w:eastAsia="zh-CN"/>
        </w:rPr>
        <w:t>供其</w:t>
      </w:r>
      <w:r>
        <w:rPr>
          <w:rFonts w:hint="eastAsia"/>
          <w:color w:val="000000" w:themeColor="text1"/>
          <w:lang w:val="en-US" w:eastAsia="zh-CN"/>
        </w:rPr>
        <w:t>审议并</w:t>
      </w:r>
      <w:r w:rsidRPr="00DD76AB">
        <w:rPr>
          <w:rFonts w:hint="eastAsia"/>
          <w:color w:val="000000" w:themeColor="text1"/>
          <w:lang w:val="en-US" w:eastAsia="zh-CN"/>
        </w:rPr>
        <w:t>采取适当行动。</w:t>
      </w:r>
    </w:p>
    <w:p w14:paraId="248C768B" w14:textId="77777777" w:rsidR="00A53DAA" w:rsidRPr="00E04A5F" w:rsidRDefault="00A53DAA" w:rsidP="00A53DAA">
      <w:pPr>
        <w:pStyle w:val="enumlev1"/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下届全会之间，处理其职责范围内以下领域的具体工作，并酌情与电信标准化局主任磋商：</w:t>
      </w:r>
    </w:p>
    <w:p w14:paraId="3BAC8033" w14:textId="6C530BB5" w:rsidR="00A53DAA" w:rsidRDefault="00A53DAA" w:rsidP="00A53DAA">
      <w:pPr>
        <w:pStyle w:val="enumlev2"/>
        <w:rPr>
          <w:lang w:eastAsia="zh-CN"/>
        </w:rPr>
      </w:pPr>
      <w:r w:rsidRPr="00D03408">
        <w:rPr>
          <w:lang w:eastAsia="zh-CN"/>
        </w:rPr>
        <w:t>1a)</w:t>
      </w:r>
      <w:r w:rsidRPr="00D03408">
        <w:rPr>
          <w:lang w:eastAsia="zh-CN"/>
        </w:rPr>
        <w:tab/>
      </w:r>
      <w:r w:rsidRPr="00E04A5F">
        <w:rPr>
          <w:rFonts w:hint="eastAsia"/>
          <w:lang w:eastAsia="zh-CN"/>
        </w:rPr>
        <w:t>及时更新工作导则，并保持其高效性和灵活性；</w:t>
      </w:r>
    </w:p>
    <w:p w14:paraId="0AE0526E" w14:textId="544CEC68" w:rsidR="00A53DAA" w:rsidRPr="00FB3D65" w:rsidRDefault="00A53DAA" w:rsidP="00A53DAA">
      <w:pPr>
        <w:pStyle w:val="enumlev3"/>
        <w:rPr>
          <w:highlight w:val="yellow"/>
          <w:lang w:val="en-US" w:eastAsia="zh-CN"/>
        </w:rPr>
      </w:pPr>
      <w:r w:rsidRPr="00711031">
        <w:rPr>
          <w:lang w:eastAsia="zh-CN"/>
        </w:rPr>
        <w:t>•</w:t>
      </w:r>
      <w:r w:rsidRPr="00711031">
        <w:rPr>
          <w:lang w:eastAsia="zh-CN"/>
        </w:rPr>
        <w:tab/>
      </w:r>
      <w:r w:rsidR="00A138C3">
        <w:rPr>
          <w:rFonts w:hint="eastAsia"/>
          <w:lang w:eastAsia="zh-CN"/>
        </w:rPr>
        <w:t>参见</w:t>
      </w:r>
      <w:hyperlink r:id="rId9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Pr="00711031">
        <w:rPr>
          <w:lang w:eastAsia="zh-CN"/>
        </w:rPr>
        <w:t xml:space="preserve"> </w:t>
      </w:r>
      <w:r w:rsidR="004022F1">
        <w:rPr>
          <w:lang w:eastAsia="zh-CN"/>
        </w:rPr>
        <w:t>–</w:t>
      </w:r>
      <w:r w:rsidRPr="00711031">
        <w:rPr>
          <w:lang w:eastAsia="zh-CN"/>
        </w:rPr>
        <w:t xml:space="preserve">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1F263D">
        <w:rPr>
          <w:rFonts w:hint="eastAsia"/>
          <w:lang w:eastAsia="zh-CN"/>
        </w:rPr>
        <w:t>“</w:t>
      </w:r>
      <w:r w:rsidR="003344A8">
        <w:rPr>
          <w:lang w:eastAsia="zh-CN"/>
        </w:rPr>
        <w:t>概述</w:t>
      </w:r>
      <w:r w:rsidR="001F263D">
        <w:rPr>
          <w:rFonts w:hint="eastAsia"/>
          <w:lang w:eastAsia="zh-CN"/>
        </w:rPr>
        <w:t>”</w:t>
      </w:r>
      <w:r w:rsidR="00A138C3">
        <w:rPr>
          <w:rFonts w:hint="eastAsia"/>
          <w:lang w:eastAsia="zh-CN"/>
        </w:rPr>
        <w:t>第</w:t>
      </w:r>
      <w:r w:rsidR="00A138C3">
        <w:rPr>
          <w:lang w:eastAsia="zh-CN"/>
        </w:rPr>
        <w:t>2</w:t>
      </w:r>
      <w:r w:rsidR="00A138C3">
        <w:rPr>
          <w:rFonts w:hint="eastAsia"/>
          <w:lang w:eastAsia="zh-CN"/>
        </w:rPr>
        <w:t>、</w:t>
      </w:r>
      <w:r w:rsidR="00A138C3" w:rsidRPr="00711031">
        <w:rPr>
          <w:lang w:eastAsia="zh-CN"/>
        </w:rPr>
        <w:t>3</w:t>
      </w:r>
      <w:r w:rsidR="00A138C3">
        <w:rPr>
          <w:lang w:eastAsia="zh-CN"/>
        </w:rPr>
        <w:t>.2.3</w:t>
      </w:r>
      <w:r w:rsidR="00A138C3">
        <w:rPr>
          <w:rFonts w:hint="eastAsia"/>
          <w:lang w:eastAsia="zh-CN"/>
        </w:rPr>
        <w:t>、</w:t>
      </w:r>
      <w:r w:rsidR="00A138C3">
        <w:rPr>
          <w:lang w:eastAsia="zh-CN"/>
        </w:rPr>
        <w:t>3.2.6</w:t>
      </w:r>
      <w:r w:rsidR="00A138C3">
        <w:rPr>
          <w:rFonts w:hint="eastAsia"/>
          <w:lang w:eastAsia="zh-CN"/>
        </w:rPr>
        <w:t>和</w:t>
      </w:r>
      <w:r w:rsidR="00A138C3">
        <w:rPr>
          <w:lang w:eastAsia="zh-CN"/>
        </w:rPr>
        <w:t>3.2.7</w:t>
      </w:r>
      <w:r w:rsidR="00A138C3">
        <w:rPr>
          <w:rFonts w:hint="eastAsia"/>
          <w:lang w:eastAsia="zh-CN"/>
        </w:rPr>
        <w:t>节。</w:t>
      </w:r>
    </w:p>
    <w:p w14:paraId="63BEE5DD" w14:textId="28F26F4E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 w:rsidRPr="00E04A5F">
        <w:rPr>
          <w:rFonts w:hint="eastAsia"/>
          <w:lang w:eastAsia="zh-CN"/>
        </w:rPr>
        <w:t>A</w:t>
      </w:r>
      <w:r w:rsidRPr="00E04A5F">
        <w:rPr>
          <w:rFonts w:hint="eastAsia"/>
          <w:lang w:eastAsia="zh-CN"/>
        </w:rPr>
        <w:t>系列建议书（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工作的组织），包括建议书的制定以及根据适当程序提交批准；</w:t>
      </w:r>
    </w:p>
    <w:p w14:paraId="515B6DEF" w14:textId="08C50FDC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301F08">
        <w:rPr>
          <w:lang w:eastAsia="zh-CN"/>
        </w:rPr>
        <w:t>•</w:t>
      </w:r>
      <w:r w:rsidRPr="00301F08">
        <w:rPr>
          <w:lang w:eastAsia="zh-CN"/>
        </w:rPr>
        <w:tab/>
      </w:r>
      <w:r w:rsidR="00FB3D65">
        <w:rPr>
          <w:lang w:eastAsia="zh-CN"/>
        </w:rPr>
        <w:t>参见</w:t>
      </w:r>
      <w:hyperlink r:id="rId10" w:history="1">
        <w:hyperlink r:id="rId11" w:history="1">
          <w:r w:rsidR="003344A8">
            <w:rPr>
              <w:rStyle w:val="Hyperlink"/>
              <w:lang w:eastAsia="zh-CN"/>
            </w:rPr>
            <w:t>23</w:t>
          </w:r>
          <w:r w:rsidR="003344A8">
            <w:rPr>
              <w:rStyle w:val="Hyperlink"/>
              <w:lang w:eastAsia="zh-CN"/>
            </w:rPr>
            <w:t>号文件</w:t>
          </w:r>
        </w:hyperlink>
      </w:hyperlink>
      <w:r w:rsidRPr="00301F08">
        <w:rPr>
          <w:lang w:eastAsia="zh-CN"/>
        </w:rPr>
        <w:t xml:space="preserve"> </w:t>
      </w:r>
      <w:r>
        <w:rPr>
          <w:lang w:eastAsia="zh-CN"/>
        </w:rPr>
        <w:t>–</w:t>
      </w:r>
      <w:r w:rsidRPr="00301F08">
        <w:rPr>
          <w:lang w:eastAsia="zh-CN"/>
        </w:rPr>
        <w:t xml:space="preserve"> </w:t>
      </w:r>
      <w:r w:rsidR="00FB3D65">
        <w:rPr>
          <w:lang w:eastAsia="zh-CN"/>
        </w:rPr>
        <w:t>TSAG</w:t>
      </w:r>
      <w:r w:rsidR="00FB3D65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>
        <w:rPr>
          <w:lang w:eastAsia="zh-CN"/>
        </w:rPr>
        <w:t>3.</w:t>
      </w:r>
      <w:r w:rsidR="00FB3D65" w:rsidRPr="00301F08">
        <w:rPr>
          <w:lang w:eastAsia="zh-CN"/>
        </w:rPr>
        <w:t>2</w:t>
      </w:r>
      <w:r w:rsidR="00FB3D65">
        <w:rPr>
          <w:lang w:eastAsia="zh-CN"/>
        </w:rPr>
        <w:t>.3</w:t>
      </w:r>
      <w:r w:rsidR="00FB3D65">
        <w:rPr>
          <w:rFonts w:hint="eastAsia"/>
          <w:lang w:eastAsia="zh-CN"/>
        </w:rPr>
        <w:t>和</w:t>
      </w:r>
      <w:r w:rsidR="00FB3D65" w:rsidRPr="00301F08">
        <w:rPr>
          <w:lang w:eastAsia="zh-CN"/>
        </w:rPr>
        <w:t>3</w:t>
      </w:r>
      <w:r w:rsidR="00FB3D65">
        <w:rPr>
          <w:lang w:eastAsia="zh-CN"/>
        </w:rPr>
        <w:t>.2.6</w:t>
      </w:r>
      <w:r w:rsidR="00FB3D65">
        <w:rPr>
          <w:rFonts w:hint="eastAsia"/>
          <w:lang w:eastAsia="zh-CN"/>
        </w:rPr>
        <w:t>节。</w:t>
      </w:r>
    </w:p>
    <w:p w14:paraId="2D85381C" w14:textId="79804777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</w:t>
      </w:r>
      <w:r w:rsidRPr="00A53DAA">
        <w:rPr>
          <w:rFonts w:hint="eastAsia"/>
          <w:lang w:eastAsia="zh-CN"/>
        </w:rPr>
        <w:t>c)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考虑到</w:t>
      </w:r>
      <w:r w:rsidRPr="007D7776">
        <w:rPr>
          <w:lang w:eastAsia="zh-CN"/>
        </w:rPr>
        <w:t>ITU-T</w:t>
      </w:r>
      <w:r>
        <w:rPr>
          <w:lang w:eastAsia="zh-CN"/>
        </w:rPr>
        <w:t>成员的需求</w:t>
      </w:r>
      <w:r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电信市场的变化</w:t>
      </w:r>
      <w:r>
        <w:rPr>
          <w:rFonts w:hint="eastAsia"/>
          <w:lang w:eastAsia="zh-CN"/>
        </w:rPr>
        <w:t>，按照本</w:t>
      </w:r>
      <w:r>
        <w:rPr>
          <w:lang w:eastAsia="zh-CN"/>
        </w:rPr>
        <w:t>届全会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，哈马马特，修订版）</w:t>
      </w:r>
      <w:r>
        <w:rPr>
          <w:rFonts w:hint="eastAsia"/>
          <w:lang w:eastAsia="zh-CN"/>
        </w:rPr>
        <w:t>的规定</w:t>
      </w:r>
      <w:r w:rsidRPr="00E04A5F">
        <w:rPr>
          <w:rFonts w:hint="eastAsia"/>
          <w:lang w:eastAsia="zh-CN"/>
        </w:rPr>
        <w:t>重组和</w:t>
      </w:r>
      <w:r>
        <w:rPr>
          <w:rFonts w:hint="eastAsia"/>
          <w:lang w:eastAsia="zh-CN"/>
        </w:rPr>
        <w:t>设立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研究组，并指定正副主席履行职责，直至下届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之前；</w:t>
      </w:r>
    </w:p>
    <w:p w14:paraId="68D7F7E6" w14:textId="6634B653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301F08">
        <w:rPr>
          <w:lang w:eastAsia="zh-CN"/>
        </w:rPr>
        <w:t>•</w:t>
      </w:r>
      <w:r w:rsidRPr="00301F08">
        <w:rPr>
          <w:lang w:eastAsia="zh-CN"/>
        </w:rPr>
        <w:tab/>
      </w:r>
      <w:r w:rsidR="00FB3D65">
        <w:rPr>
          <w:lang w:eastAsia="zh-CN"/>
        </w:rPr>
        <w:t>参见</w:t>
      </w:r>
      <w:hyperlink r:id="rId12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Pr="00301F08">
        <w:rPr>
          <w:lang w:eastAsia="zh-CN"/>
        </w:rPr>
        <w:t xml:space="preserve"> </w:t>
      </w:r>
      <w:r w:rsidR="004022F1">
        <w:rPr>
          <w:lang w:eastAsia="zh-CN"/>
        </w:rPr>
        <w:t>–</w:t>
      </w:r>
      <w:r w:rsidRPr="00301F08">
        <w:rPr>
          <w:lang w:eastAsia="zh-CN"/>
        </w:rPr>
        <w:t xml:space="preserve">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 w:rsidRPr="00301F08">
        <w:rPr>
          <w:lang w:eastAsia="zh-CN"/>
        </w:rPr>
        <w:t>3.2.</w:t>
      </w:r>
      <w:r w:rsidR="00FB3D65">
        <w:rPr>
          <w:lang w:eastAsia="zh-CN"/>
        </w:rPr>
        <w:t>7</w:t>
      </w:r>
      <w:r w:rsidR="00FB3D65">
        <w:rPr>
          <w:rFonts w:hint="eastAsia"/>
          <w:lang w:eastAsia="zh-CN"/>
        </w:rPr>
        <w:t>节。</w:t>
      </w:r>
    </w:p>
    <w:p w14:paraId="6AC6686E" w14:textId="43784D5A" w:rsidR="00A53DAA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</w:t>
      </w:r>
      <w:r w:rsidRPr="00A53DAA">
        <w:rPr>
          <w:rFonts w:hint="eastAsia"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针对研究组的工作计划提出意见，以完成标准化的重点工作；</w:t>
      </w:r>
    </w:p>
    <w:p w14:paraId="66EEBFC6" w14:textId="7EC1379C" w:rsidR="00A53DAA" w:rsidRPr="00FB4E4B" w:rsidRDefault="00A53DAA" w:rsidP="00A53DAA">
      <w:pPr>
        <w:pStyle w:val="enumlev3"/>
        <w:rPr>
          <w:lang w:eastAsia="zh-CN"/>
        </w:rPr>
      </w:pPr>
      <w:r w:rsidRPr="00FA539D">
        <w:rPr>
          <w:lang w:eastAsia="zh-CN"/>
        </w:rPr>
        <w:t>•</w:t>
      </w:r>
      <w:r w:rsidRPr="00FA539D">
        <w:rPr>
          <w:lang w:eastAsia="zh-CN"/>
        </w:rPr>
        <w:tab/>
      </w:r>
      <w:r w:rsidR="00FB3D65">
        <w:rPr>
          <w:lang w:eastAsia="zh-CN"/>
        </w:rPr>
        <w:t>参见</w:t>
      </w:r>
      <w:hyperlink r:id="rId13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Pr="00FB4E4B">
        <w:rPr>
          <w:lang w:eastAsia="zh-CN"/>
        </w:rPr>
        <w:t xml:space="preserve"> </w:t>
      </w:r>
      <w:r w:rsidR="004022F1">
        <w:rPr>
          <w:lang w:eastAsia="zh-CN"/>
        </w:rPr>
        <w:t>–</w:t>
      </w:r>
      <w:r w:rsidRPr="00FB4E4B">
        <w:rPr>
          <w:lang w:eastAsia="zh-CN"/>
        </w:rPr>
        <w:t xml:space="preserve">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 w:rsidRPr="00301F08">
        <w:rPr>
          <w:lang w:eastAsia="zh-CN"/>
        </w:rPr>
        <w:t>3.</w:t>
      </w:r>
      <w:r w:rsidR="00FB3D65">
        <w:rPr>
          <w:lang w:eastAsia="zh-CN"/>
        </w:rPr>
        <w:t>4.6</w:t>
      </w:r>
      <w:r w:rsidR="00FB3D65">
        <w:rPr>
          <w:rFonts w:hint="eastAsia"/>
          <w:lang w:eastAsia="zh-CN"/>
        </w:rPr>
        <w:t>节。</w:t>
      </w:r>
    </w:p>
    <w:p w14:paraId="58A13121" w14:textId="7E2A1022" w:rsidR="00A53DAA" w:rsidRDefault="00A53DAA" w:rsidP="00A53DAA">
      <w:pPr>
        <w:pStyle w:val="enumlev2"/>
        <w:rPr>
          <w:lang w:eastAsia="zh-CN"/>
        </w:rPr>
      </w:pPr>
      <w:r>
        <w:rPr>
          <w:lang w:eastAsia="zh-CN"/>
        </w:rPr>
        <w:t>1</w:t>
      </w:r>
      <w:r w:rsidRPr="00A53DAA">
        <w:rPr>
          <w:rFonts w:hint="eastAsia"/>
          <w:lang w:eastAsia="zh-CN"/>
        </w:rPr>
        <w:t>e)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在确认研究组在开展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活动中占有主导地位的同时，按照《公约》第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款的规定，</w:t>
      </w:r>
      <w:r>
        <w:rPr>
          <w:rFonts w:hint="eastAsia"/>
          <w:lang w:eastAsia="zh-CN"/>
        </w:rPr>
        <w:t>创建</w:t>
      </w:r>
      <w:r w:rsidRPr="00E04A5F">
        <w:rPr>
          <w:rFonts w:hint="eastAsia"/>
          <w:lang w:eastAsia="zh-CN"/>
        </w:rPr>
        <w:t>、终止或保留其他组（包括焦点组），任命其正副主席，并</w:t>
      </w:r>
      <w:r>
        <w:rPr>
          <w:rFonts w:hint="eastAsia"/>
          <w:lang w:eastAsia="zh-CN"/>
        </w:rPr>
        <w:t>制定他们在</w:t>
      </w:r>
      <w:r w:rsidRPr="00E04A5F">
        <w:rPr>
          <w:rFonts w:hint="eastAsia"/>
          <w:lang w:eastAsia="zh-CN"/>
        </w:rPr>
        <w:t>确定任期内的职责范围，以便增强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工作的有效性以及对重点问题做出快速反应的灵活性；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14A</w:t>
      </w:r>
      <w:r>
        <w:rPr>
          <w:rFonts w:hint="eastAsia"/>
          <w:lang w:eastAsia="zh-CN"/>
        </w:rPr>
        <w:t>条的规定，</w:t>
      </w:r>
      <w:r w:rsidRPr="00E04A5F">
        <w:rPr>
          <w:rFonts w:hint="eastAsia"/>
          <w:lang w:eastAsia="zh-CN"/>
        </w:rPr>
        <w:t>此类组不得通过课题或建议书，只能在特定职责范围内工作；</w:t>
      </w:r>
    </w:p>
    <w:p w14:paraId="3FDF0A3F" w14:textId="03171EE1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D3418C">
        <w:rPr>
          <w:lang w:eastAsia="zh-CN"/>
        </w:rPr>
        <w:t>•</w:t>
      </w:r>
      <w:r w:rsidRPr="00D3418C">
        <w:rPr>
          <w:lang w:eastAsia="zh-CN"/>
        </w:rPr>
        <w:tab/>
      </w:r>
      <w:r w:rsidR="00FB3D65">
        <w:rPr>
          <w:lang w:eastAsia="zh-CN"/>
        </w:rPr>
        <w:t>参见</w:t>
      </w:r>
      <w:hyperlink r:id="rId14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 w:rsidRPr="00301F08">
        <w:rPr>
          <w:lang w:eastAsia="zh-CN"/>
        </w:rPr>
        <w:t>2</w:t>
      </w:r>
      <w:r w:rsidR="00FB3D65">
        <w:rPr>
          <w:rFonts w:hint="eastAsia"/>
          <w:lang w:eastAsia="zh-CN"/>
        </w:rPr>
        <w:t>和</w:t>
      </w:r>
      <w:r w:rsidR="00FB3D65" w:rsidRPr="00D3418C">
        <w:rPr>
          <w:lang w:eastAsia="zh-CN"/>
        </w:rPr>
        <w:t>3.</w:t>
      </w:r>
      <w:r w:rsidR="00FB3D65">
        <w:rPr>
          <w:lang w:eastAsia="zh-CN"/>
        </w:rPr>
        <w:t>3</w:t>
      </w:r>
      <w:r w:rsidR="00FB3D65">
        <w:rPr>
          <w:rFonts w:hint="eastAsia"/>
          <w:lang w:eastAsia="zh-CN"/>
        </w:rPr>
        <w:t>节。</w:t>
      </w:r>
    </w:p>
    <w:p w14:paraId="3AE6B1DB" w14:textId="2C45CBC0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1f)</w:t>
      </w:r>
      <w:r w:rsidRPr="007C6458">
        <w:rPr>
          <w:rFonts w:eastAsia="Times New Roman"/>
          <w:lang w:eastAsia="zh-CN"/>
        </w:rPr>
        <w:tab/>
      </w:r>
      <w:r>
        <w:rPr>
          <w:color w:val="000000"/>
          <w:lang w:eastAsia="zh-CN"/>
        </w:rPr>
        <w:t>确定不断变化的需</w:t>
      </w:r>
      <w:r>
        <w:rPr>
          <w:rFonts w:hint="eastAsia"/>
          <w:color w:val="000000"/>
          <w:lang w:eastAsia="zh-CN"/>
        </w:rPr>
        <w:t>求</w:t>
      </w:r>
      <w:r>
        <w:rPr>
          <w:color w:val="000000"/>
          <w:lang w:eastAsia="zh-CN"/>
        </w:rPr>
        <w:t>，并就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各研究组在工作重点、规划及各研究组间的工作分配等方面的适当变动提出建议，</w:t>
      </w:r>
      <w:r>
        <w:rPr>
          <w:rFonts w:hint="eastAsia"/>
          <w:color w:val="000000"/>
          <w:lang w:eastAsia="zh-CN"/>
        </w:rPr>
        <w:t>同时适当顾及</w:t>
      </w:r>
      <w:r>
        <w:rPr>
          <w:color w:val="000000"/>
          <w:lang w:eastAsia="zh-CN"/>
        </w:rPr>
        <w:t>成本及可用资源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14:paraId="7A2A59BB" w14:textId="23FD7BC7" w:rsidR="00A53DAA" w:rsidRPr="00463970" w:rsidRDefault="00A53DAA" w:rsidP="00A903C1">
      <w:pPr>
        <w:pStyle w:val="enumlev3"/>
        <w:rPr>
          <w:lang w:eastAsia="zh-CN"/>
        </w:rPr>
      </w:pPr>
      <w:r w:rsidRPr="008C2629">
        <w:rPr>
          <w:lang w:eastAsia="zh-CN"/>
        </w:rPr>
        <w:t>•</w:t>
      </w:r>
      <w:r w:rsidRPr="008C2629">
        <w:rPr>
          <w:lang w:eastAsia="zh-CN"/>
        </w:rPr>
        <w:tab/>
      </w:r>
      <w:r w:rsidR="00FB3D65">
        <w:rPr>
          <w:lang w:eastAsia="zh-CN"/>
        </w:rPr>
        <w:t>参见</w:t>
      </w:r>
      <w:hyperlink r:id="rId15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>
        <w:rPr>
          <w:lang w:eastAsia="zh-CN"/>
        </w:rPr>
        <w:t>3.</w:t>
      </w:r>
      <w:r w:rsidR="00FB3D65" w:rsidRPr="00301F08">
        <w:rPr>
          <w:lang w:eastAsia="zh-CN"/>
        </w:rPr>
        <w:t>2</w:t>
      </w:r>
      <w:r w:rsidR="00FB3D65">
        <w:rPr>
          <w:lang w:eastAsia="zh-CN"/>
        </w:rPr>
        <w:t>.5</w:t>
      </w:r>
      <w:r w:rsidR="00FB3D65">
        <w:rPr>
          <w:rFonts w:hint="eastAsia"/>
          <w:lang w:eastAsia="zh-CN"/>
        </w:rPr>
        <w:t>和</w:t>
      </w:r>
      <w:r w:rsidR="00FB3D65" w:rsidRPr="00301F08">
        <w:rPr>
          <w:lang w:eastAsia="zh-CN"/>
        </w:rPr>
        <w:t>3</w:t>
      </w:r>
      <w:r w:rsidR="00FB3D65">
        <w:rPr>
          <w:lang w:eastAsia="zh-CN"/>
        </w:rPr>
        <w:t>.2.7</w:t>
      </w:r>
      <w:r w:rsidR="00FB3D65">
        <w:rPr>
          <w:rFonts w:hint="eastAsia"/>
          <w:lang w:eastAsia="zh-CN"/>
        </w:rPr>
        <w:t>节</w:t>
      </w:r>
      <w:r w:rsidR="006E6E23">
        <w:rPr>
          <w:rFonts w:hint="eastAsia"/>
          <w:lang w:eastAsia="zh-CN"/>
        </w:rPr>
        <w:t>。</w:t>
      </w:r>
    </w:p>
    <w:p w14:paraId="3F41E37E" w14:textId="716F860B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1g</w:t>
      </w:r>
      <w:r w:rsidRPr="00A53DAA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14:paraId="57C02D44" w14:textId="11E438EA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894D27">
        <w:rPr>
          <w:lang w:eastAsia="zh-CN"/>
        </w:rPr>
        <w:t>•</w:t>
      </w:r>
      <w:r w:rsidRPr="00894D27">
        <w:rPr>
          <w:lang w:eastAsia="zh-CN"/>
        </w:rPr>
        <w:tab/>
      </w:r>
      <w:r w:rsidR="00FB3D65">
        <w:rPr>
          <w:lang w:eastAsia="zh-CN"/>
        </w:rPr>
        <w:t>参见</w:t>
      </w:r>
      <w:hyperlink r:id="rId16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>
        <w:rPr>
          <w:lang w:eastAsia="zh-CN"/>
        </w:rPr>
        <w:t>2</w:t>
      </w:r>
      <w:r w:rsidR="00FB3D65">
        <w:rPr>
          <w:rFonts w:hint="eastAsia"/>
          <w:lang w:eastAsia="zh-CN"/>
        </w:rPr>
        <w:t>、</w:t>
      </w:r>
      <w:r w:rsidR="00FB3D65" w:rsidRPr="00894D27">
        <w:rPr>
          <w:lang w:eastAsia="zh-CN"/>
        </w:rPr>
        <w:t>3.2.3</w:t>
      </w:r>
      <w:r w:rsidR="00FB3D65">
        <w:rPr>
          <w:rFonts w:hint="eastAsia"/>
          <w:lang w:eastAsia="zh-CN"/>
        </w:rPr>
        <w:t>、</w:t>
      </w:r>
      <w:r w:rsidR="00FB3D65">
        <w:rPr>
          <w:lang w:eastAsia="zh-CN"/>
        </w:rPr>
        <w:t>3.2.7</w:t>
      </w:r>
      <w:r w:rsidR="00FB3D65">
        <w:rPr>
          <w:rFonts w:hint="eastAsia"/>
          <w:lang w:eastAsia="zh-CN"/>
        </w:rPr>
        <w:t>和</w:t>
      </w:r>
      <w:r w:rsidR="00FB3D65">
        <w:rPr>
          <w:lang w:eastAsia="zh-CN"/>
        </w:rPr>
        <w:t>3.3</w:t>
      </w:r>
      <w:r w:rsidR="00FB3D65">
        <w:rPr>
          <w:rFonts w:hint="eastAsia"/>
          <w:lang w:eastAsia="zh-CN"/>
        </w:rPr>
        <w:t>节。</w:t>
      </w:r>
    </w:p>
    <w:p w14:paraId="5DC136CF" w14:textId="01F04A52" w:rsidR="00A53DAA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1h</w:t>
      </w:r>
      <w:r w:rsidRPr="00A53DAA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14:paraId="7264AE81" w14:textId="350AF1AC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FF0EFF">
        <w:rPr>
          <w:lang w:eastAsia="zh-CN"/>
        </w:rPr>
        <w:t>•</w:t>
      </w:r>
      <w:r w:rsidRPr="00FF0EFF">
        <w:rPr>
          <w:lang w:eastAsia="zh-CN"/>
        </w:rPr>
        <w:tab/>
      </w:r>
      <w:r w:rsidR="00FB3D65">
        <w:rPr>
          <w:lang w:eastAsia="zh-CN"/>
        </w:rPr>
        <w:t>参见</w:t>
      </w:r>
      <w:hyperlink r:id="rId17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FB3D65">
        <w:rPr>
          <w:rFonts w:hint="eastAsia"/>
          <w:lang w:eastAsia="zh-CN"/>
        </w:rPr>
        <w:t>第</w:t>
      </w:r>
      <w:r w:rsidR="00FB3D65">
        <w:rPr>
          <w:lang w:eastAsia="zh-CN"/>
        </w:rPr>
        <w:t>2</w:t>
      </w:r>
      <w:r w:rsidR="00FB3D65">
        <w:rPr>
          <w:rFonts w:hint="eastAsia"/>
          <w:lang w:eastAsia="zh-CN"/>
        </w:rPr>
        <w:t>、</w:t>
      </w:r>
      <w:r w:rsidR="00FB3D65" w:rsidRPr="00894D27">
        <w:rPr>
          <w:lang w:eastAsia="zh-CN"/>
        </w:rPr>
        <w:t>3.2.3</w:t>
      </w:r>
      <w:r w:rsidR="00FB3D65">
        <w:rPr>
          <w:rFonts w:hint="eastAsia"/>
          <w:lang w:eastAsia="zh-CN"/>
        </w:rPr>
        <w:t>、</w:t>
      </w:r>
      <w:r w:rsidR="00FB3D65">
        <w:rPr>
          <w:lang w:eastAsia="zh-CN"/>
        </w:rPr>
        <w:t>3.2.7</w:t>
      </w:r>
      <w:r w:rsidR="00FB3D65">
        <w:rPr>
          <w:rFonts w:hint="eastAsia"/>
          <w:lang w:eastAsia="zh-CN"/>
        </w:rPr>
        <w:t>和</w:t>
      </w:r>
      <w:r w:rsidR="00FB3D65">
        <w:rPr>
          <w:lang w:eastAsia="zh-CN"/>
        </w:rPr>
        <w:t>3.3</w:t>
      </w:r>
      <w:r w:rsidR="00FB3D65">
        <w:rPr>
          <w:rFonts w:hint="eastAsia"/>
          <w:lang w:eastAsia="zh-CN"/>
        </w:rPr>
        <w:t>节。</w:t>
      </w:r>
    </w:p>
    <w:p w14:paraId="58607B77" w14:textId="4F2E33A5" w:rsidR="00A53DAA" w:rsidRPr="002C5BAE" w:rsidRDefault="00A53DAA" w:rsidP="00A53DAA">
      <w:pPr>
        <w:pStyle w:val="enumlev2"/>
        <w:rPr>
          <w:rFonts w:eastAsiaTheme="minorEastAsia"/>
          <w:lang w:eastAsia="zh-CN"/>
        </w:rPr>
      </w:pPr>
      <w:r>
        <w:rPr>
          <w:lang w:eastAsia="zh-CN"/>
        </w:rPr>
        <w:t>1</w:t>
      </w:r>
      <w:r w:rsidRPr="00A53DAA">
        <w:rPr>
          <w:lang w:eastAsia="zh-CN"/>
        </w:rPr>
        <w:t>i)</w:t>
      </w:r>
      <w:r w:rsidRPr="007C6458">
        <w:rPr>
          <w:rFonts w:eastAsia="Times New Roman"/>
          <w:lang w:eastAsia="zh-CN"/>
        </w:rPr>
        <w:tab/>
      </w:r>
      <w:r>
        <w:rPr>
          <w:color w:val="000000"/>
          <w:lang w:eastAsia="zh-CN"/>
        </w:rPr>
        <w:t>审议</w:t>
      </w:r>
      <w:r>
        <w:rPr>
          <w:rFonts w:hint="eastAsia"/>
          <w:color w:val="000000"/>
          <w:lang w:eastAsia="zh-CN"/>
        </w:rPr>
        <w:t>落实</w:t>
      </w:r>
      <w:r>
        <w:rPr>
          <w:rFonts w:hint="eastAsia"/>
          <w:color w:val="000000"/>
          <w:lang w:eastAsia="zh-CN"/>
        </w:rPr>
        <w:t>ITU-T</w:t>
      </w:r>
      <w:r>
        <w:rPr>
          <w:color w:val="000000"/>
          <w:lang w:eastAsia="zh-CN"/>
        </w:rPr>
        <w:t>工作计划的</w:t>
      </w:r>
      <w:r>
        <w:rPr>
          <w:rFonts w:hint="eastAsia"/>
          <w:color w:val="000000"/>
          <w:lang w:eastAsia="zh-CN"/>
        </w:rPr>
        <w:t>进展情况，其中包括</w:t>
      </w:r>
      <w:r>
        <w:rPr>
          <w:color w:val="000000"/>
          <w:lang w:eastAsia="zh-CN"/>
        </w:rPr>
        <w:t>促进与国际电联以外</w:t>
      </w:r>
      <w:r>
        <w:rPr>
          <w:rFonts w:hint="eastAsia"/>
          <w:color w:val="000000"/>
          <w:lang w:eastAsia="zh-CN"/>
        </w:rPr>
        <w:t>的</w:t>
      </w:r>
      <w:r>
        <w:rPr>
          <w:color w:val="000000"/>
          <w:lang w:eastAsia="zh-CN"/>
        </w:rPr>
        <w:t>标准化组织、论坛及协会</w:t>
      </w:r>
      <w:r>
        <w:rPr>
          <w:rFonts w:hint="eastAsia"/>
          <w:color w:val="000000"/>
          <w:lang w:eastAsia="zh-CN"/>
        </w:rPr>
        <w:t>等其他相关机构的</w:t>
      </w:r>
      <w:r>
        <w:rPr>
          <w:color w:val="000000"/>
          <w:lang w:eastAsia="zh-CN"/>
        </w:rPr>
        <w:t>协调</w:t>
      </w:r>
      <w:r>
        <w:rPr>
          <w:rFonts w:hint="eastAsia"/>
          <w:color w:val="000000"/>
          <w:lang w:eastAsia="zh-CN"/>
        </w:rPr>
        <w:t>与协作；</w:t>
      </w:r>
    </w:p>
    <w:p w14:paraId="5D8DCEEF" w14:textId="684999FB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FF0EFF">
        <w:rPr>
          <w:lang w:eastAsia="zh-CN"/>
        </w:rPr>
        <w:t>•</w:t>
      </w:r>
      <w:r w:rsidRPr="00FF0EFF">
        <w:rPr>
          <w:lang w:eastAsia="zh-CN"/>
        </w:rPr>
        <w:tab/>
      </w:r>
      <w:r w:rsidR="00FB3D65">
        <w:rPr>
          <w:lang w:eastAsia="zh-CN"/>
        </w:rPr>
        <w:t>参见</w:t>
      </w:r>
      <w:hyperlink r:id="rId18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0F28DA">
        <w:rPr>
          <w:lang w:eastAsia="zh-CN"/>
        </w:rPr>
        <w:t>3.2.3</w:t>
      </w:r>
      <w:r w:rsidR="00841879">
        <w:rPr>
          <w:rFonts w:hint="eastAsia"/>
          <w:lang w:eastAsia="zh-CN"/>
        </w:rPr>
        <w:t>和</w:t>
      </w:r>
      <w:r w:rsidR="00841879" w:rsidRPr="000F28DA">
        <w:rPr>
          <w:lang w:eastAsia="zh-CN"/>
        </w:rPr>
        <w:t>3.2.7</w:t>
      </w:r>
      <w:r w:rsidR="00841879">
        <w:rPr>
          <w:rFonts w:hint="eastAsia"/>
          <w:lang w:eastAsia="zh-CN"/>
        </w:rPr>
        <w:t>节。</w:t>
      </w:r>
    </w:p>
    <w:p w14:paraId="086D5D06" w14:textId="29A27DDA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lastRenderedPageBreak/>
        <w:t>1j</w:t>
      </w:r>
      <w:r w:rsidRPr="00A53DAA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就财务和其他问题向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主任提出建议；</w:t>
      </w:r>
    </w:p>
    <w:p w14:paraId="60004799" w14:textId="3E120F11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CC49FF">
        <w:rPr>
          <w:lang w:eastAsia="zh-CN"/>
        </w:rPr>
        <w:t>•</w:t>
      </w:r>
      <w:r w:rsidRPr="00CC49FF">
        <w:rPr>
          <w:lang w:eastAsia="zh-CN"/>
        </w:rPr>
        <w:tab/>
      </w:r>
      <w:r w:rsidR="00FB3D65">
        <w:rPr>
          <w:lang w:eastAsia="zh-CN"/>
        </w:rPr>
        <w:t>参见</w:t>
      </w:r>
      <w:hyperlink r:id="rId19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CC49FF">
        <w:rPr>
          <w:lang w:eastAsia="zh-CN"/>
        </w:rPr>
        <w:t>3.2.4</w:t>
      </w:r>
      <w:r w:rsidR="00841879">
        <w:rPr>
          <w:rFonts w:hint="eastAsia"/>
          <w:lang w:eastAsia="zh-CN"/>
        </w:rPr>
        <w:t>节。</w:t>
      </w:r>
    </w:p>
    <w:p w14:paraId="66966C05" w14:textId="76ABE8D1" w:rsidR="00A53DAA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1k</w:t>
      </w:r>
      <w:r w:rsidRPr="00A53DAA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14:paraId="64FD0BA5" w14:textId="43FAB5E1" w:rsidR="00A53DAA" w:rsidRPr="00812295" w:rsidRDefault="00A53DAA" w:rsidP="00A53DAA">
      <w:pPr>
        <w:pStyle w:val="enumlev3"/>
        <w:rPr>
          <w:highlight w:val="yellow"/>
          <w:lang w:eastAsia="zh-CN"/>
        </w:rPr>
      </w:pPr>
      <w:r w:rsidRPr="00382E96">
        <w:rPr>
          <w:lang w:eastAsia="zh-CN"/>
        </w:rPr>
        <w:t>•</w:t>
      </w:r>
      <w:r w:rsidRPr="00382E96">
        <w:rPr>
          <w:lang w:eastAsia="zh-CN"/>
        </w:rPr>
        <w:tab/>
      </w:r>
      <w:r w:rsidR="00FB3D65">
        <w:rPr>
          <w:lang w:eastAsia="zh-CN"/>
        </w:rPr>
        <w:t>参见</w:t>
      </w:r>
      <w:hyperlink r:id="rId20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382E96">
        <w:rPr>
          <w:lang w:eastAsia="zh-CN"/>
        </w:rPr>
        <w:t>3.2.7</w:t>
      </w:r>
      <w:r w:rsidR="00841879">
        <w:rPr>
          <w:rFonts w:hint="eastAsia"/>
          <w:lang w:eastAsia="zh-CN"/>
        </w:rPr>
        <w:t>节。</w:t>
      </w:r>
    </w:p>
    <w:p w14:paraId="33BAE88A" w14:textId="565832B0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1l</w:t>
      </w:r>
      <w:r w:rsidRPr="00A53DAA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尽可能将发展中国家</w:t>
      </w:r>
      <w:r>
        <w:rPr>
          <w:rFonts w:hint="eastAsia"/>
          <w:lang w:eastAsia="zh-CN"/>
        </w:rPr>
        <w:t>（其中包括最不发达国家、小岛屿发展中国家、内陆发展中国家和经济转型国家）</w:t>
      </w:r>
      <w:r w:rsidRPr="00E04A5F">
        <w:rPr>
          <w:rFonts w:hint="eastAsia"/>
          <w:lang w:eastAsia="zh-CN"/>
        </w:rPr>
        <w:t>关心的课题组合在一起，以便于这些国家参与研究；</w:t>
      </w:r>
    </w:p>
    <w:p w14:paraId="6F60CFEF" w14:textId="01CA0813" w:rsidR="00A53DAA" w:rsidRPr="00D07136" w:rsidRDefault="00A53DAA" w:rsidP="00A53DAA">
      <w:pPr>
        <w:pStyle w:val="enumlev3"/>
        <w:rPr>
          <w:lang w:eastAsia="zh-CN"/>
        </w:rPr>
      </w:pPr>
      <w:r w:rsidRPr="00D07136">
        <w:rPr>
          <w:lang w:eastAsia="zh-CN"/>
        </w:rPr>
        <w:t>•</w:t>
      </w:r>
      <w:r w:rsidRPr="00D07136">
        <w:rPr>
          <w:lang w:eastAsia="zh-CN"/>
        </w:rPr>
        <w:tab/>
      </w:r>
      <w:r w:rsidR="00841879">
        <w:rPr>
          <w:rFonts w:hint="eastAsia"/>
          <w:lang w:eastAsia="zh-CN"/>
        </w:rPr>
        <w:t>仍在研究中。</w:t>
      </w:r>
    </w:p>
    <w:p w14:paraId="2477BF1D" w14:textId="388CFD9F" w:rsidR="00A53DAA" w:rsidRPr="00E04A5F" w:rsidRDefault="00A53DAA" w:rsidP="00A53DAA">
      <w:pPr>
        <w:pStyle w:val="enumlev2"/>
        <w:rPr>
          <w:lang w:eastAsia="zh-CN"/>
        </w:rPr>
      </w:pPr>
      <w:r w:rsidRPr="00A53DAA">
        <w:rPr>
          <w:lang w:eastAsia="zh-CN"/>
        </w:rPr>
        <w:t>1m</w:t>
      </w:r>
      <w:r w:rsidRPr="00A53DAA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研究解决世界电信标准化全会</w:t>
      </w:r>
      <w:r w:rsidRPr="00E04A5F">
        <w:rPr>
          <w:rFonts w:hint="eastAsia"/>
          <w:lang w:eastAsia="zh-CN"/>
        </w:rPr>
        <w:t>权限内的其他具体问题，但须采用本届全会第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节中的批准程序征得成员国的批准；</w:t>
      </w:r>
    </w:p>
    <w:p w14:paraId="63F1A235" w14:textId="0DCADF55" w:rsidR="00C72E10" w:rsidRPr="00812295" w:rsidRDefault="00C72E10" w:rsidP="00C72E10">
      <w:pPr>
        <w:pStyle w:val="enumlev3"/>
        <w:rPr>
          <w:highlight w:val="yellow"/>
          <w:lang w:eastAsia="zh-CN"/>
        </w:rPr>
      </w:pPr>
      <w:r w:rsidRPr="00382E96">
        <w:rPr>
          <w:lang w:eastAsia="zh-CN"/>
        </w:rPr>
        <w:t>•</w:t>
      </w:r>
      <w:r w:rsidRPr="00382E96">
        <w:rPr>
          <w:lang w:eastAsia="zh-CN"/>
        </w:rPr>
        <w:tab/>
      </w:r>
      <w:r w:rsidR="00FB3D65">
        <w:rPr>
          <w:lang w:eastAsia="zh-CN"/>
        </w:rPr>
        <w:t>参见</w:t>
      </w:r>
      <w:r w:rsidR="00841879">
        <w:rPr>
          <w:rFonts w:hint="eastAsia"/>
          <w:lang w:eastAsia="zh-CN"/>
        </w:rPr>
        <w:t>第</w:t>
      </w:r>
      <w:hyperlink r:id="rId21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>
        <w:rPr>
          <w:lang w:eastAsia="zh-CN"/>
        </w:rPr>
        <w:t>3.2.1</w:t>
      </w:r>
      <w:r w:rsidR="00841879">
        <w:rPr>
          <w:rFonts w:hint="eastAsia"/>
          <w:lang w:eastAsia="zh-CN"/>
        </w:rPr>
        <w:t>和</w:t>
      </w:r>
      <w:r w:rsidR="00841879">
        <w:rPr>
          <w:lang w:eastAsia="zh-CN"/>
        </w:rPr>
        <w:t>3.2.2</w:t>
      </w:r>
      <w:r w:rsidR="00841879">
        <w:rPr>
          <w:rFonts w:hint="eastAsia"/>
          <w:lang w:eastAsia="zh-CN"/>
        </w:rPr>
        <w:t>节。</w:t>
      </w:r>
    </w:p>
    <w:p w14:paraId="20EB923B" w14:textId="77777777" w:rsidR="00A53DAA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由</w:t>
      </w:r>
      <w:r w:rsidRPr="002C5BAE">
        <w:rPr>
          <w:lang w:eastAsia="zh-CN"/>
        </w:rPr>
        <w:t>TSAG</w:t>
      </w:r>
      <w:r w:rsidRPr="002C5BAE">
        <w:rPr>
          <w:rFonts w:hint="eastAsia"/>
          <w:lang w:eastAsia="zh-CN"/>
        </w:rPr>
        <w:t>审查</w:t>
      </w:r>
      <w:r>
        <w:rPr>
          <w:rFonts w:hint="eastAsia"/>
          <w:lang w:eastAsia="zh-CN"/>
        </w:rPr>
        <w:t>年度运作规划以</w:t>
      </w:r>
      <w:r>
        <w:rPr>
          <w:lang w:eastAsia="zh-CN"/>
        </w:rPr>
        <w:t>及包含</w:t>
      </w:r>
      <w:r>
        <w:rPr>
          <w:lang w:eastAsia="zh-CN"/>
        </w:rPr>
        <w:t>WTSA</w:t>
      </w:r>
      <w:r>
        <w:rPr>
          <w:lang w:eastAsia="zh-CN"/>
        </w:rPr>
        <w:t>各项决议的</w:t>
      </w:r>
      <w:r>
        <w:rPr>
          <w:lang w:eastAsia="zh-CN"/>
        </w:rPr>
        <w:t>WTSA-16</w:t>
      </w:r>
      <w:r>
        <w:rPr>
          <w:rFonts w:hint="eastAsia"/>
          <w:lang w:eastAsia="zh-CN"/>
        </w:rPr>
        <w:t>行动</w:t>
      </w:r>
      <w:r>
        <w:rPr>
          <w:lang w:eastAsia="zh-CN"/>
        </w:rPr>
        <w:t>计划</w:t>
      </w:r>
      <w:r>
        <w:rPr>
          <w:rFonts w:hint="eastAsia"/>
          <w:lang w:eastAsia="zh-CN"/>
        </w:rPr>
        <w:t>所反映出的各项</w:t>
      </w:r>
      <w:r>
        <w:rPr>
          <w:lang w:eastAsia="zh-CN"/>
        </w:rPr>
        <w:t>行动</w:t>
      </w:r>
      <w:r>
        <w:rPr>
          <w:rFonts w:hint="eastAsia"/>
          <w:lang w:eastAsia="zh-CN"/>
        </w:rPr>
        <w:t>和</w:t>
      </w:r>
      <w:r>
        <w:rPr>
          <w:lang w:eastAsia="zh-CN"/>
        </w:rPr>
        <w:t>目标的</w:t>
      </w:r>
      <w:r>
        <w:rPr>
          <w:rFonts w:hint="eastAsia"/>
          <w:lang w:eastAsia="zh-CN"/>
        </w:rPr>
        <w:t>落实</w:t>
      </w:r>
      <w:r>
        <w:rPr>
          <w:lang w:eastAsia="zh-CN"/>
        </w:rPr>
        <w:t>情况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以确定可能的困难</w:t>
      </w:r>
      <w:r>
        <w:rPr>
          <w:rFonts w:hint="eastAsia"/>
          <w:lang w:eastAsia="zh-CN"/>
        </w:rPr>
        <w:t>，实施</w:t>
      </w:r>
      <w:r>
        <w:rPr>
          <w:lang w:eastAsia="zh-CN"/>
        </w:rPr>
        <w:t>关键要素可能</w:t>
      </w:r>
      <w:r>
        <w:rPr>
          <w:rFonts w:hint="eastAsia"/>
          <w:lang w:eastAsia="zh-CN"/>
        </w:rPr>
        <w:t>采用</w:t>
      </w:r>
      <w:r>
        <w:rPr>
          <w:lang w:eastAsia="zh-CN"/>
        </w:rPr>
        <w:t>的</w:t>
      </w:r>
      <w:r>
        <w:rPr>
          <w:rFonts w:hint="eastAsia"/>
          <w:lang w:eastAsia="zh-CN"/>
        </w:rPr>
        <w:t>战略</w:t>
      </w:r>
      <w:r>
        <w:rPr>
          <w:lang w:eastAsia="zh-CN"/>
        </w:rPr>
        <w:t>，并就此向电信标准化局主任提出解决方案</w:t>
      </w:r>
      <w:r>
        <w:rPr>
          <w:rFonts w:hint="eastAsia"/>
          <w:lang w:eastAsia="zh-CN"/>
        </w:rPr>
        <w:t>；</w:t>
      </w:r>
    </w:p>
    <w:p w14:paraId="6BB3474B" w14:textId="25F0D05C" w:rsidR="00C72E10" w:rsidRPr="00665B6D" w:rsidRDefault="00C72E10" w:rsidP="00C72E10">
      <w:pPr>
        <w:pStyle w:val="enumlev2"/>
        <w:rPr>
          <w:highlight w:val="yellow"/>
          <w:lang w:eastAsia="zh-CN"/>
        </w:rPr>
      </w:pPr>
      <w:r w:rsidRPr="00AB78BA">
        <w:rPr>
          <w:lang w:eastAsia="zh-CN"/>
        </w:rPr>
        <w:t>•</w:t>
      </w:r>
      <w:r w:rsidRPr="00AB78BA">
        <w:rPr>
          <w:lang w:eastAsia="zh-CN"/>
        </w:rPr>
        <w:tab/>
      </w:r>
      <w:r w:rsidR="00FB3D65">
        <w:rPr>
          <w:lang w:eastAsia="zh-CN"/>
        </w:rPr>
        <w:t>参见</w:t>
      </w:r>
      <w:r w:rsidR="00841879">
        <w:rPr>
          <w:rFonts w:hint="eastAsia"/>
          <w:lang w:eastAsia="zh-CN"/>
        </w:rPr>
        <w:t>第</w:t>
      </w:r>
      <w:hyperlink r:id="rId22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382E96">
        <w:rPr>
          <w:lang w:eastAsia="zh-CN"/>
        </w:rPr>
        <w:t>3.</w:t>
      </w:r>
      <w:r w:rsidR="00841879">
        <w:rPr>
          <w:lang w:eastAsia="zh-CN"/>
        </w:rPr>
        <w:t>4.3</w:t>
      </w:r>
      <w:r w:rsidR="00841879">
        <w:rPr>
          <w:rFonts w:hint="eastAsia"/>
          <w:lang w:eastAsia="zh-CN"/>
        </w:rPr>
        <w:t>节。</w:t>
      </w:r>
    </w:p>
    <w:p w14:paraId="08559AFB" w14:textId="77777777" w:rsidR="00A53DAA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3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以提议</w:t>
      </w:r>
      <w:r w:rsidRPr="00E04A5F">
        <w:rPr>
          <w:rFonts w:hint="eastAsia"/>
          <w:lang w:eastAsia="zh-CN"/>
        </w:rPr>
        <w:t>对《公约》第</w:t>
      </w:r>
      <w:r w:rsidRPr="00E04A5F">
        <w:rPr>
          <w:rFonts w:hint="eastAsia"/>
          <w:lang w:eastAsia="zh-CN"/>
        </w:rPr>
        <w:t>246D</w:t>
      </w:r>
      <w:r w:rsidRPr="00E04A5F">
        <w:rPr>
          <w:rFonts w:hint="eastAsia"/>
          <w:lang w:eastAsia="zh-CN"/>
        </w:rPr>
        <w:t>、第</w:t>
      </w:r>
      <w:r w:rsidRPr="00E04A5F">
        <w:rPr>
          <w:rFonts w:hint="eastAsia"/>
          <w:lang w:eastAsia="zh-CN"/>
        </w:rPr>
        <w:t>246F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246H</w:t>
      </w:r>
      <w:r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之间征得成员国的批准；</w:t>
      </w:r>
    </w:p>
    <w:p w14:paraId="2A7D5038" w14:textId="536DABEC" w:rsidR="00C72E10" w:rsidRPr="0097356B" w:rsidRDefault="00C72E10" w:rsidP="00C72E10">
      <w:pPr>
        <w:pStyle w:val="enumlev2"/>
        <w:rPr>
          <w:lang w:eastAsia="zh-CN"/>
        </w:rPr>
      </w:pPr>
      <w:r w:rsidRPr="00CB23DE">
        <w:rPr>
          <w:lang w:eastAsia="zh-CN"/>
        </w:rPr>
        <w:t>•</w:t>
      </w:r>
      <w:r w:rsidRPr="00CB23DE">
        <w:rPr>
          <w:lang w:eastAsia="zh-CN"/>
        </w:rPr>
        <w:tab/>
      </w:r>
      <w:r w:rsidR="00841879">
        <w:rPr>
          <w:rFonts w:hint="eastAsia"/>
          <w:lang w:eastAsia="zh-CN"/>
        </w:rPr>
        <w:t>无需采取行动。</w:t>
      </w:r>
    </w:p>
    <w:p w14:paraId="572755D7" w14:textId="77777777" w:rsidR="00A53DAA" w:rsidRPr="00E04A5F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4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主任磋商，就所开展的活动与国际电联以外的组织进行联络；</w:t>
      </w:r>
    </w:p>
    <w:p w14:paraId="580F7CC6" w14:textId="41D4ECB1" w:rsidR="00C72E10" w:rsidRDefault="00C72E10" w:rsidP="00C72E10">
      <w:pPr>
        <w:pStyle w:val="enumlev2"/>
        <w:rPr>
          <w:highlight w:val="yellow"/>
          <w:lang w:eastAsia="zh-CN"/>
        </w:rPr>
      </w:pPr>
      <w:r w:rsidRPr="007E67D3">
        <w:rPr>
          <w:lang w:eastAsia="zh-CN"/>
        </w:rPr>
        <w:t>•</w:t>
      </w:r>
      <w:r w:rsidRPr="007E67D3">
        <w:rPr>
          <w:lang w:eastAsia="zh-CN"/>
        </w:rPr>
        <w:tab/>
      </w:r>
      <w:r w:rsidR="00FB3D65">
        <w:rPr>
          <w:lang w:eastAsia="zh-CN"/>
        </w:rPr>
        <w:t>参见</w:t>
      </w:r>
      <w:hyperlink r:id="rId23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1E5A06">
        <w:rPr>
          <w:rFonts w:hint="eastAsia"/>
          <w:lang w:eastAsia="zh-CN"/>
        </w:rPr>
        <w:t>第</w:t>
      </w:r>
      <w:r w:rsidR="001E5A06" w:rsidRPr="00382E96">
        <w:rPr>
          <w:lang w:eastAsia="zh-CN"/>
        </w:rPr>
        <w:t>3.</w:t>
      </w:r>
      <w:r w:rsidR="001E5A06">
        <w:rPr>
          <w:lang w:eastAsia="zh-CN"/>
        </w:rPr>
        <w:t>2.3</w:t>
      </w:r>
      <w:r w:rsidR="001E5A06">
        <w:rPr>
          <w:rFonts w:hint="eastAsia"/>
          <w:lang w:eastAsia="zh-CN"/>
        </w:rPr>
        <w:t>节。</w:t>
      </w:r>
    </w:p>
    <w:p w14:paraId="1B14FDF6" w14:textId="77777777" w:rsidR="00A53DAA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5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应考虑市场需要以及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尚未考虑制定标准的新兴技术对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任命其正副主席；</w:t>
      </w:r>
    </w:p>
    <w:p w14:paraId="01421F0C" w14:textId="5A08A5E8" w:rsidR="00C72E10" w:rsidRPr="004138A9" w:rsidRDefault="00C72E10" w:rsidP="00C72E10">
      <w:pPr>
        <w:pStyle w:val="enumlev2"/>
        <w:rPr>
          <w:lang w:eastAsia="zh-CN"/>
        </w:rPr>
      </w:pPr>
      <w:r w:rsidRPr="004138A9">
        <w:rPr>
          <w:lang w:eastAsia="zh-CN"/>
        </w:rPr>
        <w:t>•</w:t>
      </w:r>
      <w:r w:rsidRPr="004138A9">
        <w:rPr>
          <w:lang w:eastAsia="zh-CN"/>
        </w:rPr>
        <w:tab/>
      </w:r>
      <w:r w:rsidR="00FB3D65">
        <w:rPr>
          <w:lang w:eastAsia="zh-CN"/>
        </w:rPr>
        <w:t>参见</w:t>
      </w:r>
      <w:hyperlink r:id="rId24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4138A9">
        <w:rPr>
          <w:lang w:eastAsia="zh-CN"/>
        </w:rPr>
        <w:t>2</w:t>
      </w:r>
      <w:r w:rsidR="00841879">
        <w:rPr>
          <w:rFonts w:hint="eastAsia"/>
          <w:lang w:eastAsia="zh-CN"/>
        </w:rPr>
        <w:t>和</w:t>
      </w:r>
      <w:r w:rsidR="00841879" w:rsidRPr="004138A9">
        <w:rPr>
          <w:lang w:eastAsia="zh-CN"/>
        </w:rPr>
        <w:t>3.2.5</w:t>
      </w:r>
      <w:r w:rsidR="00841879">
        <w:rPr>
          <w:rFonts w:hint="eastAsia"/>
          <w:lang w:eastAsia="zh-CN"/>
        </w:rPr>
        <w:t>节。</w:t>
      </w:r>
    </w:p>
    <w:p w14:paraId="0F5F8C94" w14:textId="77777777" w:rsidR="00A53DAA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color w:val="000000"/>
          <w:lang w:eastAsia="zh-CN"/>
        </w:rPr>
        <w:t>TSAG</w:t>
      </w:r>
      <w:r>
        <w:rPr>
          <w:color w:val="000000"/>
          <w:lang w:eastAsia="zh-CN"/>
        </w:rPr>
        <w:t>通过确定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活动领域内的主要技术发展趋势以及市场、经济和政策需求的方式研究并协调</w:t>
      </w:r>
      <w:r>
        <w:rPr>
          <w:rFonts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ITU-T</w:t>
      </w:r>
      <w:r>
        <w:rPr>
          <w:rFonts w:hint="eastAsia"/>
          <w:color w:val="000000"/>
          <w:lang w:eastAsia="zh-CN"/>
        </w:rPr>
        <w:t>职</w:t>
      </w:r>
      <w:r>
        <w:rPr>
          <w:color w:val="000000"/>
          <w:lang w:eastAsia="zh-CN"/>
        </w:rPr>
        <w:t>责相关的标准化工作战略，</w:t>
      </w:r>
      <w:r>
        <w:rPr>
          <w:rFonts w:hint="eastAsia"/>
          <w:color w:val="000000"/>
          <w:lang w:eastAsia="zh-CN"/>
        </w:rPr>
        <w:t>同时</w:t>
      </w:r>
      <w:r>
        <w:rPr>
          <w:color w:val="000000"/>
          <w:lang w:eastAsia="zh-CN"/>
        </w:rPr>
        <w:t>确</w:t>
      </w:r>
      <w:r>
        <w:rPr>
          <w:rFonts w:hint="eastAsia"/>
          <w:color w:val="000000"/>
          <w:lang w:eastAsia="zh-CN"/>
        </w:rPr>
        <w:t>定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从标准化战略角度考虑的议题和问</w:t>
      </w:r>
      <w:r>
        <w:rPr>
          <w:rFonts w:ascii="SimSun" w:hAnsi="SimSun" w:cs="SimSun" w:hint="eastAsia"/>
          <w:color w:val="000000"/>
          <w:lang w:eastAsia="zh-CN"/>
        </w:rPr>
        <w:t>题；</w:t>
      </w:r>
    </w:p>
    <w:p w14:paraId="25D98C39" w14:textId="7525FABA" w:rsidR="00C72E10" w:rsidRPr="004138A9" w:rsidRDefault="00C72E10" w:rsidP="00C72E10">
      <w:pPr>
        <w:pStyle w:val="enumlev2"/>
        <w:rPr>
          <w:lang w:eastAsia="zh-CN"/>
        </w:rPr>
      </w:pPr>
      <w:r w:rsidRPr="004138A9">
        <w:rPr>
          <w:lang w:eastAsia="zh-CN"/>
        </w:rPr>
        <w:t>•</w:t>
      </w:r>
      <w:r w:rsidRPr="004138A9">
        <w:rPr>
          <w:lang w:eastAsia="zh-CN"/>
        </w:rPr>
        <w:tab/>
      </w:r>
      <w:r w:rsidR="00FB3D65">
        <w:rPr>
          <w:lang w:eastAsia="zh-CN"/>
        </w:rPr>
        <w:t>参见</w:t>
      </w:r>
      <w:hyperlink r:id="rId25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4138A9">
        <w:rPr>
          <w:lang w:eastAsia="zh-CN"/>
        </w:rPr>
        <w:t>2</w:t>
      </w:r>
      <w:r w:rsidR="00841879">
        <w:rPr>
          <w:rFonts w:hint="eastAsia"/>
          <w:lang w:eastAsia="zh-CN"/>
        </w:rPr>
        <w:t>和</w:t>
      </w:r>
      <w:r w:rsidR="00841879" w:rsidRPr="004138A9">
        <w:rPr>
          <w:lang w:eastAsia="zh-CN"/>
        </w:rPr>
        <w:t>3.2.5</w:t>
      </w:r>
      <w:r w:rsidR="00841879">
        <w:rPr>
          <w:rFonts w:hint="eastAsia"/>
          <w:lang w:eastAsia="zh-CN"/>
        </w:rPr>
        <w:t>节</w:t>
      </w:r>
      <w:r w:rsidR="001472D7">
        <w:rPr>
          <w:rFonts w:hint="eastAsia"/>
          <w:lang w:eastAsia="zh-CN"/>
        </w:rPr>
        <w:t>。</w:t>
      </w:r>
    </w:p>
    <w:p w14:paraId="5FA0C4CF" w14:textId="77777777" w:rsidR="00A53DAA" w:rsidRPr="00E04A5F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7</w:t>
      </w:r>
      <w:r w:rsidRPr="00F90782">
        <w:rPr>
          <w:lang w:eastAsia="zh-CN"/>
        </w:rPr>
        <w:tab/>
      </w:r>
      <w:r>
        <w:rPr>
          <w:color w:val="000000"/>
          <w:lang w:eastAsia="zh-CN"/>
        </w:rPr>
        <w:t>TSAG</w:t>
      </w:r>
      <w:r>
        <w:rPr>
          <w:color w:val="000000"/>
          <w:lang w:eastAsia="zh-CN"/>
        </w:rPr>
        <w:t>建立有助于标准化战略的适当机制，例如，分配课题、协调各研究组的工作或成立协调组或其他组，以及</w:t>
      </w:r>
      <w:r w:rsidRPr="002C5BAE">
        <w:rPr>
          <w:rFonts w:hint="eastAsia"/>
          <w:color w:val="000000"/>
          <w:lang w:eastAsia="zh-CN"/>
        </w:rPr>
        <w:t>任命</w:t>
      </w:r>
      <w:r>
        <w:rPr>
          <w:color w:val="000000"/>
          <w:lang w:eastAsia="zh-CN"/>
        </w:rPr>
        <w:t>其正副主</w:t>
      </w:r>
      <w:r>
        <w:rPr>
          <w:rFonts w:ascii="SimSun" w:hAnsi="SimSun" w:cs="SimSun" w:hint="eastAsia"/>
          <w:color w:val="000000"/>
          <w:lang w:eastAsia="zh-CN"/>
        </w:rPr>
        <w:t>席；</w:t>
      </w:r>
    </w:p>
    <w:p w14:paraId="3DE367A3" w14:textId="10F751D1" w:rsidR="00C72E10" w:rsidRPr="00323E08" w:rsidRDefault="00C72E10" w:rsidP="00C72E10">
      <w:pPr>
        <w:pStyle w:val="enumlev2"/>
        <w:rPr>
          <w:lang w:eastAsia="zh-CN"/>
        </w:rPr>
      </w:pPr>
      <w:r w:rsidRPr="00323E08">
        <w:rPr>
          <w:lang w:eastAsia="zh-CN"/>
        </w:rPr>
        <w:t>•</w:t>
      </w:r>
      <w:r w:rsidRPr="00323E08">
        <w:rPr>
          <w:lang w:eastAsia="zh-CN"/>
        </w:rPr>
        <w:tab/>
      </w:r>
      <w:r w:rsidR="00FB3D65">
        <w:rPr>
          <w:lang w:eastAsia="zh-CN"/>
        </w:rPr>
        <w:t>参见</w:t>
      </w:r>
      <w:hyperlink r:id="rId26" w:history="1">
        <w:r w:rsidR="003344A8">
          <w:rPr>
            <w:rStyle w:val="Hyperlink"/>
            <w:lang w:eastAsia="zh-CN"/>
          </w:rPr>
          <w:t>23</w:t>
        </w:r>
        <w:r w:rsidR="003344A8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3344A8">
        <w:rPr>
          <w:lang w:eastAsia="zh-CN"/>
        </w:rPr>
        <w:t>TSAG</w:t>
      </w:r>
      <w:r w:rsidR="003344A8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841879">
        <w:rPr>
          <w:rFonts w:hint="eastAsia"/>
          <w:lang w:eastAsia="zh-CN"/>
        </w:rPr>
        <w:t>第</w:t>
      </w:r>
      <w:r w:rsidR="00841879" w:rsidRPr="004138A9">
        <w:rPr>
          <w:lang w:eastAsia="zh-CN"/>
        </w:rPr>
        <w:t>2</w:t>
      </w:r>
      <w:r w:rsidR="00841879">
        <w:rPr>
          <w:rFonts w:hint="eastAsia"/>
          <w:lang w:eastAsia="zh-CN"/>
        </w:rPr>
        <w:t>和</w:t>
      </w:r>
      <w:r w:rsidR="00841879" w:rsidRPr="004138A9">
        <w:rPr>
          <w:lang w:eastAsia="zh-CN"/>
        </w:rPr>
        <w:t>3.2.5</w:t>
      </w:r>
      <w:r w:rsidR="00841879">
        <w:rPr>
          <w:rFonts w:hint="eastAsia"/>
          <w:lang w:eastAsia="zh-CN"/>
        </w:rPr>
        <w:t>节。</w:t>
      </w:r>
    </w:p>
    <w:p w14:paraId="35AB1822" w14:textId="77777777" w:rsidR="00A53DAA" w:rsidRPr="00E04A5F" w:rsidRDefault="00A53DAA" w:rsidP="00A53DAA">
      <w:pPr>
        <w:pStyle w:val="enumlev1"/>
        <w:rPr>
          <w:lang w:eastAsia="zh-CN"/>
        </w:rPr>
      </w:pPr>
      <w:r>
        <w:rPr>
          <w:lang w:eastAsia="zh-CN"/>
        </w:rPr>
        <w:t>8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14:paraId="39D57D5E" w14:textId="29EA2E09" w:rsidR="00C72E10" w:rsidRPr="00323E08" w:rsidRDefault="00C72E10" w:rsidP="00C72E10">
      <w:pPr>
        <w:pStyle w:val="enumlev2"/>
        <w:rPr>
          <w:lang w:eastAsia="zh-CN"/>
        </w:rPr>
      </w:pPr>
      <w:r w:rsidRPr="00323E08">
        <w:rPr>
          <w:lang w:eastAsia="zh-CN"/>
        </w:rPr>
        <w:t>•</w:t>
      </w:r>
      <w:r w:rsidRPr="00323E08">
        <w:rPr>
          <w:lang w:eastAsia="zh-CN"/>
        </w:rPr>
        <w:tab/>
      </w:r>
      <w:r w:rsidR="00841879" w:rsidRPr="00841879">
        <w:rPr>
          <w:rFonts w:hint="eastAsia"/>
          <w:lang w:eastAsia="zh-CN"/>
        </w:rPr>
        <w:t>WTSA-16</w:t>
      </w:r>
      <w:r w:rsidR="00841879">
        <w:rPr>
          <w:rFonts w:hint="eastAsia"/>
          <w:lang w:eastAsia="zh-CN"/>
        </w:rPr>
        <w:t>审议</w:t>
      </w:r>
      <w:r w:rsidR="00841879" w:rsidRPr="00841879">
        <w:rPr>
          <w:rFonts w:hint="eastAsia"/>
          <w:lang w:eastAsia="zh-CN"/>
        </w:rPr>
        <w:t>了</w:t>
      </w:r>
      <w:r w:rsidR="00841879" w:rsidRPr="00841879">
        <w:rPr>
          <w:rFonts w:hint="eastAsia"/>
          <w:lang w:eastAsia="zh-CN"/>
        </w:rPr>
        <w:t>GSS-16</w:t>
      </w:r>
      <w:r w:rsidR="00841879" w:rsidRPr="00841879">
        <w:rPr>
          <w:rFonts w:hint="eastAsia"/>
          <w:lang w:eastAsia="zh-CN"/>
        </w:rPr>
        <w:t>的输入。</w:t>
      </w:r>
      <w:r w:rsidR="00841879" w:rsidRPr="00841879">
        <w:rPr>
          <w:rFonts w:hint="eastAsia"/>
          <w:lang w:eastAsia="zh-CN"/>
        </w:rPr>
        <w:t>TSAG</w:t>
      </w:r>
      <w:r w:rsidR="00841879" w:rsidRPr="00841879">
        <w:rPr>
          <w:rFonts w:hint="eastAsia"/>
          <w:lang w:eastAsia="zh-CN"/>
        </w:rPr>
        <w:t>无需采取任何行动。</w:t>
      </w:r>
    </w:p>
    <w:p w14:paraId="7FC9AF82" w14:textId="06422C7B" w:rsidR="00A53DAA" w:rsidRDefault="00A53DAA" w:rsidP="00D47EAE">
      <w:pPr>
        <w:pStyle w:val="enumlev1"/>
        <w:keepNext/>
        <w:rPr>
          <w:lang w:eastAsia="zh-CN"/>
        </w:rPr>
      </w:pPr>
      <w:r>
        <w:rPr>
          <w:lang w:eastAsia="zh-CN"/>
        </w:rPr>
        <w:lastRenderedPageBreak/>
        <w:t>9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>
        <w:rPr>
          <w:rFonts w:hint="eastAsia"/>
          <w:lang w:eastAsia="zh-CN"/>
        </w:rPr>
        <w:t>世界电信标准化全会</w:t>
      </w:r>
      <w:r w:rsidR="00A90958">
        <w:rPr>
          <w:rFonts w:hint="eastAsia"/>
          <w:lang w:eastAsia="zh-CN"/>
        </w:rPr>
        <w:t>；</w:t>
      </w:r>
      <w:bookmarkStart w:id="5" w:name="_GoBack"/>
      <w:bookmarkEnd w:id="5"/>
    </w:p>
    <w:p w14:paraId="2BAE9863" w14:textId="2B424F15" w:rsidR="00C72E10" w:rsidRPr="00841879" w:rsidRDefault="00C72E10" w:rsidP="00C72E10">
      <w:pPr>
        <w:pStyle w:val="enumlev2"/>
        <w:rPr>
          <w:szCs w:val="24"/>
          <w:lang w:val="fr-FR" w:eastAsia="zh-CN"/>
        </w:rPr>
      </w:pPr>
      <w:r w:rsidRPr="00841879">
        <w:rPr>
          <w:lang w:val="fr-FR" w:eastAsia="zh-CN"/>
        </w:rPr>
        <w:t>•</w:t>
      </w:r>
      <w:r w:rsidRPr="00841879">
        <w:rPr>
          <w:lang w:val="fr-FR" w:eastAsia="zh-CN"/>
        </w:rPr>
        <w:tab/>
      </w:r>
      <w:r w:rsidR="00841879">
        <w:rPr>
          <w:rFonts w:hint="eastAsia"/>
          <w:lang w:eastAsia="zh-CN"/>
        </w:rPr>
        <w:t>本文件。</w:t>
      </w:r>
    </w:p>
    <w:p w14:paraId="7F468EAF" w14:textId="65B34610" w:rsidR="005D1B25" w:rsidRDefault="00A53DAA" w:rsidP="005D1B25">
      <w:pPr>
        <w:pStyle w:val="enumlev1"/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bookmarkStart w:id="6" w:name="lt_pId111"/>
      <w:r w:rsidR="005D1B25">
        <w:rPr>
          <w:rFonts w:hint="eastAsia"/>
          <w:lang w:eastAsia="zh-CN"/>
        </w:rPr>
        <w:t>TSAG</w:t>
      </w:r>
      <w:r w:rsidR="005D1B25">
        <w:rPr>
          <w:rFonts w:hint="eastAsia"/>
          <w:lang w:eastAsia="zh-CN"/>
        </w:rPr>
        <w:t>向全会报告上届</w:t>
      </w:r>
      <w:r w:rsidR="005D1B25">
        <w:rPr>
          <w:rFonts w:hint="eastAsia"/>
          <w:lang w:eastAsia="zh-CN"/>
        </w:rPr>
        <w:t>WTSA</w:t>
      </w:r>
      <w:r w:rsidR="005D1B25">
        <w:rPr>
          <w:rFonts w:hint="eastAsia"/>
          <w:lang w:eastAsia="zh-CN"/>
        </w:rPr>
        <w:t>分配给</w:t>
      </w:r>
      <w:r w:rsidR="005D1B25">
        <w:rPr>
          <w:rFonts w:hint="eastAsia"/>
          <w:lang w:eastAsia="zh-CN"/>
        </w:rPr>
        <w:t>TSAG</w:t>
      </w:r>
      <w:r w:rsidR="005D1B25">
        <w:rPr>
          <w:rFonts w:hint="eastAsia"/>
          <w:lang w:eastAsia="zh-CN"/>
        </w:rPr>
        <w:t>的交办事项；</w:t>
      </w:r>
    </w:p>
    <w:p w14:paraId="24D97557" w14:textId="18E70967" w:rsidR="00A53DAA" w:rsidRDefault="00A264B5" w:rsidP="00A264B5">
      <w:pPr>
        <w:pStyle w:val="enumlev1"/>
        <w:rPr>
          <w:lang w:eastAsia="zh-CN"/>
        </w:rPr>
      </w:pPr>
      <w:bookmarkStart w:id="7" w:name="lt_pId112"/>
      <w:bookmarkEnd w:id="6"/>
      <w:r>
        <w:rPr>
          <w:lang w:eastAsia="zh-CN"/>
        </w:rPr>
        <w:tab/>
      </w:r>
      <w:r w:rsidR="005D1B25">
        <w:rPr>
          <w:rFonts w:hint="eastAsia"/>
          <w:lang w:eastAsia="zh-CN"/>
        </w:rPr>
        <w:t>WTSA-16</w:t>
      </w:r>
      <w:r w:rsidR="005D1B25">
        <w:rPr>
          <w:rFonts w:hint="eastAsia"/>
          <w:lang w:eastAsia="zh-CN"/>
        </w:rPr>
        <w:t>要求</w:t>
      </w:r>
      <w:r w:rsidR="005D1B25">
        <w:rPr>
          <w:rFonts w:hint="eastAsia"/>
          <w:lang w:eastAsia="zh-CN"/>
        </w:rPr>
        <w:t>TSAG</w:t>
      </w:r>
      <w:r w:rsidR="005D1B25">
        <w:rPr>
          <w:rFonts w:hint="eastAsia"/>
          <w:lang w:eastAsia="zh-CN"/>
        </w:rPr>
        <w:t>就四个问题采取后续行动：</w:t>
      </w:r>
      <w:bookmarkEnd w:id="7"/>
    </w:p>
    <w:p w14:paraId="45774F64" w14:textId="20461D60" w:rsidR="00A53DAA" w:rsidRPr="00C72E10" w:rsidRDefault="000A7255" w:rsidP="000A7255">
      <w:pPr>
        <w:pStyle w:val="enumlev2"/>
        <w:rPr>
          <w:lang w:eastAsia="zh-CN"/>
        </w:rPr>
      </w:pPr>
      <w:bookmarkStart w:id="8" w:name="lt_pId113"/>
      <w:r>
        <w:rPr>
          <w:lang w:eastAsia="zh-CN"/>
        </w:rPr>
        <w:t>•</w:t>
      </w:r>
      <w:r>
        <w:rPr>
          <w:lang w:eastAsia="zh-CN"/>
        </w:rPr>
        <w:tab/>
      </w:r>
      <w:r w:rsidR="005D1B25" w:rsidRPr="005D1B25">
        <w:rPr>
          <w:rFonts w:hint="eastAsia"/>
          <w:lang w:eastAsia="zh-CN"/>
        </w:rPr>
        <w:t>为用于非规范性案文的“同意”寻求定义</w:t>
      </w:r>
      <w:r w:rsidR="005D1B25">
        <w:rPr>
          <w:rFonts w:hint="eastAsia"/>
          <w:lang w:eastAsia="zh-CN"/>
        </w:rPr>
        <w:t>（</w:t>
      </w:r>
      <w:r w:rsidR="005D1B25" w:rsidRPr="005D1B25">
        <w:rPr>
          <w:rFonts w:hint="eastAsia"/>
          <w:lang w:eastAsia="zh-CN"/>
        </w:rPr>
        <w:t>WTSA-16</w:t>
      </w:r>
      <w:r w:rsidR="005D1B25" w:rsidRPr="005D1B25">
        <w:rPr>
          <w:rFonts w:hint="eastAsia"/>
          <w:lang w:eastAsia="zh-CN"/>
        </w:rPr>
        <w:t>会议录</w:t>
      </w:r>
      <w:r w:rsidR="005D1B25">
        <w:rPr>
          <w:rFonts w:hint="eastAsia"/>
          <w:lang w:eastAsia="zh-CN"/>
        </w:rPr>
        <w:t>第</w:t>
      </w:r>
      <w:r w:rsidR="005D1B25">
        <w:rPr>
          <w:rFonts w:hint="eastAsia"/>
          <w:lang w:eastAsia="zh-CN"/>
        </w:rPr>
        <w:t>5</w:t>
      </w:r>
      <w:r w:rsidR="005D1B25">
        <w:rPr>
          <w:lang w:eastAsia="zh-CN"/>
        </w:rPr>
        <w:t>.4</w:t>
      </w:r>
      <w:r w:rsidR="005D1B25">
        <w:rPr>
          <w:rFonts w:hint="eastAsia"/>
          <w:lang w:eastAsia="zh-CN"/>
        </w:rPr>
        <w:t>节）；</w:t>
      </w:r>
      <w:bookmarkEnd w:id="8"/>
    </w:p>
    <w:p w14:paraId="0D2D7F6E" w14:textId="2CA83EE6" w:rsidR="00A53DAA" w:rsidRDefault="000A7255" w:rsidP="000A7255">
      <w:pPr>
        <w:pStyle w:val="enumlev2"/>
        <w:rPr>
          <w:lang w:eastAsia="zh-CN"/>
        </w:rPr>
      </w:pPr>
      <w:bookmarkStart w:id="9" w:name="lt_pId114"/>
      <w:r>
        <w:rPr>
          <w:lang w:eastAsia="zh-CN"/>
        </w:rPr>
        <w:t>•</w:t>
      </w:r>
      <w:r>
        <w:rPr>
          <w:lang w:eastAsia="zh-CN"/>
        </w:rPr>
        <w:tab/>
      </w:r>
      <w:r w:rsidR="00C72E10" w:rsidRPr="00CB1F8D">
        <w:rPr>
          <w:rFonts w:hint="eastAsia"/>
          <w:lang w:eastAsia="zh-CN"/>
        </w:rPr>
        <w:t>全面</w:t>
      </w:r>
      <w:r w:rsidR="00C72E10" w:rsidRPr="00CB1F8D">
        <w:rPr>
          <w:lang w:eastAsia="zh-CN"/>
        </w:rPr>
        <w:t>审议第</w:t>
      </w:r>
      <w:r w:rsidR="00C72E10" w:rsidRPr="00CB1F8D">
        <w:rPr>
          <w:rFonts w:hint="eastAsia"/>
          <w:lang w:eastAsia="zh-CN"/>
        </w:rPr>
        <w:t>1</w:t>
      </w:r>
      <w:r w:rsidR="00C72E10" w:rsidRPr="00CB1F8D">
        <w:rPr>
          <w:rFonts w:hint="eastAsia"/>
          <w:lang w:eastAsia="zh-CN"/>
        </w:rPr>
        <w:t>号</w:t>
      </w:r>
      <w:r w:rsidR="00C72E10" w:rsidRPr="00CB1F8D">
        <w:rPr>
          <w:lang w:eastAsia="zh-CN"/>
        </w:rPr>
        <w:t>决议、</w:t>
      </w:r>
      <w:r w:rsidR="00C72E10" w:rsidRPr="00CB1F8D">
        <w:rPr>
          <w:lang w:eastAsia="zh-CN"/>
        </w:rPr>
        <w:t>ITU-T A.1</w:t>
      </w:r>
      <w:r w:rsidR="00C72E10" w:rsidRPr="00CB1F8D">
        <w:rPr>
          <w:rFonts w:hint="eastAsia"/>
          <w:lang w:eastAsia="zh-CN"/>
        </w:rPr>
        <w:t>建议书和</w:t>
      </w:r>
      <w:r w:rsidR="00C72E10" w:rsidRPr="00CB1F8D">
        <w:rPr>
          <w:lang w:eastAsia="zh-CN"/>
        </w:rPr>
        <w:t>ITU-T A.13</w:t>
      </w:r>
      <w:r w:rsidR="00C72E10" w:rsidRPr="00CB1F8D">
        <w:rPr>
          <w:rFonts w:hint="eastAsia"/>
          <w:lang w:eastAsia="zh-CN"/>
        </w:rPr>
        <w:t>建议</w:t>
      </w:r>
      <w:r w:rsidR="00C72E10" w:rsidRPr="00CB1F8D">
        <w:rPr>
          <w:lang w:eastAsia="zh-CN"/>
        </w:rPr>
        <w:t>书的文件制定和批准程序并向</w:t>
      </w:r>
      <w:r w:rsidR="00C72E10" w:rsidRPr="00CB1F8D">
        <w:rPr>
          <w:rFonts w:hint="eastAsia"/>
          <w:lang w:eastAsia="zh-CN"/>
        </w:rPr>
        <w:t>下届</w:t>
      </w:r>
      <w:r w:rsidR="00C72E10" w:rsidRPr="00CB1F8D">
        <w:rPr>
          <w:lang w:eastAsia="zh-CN"/>
        </w:rPr>
        <w:t>全会提交提案</w:t>
      </w:r>
      <w:r w:rsidR="005D1B25">
        <w:rPr>
          <w:rFonts w:hint="eastAsia"/>
          <w:lang w:eastAsia="zh-CN"/>
        </w:rPr>
        <w:t>（</w:t>
      </w:r>
      <w:r w:rsidR="005D1B25" w:rsidRPr="005D1B25">
        <w:rPr>
          <w:rFonts w:hint="eastAsia"/>
          <w:lang w:eastAsia="zh-CN"/>
        </w:rPr>
        <w:t>WTSA-16</w:t>
      </w:r>
      <w:r w:rsidR="005D1B25" w:rsidRPr="005D1B25">
        <w:rPr>
          <w:rFonts w:hint="eastAsia"/>
          <w:lang w:eastAsia="zh-CN"/>
        </w:rPr>
        <w:t>会议录</w:t>
      </w:r>
      <w:r w:rsidR="005D1B25">
        <w:rPr>
          <w:rFonts w:hint="eastAsia"/>
          <w:lang w:eastAsia="zh-CN"/>
        </w:rPr>
        <w:t>第</w:t>
      </w:r>
      <w:r w:rsidR="005D1B25">
        <w:rPr>
          <w:rFonts w:hint="eastAsia"/>
          <w:lang w:eastAsia="zh-CN"/>
        </w:rPr>
        <w:t>5</w:t>
      </w:r>
      <w:r w:rsidR="005D1B25">
        <w:rPr>
          <w:lang w:eastAsia="zh-CN"/>
        </w:rPr>
        <w:t>.4</w:t>
      </w:r>
      <w:r w:rsidR="005D1B25">
        <w:rPr>
          <w:rFonts w:hint="eastAsia"/>
          <w:lang w:eastAsia="zh-CN"/>
        </w:rPr>
        <w:t>节）</w:t>
      </w:r>
      <w:r w:rsidR="00653F97">
        <w:rPr>
          <w:rFonts w:hint="eastAsia"/>
          <w:lang w:eastAsia="zh-CN"/>
        </w:rPr>
        <w:t>；</w:t>
      </w:r>
      <w:bookmarkEnd w:id="9"/>
    </w:p>
    <w:p w14:paraId="257E591B" w14:textId="711D1DAE" w:rsidR="00A53DAA" w:rsidRPr="00C72E10" w:rsidRDefault="000A7255" w:rsidP="000A7255">
      <w:pPr>
        <w:pStyle w:val="enumlev2"/>
        <w:rPr>
          <w:lang w:eastAsia="zh-CN"/>
        </w:rPr>
      </w:pPr>
      <w:bookmarkStart w:id="10" w:name="lt_pId115"/>
      <w:r>
        <w:rPr>
          <w:lang w:eastAsia="zh-CN"/>
        </w:rPr>
        <w:t>•</w:t>
      </w:r>
      <w:r>
        <w:rPr>
          <w:lang w:eastAsia="zh-CN"/>
        </w:rPr>
        <w:tab/>
      </w:r>
      <w:r w:rsidR="00A246D2" w:rsidRPr="00A246D2">
        <w:rPr>
          <w:rFonts w:hint="eastAsia"/>
          <w:lang w:eastAsia="zh-CN"/>
        </w:rPr>
        <w:t>进一步调查在</w:t>
      </w:r>
      <w:r w:rsidR="00A246D2" w:rsidRPr="00A246D2">
        <w:rPr>
          <w:rFonts w:hint="eastAsia"/>
          <w:lang w:eastAsia="zh-CN"/>
        </w:rPr>
        <w:t>ITU-T</w:t>
      </w:r>
      <w:r w:rsidR="00A246D2" w:rsidRPr="00A246D2">
        <w:rPr>
          <w:rFonts w:hint="eastAsia"/>
          <w:lang w:eastAsia="zh-CN"/>
        </w:rPr>
        <w:t>范围内制定非规范性案文并获同意的程序，同时将此问题作为紧急事宜处理</w:t>
      </w:r>
      <w:bookmarkEnd w:id="10"/>
      <w:r w:rsidR="00A246D2">
        <w:rPr>
          <w:rFonts w:hint="eastAsia"/>
          <w:lang w:eastAsia="zh-CN"/>
        </w:rPr>
        <w:t>（</w:t>
      </w:r>
      <w:r w:rsidR="00A246D2" w:rsidRPr="005D1B25">
        <w:rPr>
          <w:rFonts w:hint="eastAsia"/>
          <w:lang w:eastAsia="zh-CN"/>
        </w:rPr>
        <w:t>WTSA-16</w:t>
      </w:r>
      <w:r w:rsidR="00A246D2" w:rsidRPr="005D1B25">
        <w:rPr>
          <w:rFonts w:hint="eastAsia"/>
          <w:lang w:eastAsia="zh-CN"/>
        </w:rPr>
        <w:t>会议录</w:t>
      </w:r>
      <w:r w:rsidR="00A246D2">
        <w:rPr>
          <w:rFonts w:hint="eastAsia"/>
          <w:lang w:eastAsia="zh-CN"/>
        </w:rPr>
        <w:t>第</w:t>
      </w:r>
      <w:r w:rsidR="00A246D2">
        <w:rPr>
          <w:rFonts w:hint="eastAsia"/>
          <w:lang w:eastAsia="zh-CN"/>
        </w:rPr>
        <w:t>5</w:t>
      </w:r>
      <w:r w:rsidR="00A246D2">
        <w:rPr>
          <w:lang w:eastAsia="zh-CN"/>
        </w:rPr>
        <w:t>.4</w:t>
      </w:r>
      <w:r w:rsidR="00A246D2">
        <w:rPr>
          <w:rFonts w:hint="eastAsia"/>
          <w:lang w:eastAsia="zh-CN"/>
        </w:rPr>
        <w:t>节）；以及</w:t>
      </w:r>
    </w:p>
    <w:p w14:paraId="7B2D38D9" w14:textId="0B04A853" w:rsidR="00A53DAA" w:rsidRPr="00C72E10" w:rsidRDefault="000A7255" w:rsidP="000A7255">
      <w:pPr>
        <w:pStyle w:val="enumlev2"/>
        <w:rPr>
          <w:lang w:eastAsia="zh-CN"/>
        </w:rPr>
      </w:pPr>
      <w:bookmarkStart w:id="11" w:name="lt_pId116"/>
      <w:r w:rsidRPr="00D83ABA">
        <w:rPr>
          <w:lang w:eastAsia="zh-CN"/>
        </w:rPr>
        <w:t>•</w:t>
      </w:r>
      <w:r w:rsidRPr="00D83ABA">
        <w:rPr>
          <w:lang w:eastAsia="zh-CN"/>
        </w:rPr>
        <w:tab/>
      </w:r>
      <w:r w:rsidR="00A246D2" w:rsidRPr="00D83ABA">
        <w:rPr>
          <w:rFonts w:hint="eastAsia"/>
          <w:lang w:eastAsia="zh-CN"/>
        </w:rPr>
        <w:t>在制定提交</w:t>
      </w:r>
      <w:r w:rsidR="00A246D2" w:rsidRPr="00D83ABA">
        <w:rPr>
          <w:rFonts w:hint="eastAsia"/>
          <w:lang w:eastAsia="zh-CN"/>
        </w:rPr>
        <w:t>WTSA-20</w:t>
      </w:r>
      <w:r w:rsidR="00A246D2" w:rsidRPr="00D83ABA">
        <w:rPr>
          <w:rFonts w:hint="eastAsia"/>
          <w:lang w:eastAsia="zh-CN"/>
        </w:rPr>
        <w:t>审议或纳入</w:t>
      </w:r>
      <w:r w:rsidR="00A246D2" w:rsidRPr="00D83ABA">
        <w:rPr>
          <w:rFonts w:hint="eastAsia"/>
          <w:lang w:eastAsia="zh-CN"/>
        </w:rPr>
        <w:t>ITU-T A.1</w:t>
      </w:r>
      <w:r w:rsidR="00A246D2" w:rsidRPr="00D83ABA">
        <w:rPr>
          <w:rFonts w:hint="eastAsia"/>
          <w:lang w:eastAsia="zh-CN"/>
        </w:rPr>
        <w:t>建议书中的</w:t>
      </w:r>
      <w:r w:rsidR="00A246D2" w:rsidRPr="00D83ABA">
        <w:rPr>
          <w:rFonts w:hint="eastAsia"/>
          <w:lang w:eastAsia="zh-CN"/>
        </w:rPr>
        <w:t>WTSA</w:t>
      </w:r>
      <w:r w:rsidR="00A246D2" w:rsidRPr="00D83ABA">
        <w:rPr>
          <w:rFonts w:hint="eastAsia"/>
          <w:lang w:eastAsia="zh-CN"/>
        </w:rPr>
        <w:t>第</w:t>
      </w:r>
      <w:r w:rsidR="00A246D2" w:rsidRPr="00D83ABA">
        <w:rPr>
          <w:rFonts w:hint="eastAsia"/>
          <w:lang w:eastAsia="zh-CN"/>
        </w:rPr>
        <w:t>1</w:t>
      </w:r>
      <w:r w:rsidR="00A246D2" w:rsidRPr="00D83ABA">
        <w:rPr>
          <w:rFonts w:hint="eastAsia"/>
          <w:lang w:eastAsia="zh-CN"/>
        </w:rPr>
        <w:t>号决议修订草案时，将</w:t>
      </w:r>
      <w:r w:rsidR="00A246D2" w:rsidRPr="00D83ABA">
        <w:rPr>
          <w:rFonts w:hint="eastAsia"/>
          <w:lang w:eastAsia="zh-CN"/>
        </w:rPr>
        <w:t>1</w:t>
      </w:r>
      <w:r w:rsidR="00A246D2" w:rsidRPr="00D83ABA">
        <w:rPr>
          <w:rFonts w:ascii="Calibri" w:eastAsia="STKaiti" w:hAnsi="Calibri" w:hint="eastAsia"/>
          <w:vertAlign w:val="subscript"/>
          <w:lang w:eastAsia="zh-CN"/>
        </w:rPr>
        <w:t>之二</w:t>
      </w:r>
      <w:r w:rsidR="00A246D2" w:rsidRPr="00D83ABA">
        <w:rPr>
          <w:rFonts w:hint="eastAsia"/>
          <w:lang w:eastAsia="zh-CN"/>
        </w:rPr>
        <w:t>10</w:t>
      </w:r>
      <w:r w:rsidR="00A246D2" w:rsidRPr="00D83ABA">
        <w:rPr>
          <w:rFonts w:hint="eastAsia"/>
          <w:lang w:eastAsia="zh-CN"/>
        </w:rPr>
        <w:t>的案文</w:t>
      </w:r>
      <w:r w:rsidR="00D83ABA" w:rsidRPr="00D83ABA">
        <w:rPr>
          <w:rFonts w:hint="eastAsia"/>
          <w:lang w:eastAsia="zh-CN"/>
        </w:rPr>
        <w:t>（</w:t>
      </w:r>
      <w:r w:rsidR="00D83ABA" w:rsidRPr="00D83ABA">
        <w:rPr>
          <w:rFonts w:hint="eastAsia"/>
          <w:color w:val="000000"/>
          <w:lang w:eastAsia="zh-CN"/>
        </w:rPr>
        <w:t>WTSA-16</w:t>
      </w:r>
      <w:r w:rsidR="00D83ABA" w:rsidRPr="00D83ABA">
        <w:rPr>
          <w:rFonts w:hint="eastAsia"/>
          <w:color w:val="000000"/>
          <w:lang w:eastAsia="zh-CN"/>
        </w:rPr>
        <w:t>第</w:t>
      </w:r>
      <w:r w:rsidR="00D83ABA" w:rsidRPr="00D83ABA">
        <w:rPr>
          <w:rFonts w:hint="eastAsia"/>
          <w:color w:val="000000"/>
          <w:lang w:eastAsia="zh-CN"/>
        </w:rPr>
        <w:t>116</w:t>
      </w:r>
      <w:r w:rsidR="00D83ABA" w:rsidRPr="00D83ABA">
        <w:rPr>
          <w:rFonts w:hint="eastAsia"/>
          <w:color w:val="000000"/>
          <w:lang w:eastAsia="zh-CN"/>
        </w:rPr>
        <w:t>号文件中）</w:t>
      </w:r>
      <w:r w:rsidR="00A246D2" w:rsidRPr="00D83ABA">
        <w:rPr>
          <w:rFonts w:hint="eastAsia"/>
          <w:lang w:eastAsia="zh-CN"/>
        </w:rPr>
        <w:t>考虑在内</w:t>
      </w:r>
      <w:bookmarkEnd w:id="11"/>
      <w:r w:rsidR="00A246D2" w:rsidRPr="00D83ABA">
        <w:rPr>
          <w:rFonts w:hint="eastAsia"/>
          <w:lang w:eastAsia="zh-CN"/>
        </w:rPr>
        <w:t>（</w:t>
      </w:r>
      <w:r w:rsidR="00A246D2" w:rsidRPr="00D83ABA">
        <w:rPr>
          <w:rFonts w:hint="eastAsia"/>
          <w:lang w:eastAsia="zh-CN"/>
        </w:rPr>
        <w:t>WTSA-16</w:t>
      </w:r>
      <w:r w:rsidR="00A246D2" w:rsidRPr="00D83ABA">
        <w:rPr>
          <w:rFonts w:hint="eastAsia"/>
          <w:lang w:eastAsia="zh-CN"/>
        </w:rPr>
        <w:t>会议录第</w:t>
      </w:r>
      <w:r w:rsidR="00A246D2" w:rsidRPr="00D83ABA">
        <w:rPr>
          <w:rFonts w:hint="eastAsia"/>
          <w:lang w:eastAsia="zh-CN"/>
        </w:rPr>
        <w:t>2</w:t>
      </w:r>
      <w:r w:rsidR="00A246D2" w:rsidRPr="00D83ABA">
        <w:rPr>
          <w:lang w:eastAsia="zh-CN"/>
        </w:rPr>
        <w:t>.2.3</w:t>
      </w:r>
      <w:r w:rsidR="00A246D2" w:rsidRPr="00D83ABA">
        <w:rPr>
          <w:rFonts w:hint="eastAsia"/>
          <w:lang w:eastAsia="zh-CN"/>
        </w:rPr>
        <w:t>节）。</w:t>
      </w:r>
    </w:p>
    <w:p w14:paraId="10EAC715" w14:textId="6C802B03" w:rsidR="00A53DAA" w:rsidRPr="004138A9" w:rsidRDefault="00174D54" w:rsidP="00174D54">
      <w:pPr>
        <w:pStyle w:val="enumlev1"/>
        <w:rPr>
          <w:lang w:eastAsia="zh-CN"/>
        </w:rPr>
      </w:pPr>
      <w:bookmarkStart w:id="12" w:name="lt_pId117"/>
      <w:r>
        <w:rPr>
          <w:lang w:eastAsia="zh-CN"/>
        </w:rPr>
        <w:tab/>
      </w:r>
      <w:r w:rsidR="001E5A06">
        <w:rPr>
          <w:rFonts w:hint="eastAsia"/>
          <w:lang w:eastAsia="zh-CN"/>
        </w:rPr>
        <w:t>关于这些问题的报告反映在</w:t>
      </w:r>
      <w:hyperlink r:id="rId27" w:history="1">
        <w:r w:rsidR="001E5A06">
          <w:rPr>
            <w:rStyle w:val="Hyperlink"/>
            <w:lang w:eastAsia="zh-CN"/>
          </w:rPr>
          <w:t>23</w:t>
        </w:r>
        <w:r w:rsidR="001E5A06">
          <w:rPr>
            <w:rStyle w:val="Hyperlink"/>
            <w:lang w:eastAsia="zh-CN"/>
          </w:rPr>
          <w:t>号文件</w:t>
        </w:r>
      </w:hyperlink>
      <w:r w:rsidR="004022F1">
        <w:rPr>
          <w:lang w:eastAsia="zh-CN"/>
        </w:rPr>
        <w:t xml:space="preserve"> – </w:t>
      </w:r>
      <w:r w:rsidR="001E5A06">
        <w:rPr>
          <w:lang w:eastAsia="zh-CN"/>
        </w:rPr>
        <w:t>TSAG</w:t>
      </w:r>
      <w:r w:rsidR="001E5A06">
        <w:rPr>
          <w:lang w:eastAsia="zh-CN"/>
        </w:rPr>
        <w:t>报告第一部分</w:t>
      </w:r>
      <w:r w:rsidR="00B574D8" w:rsidRPr="00B574D8">
        <w:rPr>
          <w:rFonts w:ascii="SimSun" w:hAnsi="SimSun"/>
          <w:lang w:eastAsia="zh-CN"/>
        </w:rPr>
        <w:t>“概述”</w:t>
      </w:r>
      <w:r w:rsidR="001E5A06">
        <w:rPr>
          <w:rFonts w:hint="eastAsia"/>
          <w:lang w:eastAsia="zh-CN"/>
        </w:rPr>
        <w:t>第</w:t>
      </w:r>
      <w:r w:rsidR="001E5A06" w:rsidRPr="004138A9">
        <w:rPr>
          <w:lang w:eastAsia="zh-CN"/>
        </w:rPr>
        <w:t>3.2.6</w:t>
      </w:r>
      <w:r w:rsidR="001E5A06">
        <w:rPr>
          <w:rFonts w:hint="eastAsia"/>
          <w:lang w:eastAsia="zh-CN"/>
        </w:rPr>
        <w:t>节中。</w:t>
      </w:r>
      <w:bookmarkEnd w:id="12"/>
    </w:p>
    <w:p w14:paraId="19BE1F0A" w14:textId="77777777" w:rsidR="00E57A94" w:rsidRDefault="00E57A94" w:rsidP="00174D54">
      <w:pPr>
        <w:spacing w:before="360"/>
        <w:jc w:val="center"/>
      </w:pPr>
      <w:r>
        <w:t>______________</w:t>
      </w:r>
    </w:p>
    <w:sectPr w:rsidR="00E57A94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ED60" w14:textId="77777777" w:rsidR="001C43CD" w:rsidRDefault="001C43CD">
      <w:r>
        <w:separator/>
      </w:r>
    </w:p>
  </w:endnote>
  <w:endnote w:type="continuationSeparator" w:id="0">
    <w:p w14:paraId="05B14043" w14:textId="77777777" w:rsidR="001C43CD" w:rsidRDefault="001C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6E6B" w14:textId="5249A139" w:rsidR="00B851D4" w:rsidRPr="003A7F77" w:rsidRDefault="009F7269" w:rsidP="00231452">
    <w:pPr>
      <w:pStyle w:val="Footer"/>
      <w:rPr>
        <w:lang w:val="fr-CH"/>
      </w:rPr>
    </w:pPr>
    <w:r w:rsidRPr="009F7269">
      <w:fldChar w:fldCharType="begin"/>
    </w:r>
    <w:r w:rsidRPr="003A7F77">
      <w:rPr>
        <w:lang w:val="fr-CH"/>
      </w:rPr>
      <w:instrText xml:space="preserve"> FILENAME \p \* MERGEFORMAT </w:instrText>
    </w:r>
    <w:r w:rsidRPr="009F7269">
      <w:fldChar w:fldCharType="separate"/>
    </w:r>
    <w:r w:rsidR="00000054">
      <w:rPr>
        <w:lang w:val="fr-CH"/>
      </w:rPr>
      <w:t>P:\CHI\ITU-T\CONF-T\WTSA20\000\026C.docx</w:t>
    </w:r>
    <w:r w:rsidRPr="009F7269">
      <w:fldChar w:fldCharType="end"/>
    </w:r>
    <w:r w:rsidR="00F706AD" w:rsidRPr="000A7255">
      <w:rPr>
        <w:lang w:val="fr-CH"/>
      </w:rPr>
      <w:t xml:space="preserve"> </w:t>
    </w:r>
    <w:r w:rsidR="00F706AD" w:rsidRPr="00F706AD">
      <w:rPr>
        <w:lang w:val="fr-CH"/>
      </w:rPr>
      <w:t>(</w:t>
    </w:r>
    <w:r w:rsidR="00F706AD">
      <w:rPr>
        <w:lang w:val="fr-CH"/>
      </w:rPr>
      <w:t>478076</w:t>
    </w:r>
    <w:r w:rsidR="00F706AD" w:rsidRPr="00F706A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58C0" w14:textId="75AD0EA6" w:rsidR="003E3966" w:rsidRPr="008929AD" w:rsidRDefault="001472D7" w:rsidP="003E3966">
    <w:pPr>
      <w:pStyle w:val="Footer"/>
      <w:rPr>
        <w:lang w:val="fr-FR"/>
      </w:rPr>
    </w:pPr>
    <w:r>
      <w:fldChar w:fldCharType="begin"/>
    </w:r>
    <w:r w:rsidRPr="008929AD">
      <w:rPr>
        <w:lang w:val="fr-FR"/>
      </w:rPr>
      <w:instrText xml:space="preserve"> FILENAME \p  \* MERGEFORMAT </w:instrText>
    </w:r>
    <w:r>
      <w:fldChar w:fldCharType="separate"/>
    </w:r>
    <w:r w:rsidR="00000054">
      <w:rPr>
        <w:lang w:val="fr-FR"/>
      </w:rPr>
      <w:t>P:\CHI\ITU-T\CONF-T\WTSA20\000\026C.docx</w:t>
    </w:r>
    <w:r>
      <w:fldChar w:fldCharType="end"/>
    </w:r>
    <w:r w:rsidR="003E3966" w:rsidRPr="008929AD">
      <w:rPr>
        <w:lang w:val="fr-FR"/>
      </w:rPr>
      <w:t xml:space="preserve"> (478076)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98E4" w14:textId="77777777" w:rsidR="001C43CD" w:rsidRDefault="001C43CD">
      <w:r>
        <w:t>____________________</w:t>
      </w:r>
    </w:p>
  </w:footnote>
  <w:footnote w:type="continuationSeparator" w:id="0">
    <w:p w14:paraId="1141CCDB" w14:textId="77777777" w:rsidR="001C43CD" w:rsidRDefault="001C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6DFC" w14:textId="14C88CF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09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511C7F" w14:textId="3030AD74" w:rsidR="00B851D4" w:rsidRPr="000A3B30" w:rsidRDefault="00C77975" w:rsidP="00C77975">
    <w:pPr>
      <w:pStyle w:val="Header"/>
      <w:rPr>
        <w:lang w:val="en-US"/>
      </w:rPr>
    </w:pPr>
    <w:r w:rsidRPr="00C10B0D">
      <w:t>WTSA</w:t>
    </w:r>
    <w:r w:rsidR="00DE6C68" w:rsidRPr="00C10B0D">
      <w:t>20</w:t>
    </w:r>
    <w:r w:rsidR="00281807">
      <w:t>/26</w:t>
    </w:r>
    <w:r w:rsidRPr="00C10B0D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0719"/>
    <w:multiLevelType w:val="hybridMultilevel"/>
    <w:tmpl w:val="FCEEE258"/>
    <w:lvl w:ilvl="0" w:tplc="CB44AC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DC9C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68A6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2AC5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CEF6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92676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1E54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6AE9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4FE97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0054"/>
    <w:rsid w:val="0001097C"/>
    <w:rsid w:val="000174B1"/>
    <w:rsid w:val="000264C2"/>
    <w:rsid w:val="000273B7"/>
    <w:rsid w:val="00031E6B"/>
    <w:rsid w:val="00037C90"/>
    <w:rsid w:val="00067894"/>
    <w:rsid w:val="000725E2"/>
    <w:rsid w:val="00081F9B"/>
    <w:rsid w:val="000A3B30"/>
    <w:rsid w:val="000A7255"/>
    <w:rsid w:val="000C09BA"/>
    <w:rsid w:val="000C1F1E"/>
    <w:rsid w:val="000C6AA7"/>
    <w:rsid w:val="000D3DDB"/>
    <w:rsid w:val="000E26F6"/>
    <w:rsid w:val="001472D7"/>
    <w:rsid w:val="00166859"/>
    <w:rsid w:val="00174D54"/>
    <w:rsid w:val="001765EC"/>
    <w:rsid w:val="001853E8"/>
    <w:rsid w:val="001B6360"/>
    <w:rsid w:val="001C43CD"/>
    <w:rsid w:val="001D6046"/>
    <w:rsid w:val="001D63D9"/>
    <w:rsid w:val="001E5A06"/>
    <w:rsid w:val="001F263D"/>
    <w:rsid w:val="001F4EA6"/>
    <w:rsid w:val="00214959"/>
    <w:rsid w:val="00231452"/>
    <w:rsid w:val="00252054"/>
    <w:rsid w:val="0028063B"/>
    <w:rsid w:val="00281807"/>
    <w:rsid w:val="002971C7"/>
    <w:rsid w:val="002A4C9C"/>
    <w:rsid w:val="002B509B"/>
    <w:rsid w:val="002D162B"/>
    <w:rsid w:val="002D625E"/>
    <w:rsid w:val="002E2A59"/>
    <w:rsid w:val="003031C8"/>
    <w:rsid w:val="00305254"/>
    <w:rsid w:val="003169D2"/>
    <w:rsid w:val="003344A8"/>
    <w:rsid w:val="003468CA"/>
    <w:rsid w:val="0035080F"/>
    <w:rsid w:val="003556C0"/>
    <w:rsid w:val="00372FC2"/>
    <w:rsid w:val="003A69EA"/>
    <w:rsid w:val="003A7F77"/>
    <w:rsid w:val="003B4BEF"/>
    <w:rsid w:val="003C6B45"/>
    <w:rsid w:val="003E2CDC"/>
    <w:rsid w:val="003E3966"/>
    <w:rsid w:val="003F0C01"/>
    <w:rsid w:val="00400909"/>
    <w:rsid w:val="004022F1"/>
    <w:rsid w:val="0041282E"/>
    <w:rsid w:val="00437869"/>
    <w:rsid w:val="00465A34"/>
    <w:rsid w:val="00491987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01EC"/>
    <w:rsid w:val="00542E85"/>
    <w:rsid w:val="00562479"/>
    <w:rsid w:val="00576849"/>
    <w:rsid w:val="005A0ACB"/>
    <w:rsid w:val="005C7B12"/>
    <w:rsid w:val="005D1B25"/>
    <w:rsid w:val="005D4D73"/>
    <w:rsid w:val="005E7FD8"/>
    <w:rsid w:val="005F53E9"/>
    <w:rsid w:val="00611DCC"/>
    <w:rsid w:val="00622560"/>
    <w:rsid w:val="00625260"/>
    <w:rsid w:val="00637760"/>
    <w:rsid w:val="00637E0F"/>
    <w:rsid w:val="00644391"/>
    <w:rsid w:val="00647712"/>
    <w:rsid w:val="00653F97"/>
    <w:rsid w:val="00662E12"/>
    <w:rsid w:val="00691142"/>
    <w:rsid w:val="006B3DE4"/>
    <w:rsid w:val="006B6525"/>
    <w:rsid w:val="006B67CE"/>
    <w:rsid w:val="006C38ED"/>
    <w:rsid w:val="006E6182"/>
    <w:rsid w:val="006E6E23"/>
    <w:rsid w:val="006F3C60"/>
    <w:rsid w:val="006F409E"/>
    <w:rsid w:val="00707454"/>
    <w:rsid w:val="00736415"/>
    <w:rsid w:val="00757512"/>
    <w:rsid w:val="00770D2A"/>
    <w:rsid w:val="00772F56"/>
    <w:rsid w:val="00775B71"/>
    <w:rsid w:val="007864F6"/>
    <w:rsid w:val="00793C47"/>
    <w:rsid w:val="007B7C4B"/>
    <w:rsid w:val="007E69B1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1879"/>
    <w:rsid w:val="00844734"/>
    <w:rsid w:val="00857FA1"/>
    <w:rsid w:val="00865DFB"/>
    <w:rsid w:val="00872C9E"/>
    <w:rsid w:val="00891869"/>
    <w:rsid w:val="008929AD"/>
    <w:rsid w:val="008A7416"/>
    <w:rsid w:val="008B6852"/>
    <w:rsid w:val="008C26FF"/>
    <w:rsid w:val="008D1D14"/>
    <w:rsid w:val="008D287F"/>
    <w:rsid w:val="008E1785"/>
    <w:rsid w:val="008E7127"/>
    <w:rsid w:val="008E7C8E"/>
    <w:rsid w:val="00912959"/>
    <w:rsid w:val="0092075B"/>
    <w:rsid w:val="00956C1D"/>
    <w:rsid w:val="009657F9"/>
    <w:rsid w:val="009759FE"/>
    <w:rsid w:val="0099525B"/>
    <w:rsid w:val="009C72B7"/>
    <w:rsid w:val="009D164C"/>
    <w:rsid w:val="009F7269"/>
    <w:rsid w:val="00A0052C"/>
    <w:rsid w:val="00A06370"/>
    <w:rsid w:val="00A138C3"/>
    <w:rsid w:val="00A16B3A"/>
    <w:rsid w:val="00A246D2"/>
    <w:rsid w:val="00A264B5"/>
    <w:rsid w:val="00A31B14"/>
    <w:rsid w:val="00A323DC"/>
    <w:rsid w:val="00A53DAA"/>
    <w:rsid w:val="00A705D3"/>
    <w:rsid w:val="00A75879"/>
    <w:rsid w:val="00A815BE"/>
    <w:rsid w:val="00A86224"/>
    <w:rsid w:val="00A903C1"/>
    <w:rsid w:val="00A90958"/>
    <w:rsid w:val="00AA5DA1"/>
    <w:rsid w:val="00AB7F81"/>
    <w:rsid w:val="00AE369F"/>
    <w:rsid w:val="00AF676F"/>
    <w:rsid w:val="00B026CB"/>
    <w:rsid w:val="00B406E0"/>
    <w:rsid w:val="00B574D8"/>
    <w:rsid w:val="00B637AD"/>
    <w:rsid w:val="00B851D4"/>
    <w:rsid w:val="00B868FC"/>
    <w:rsid w:val="00B95072"/>
    <w:rsid w:val="00BB26CD"/>
    <w:rsid w:val="00C07239"/>
    <w:rsid w:val="00C10B0D"/>
    <w:rsid w:val="00C3374B"/>
    <w:rsid w:val="00C364B1"/>
    <w:rsid w:val="00C47D87"/>
    <w:rsid w:val="00C627F9"/>
    <w:rsid w:val="00C6584D"/>
    <w:rsid w:val="00C72E10"/>
    <w:rsid w:val="00C77975"/>
    <w:rsid w:val="00C83587"/>
    <w:rsid w:val="00C929E0"/>
    <w:rsid w:val="00CA0B46"/>
    <w:rsid w:val="00CB4E5A"/>
    <w:rsid w:val="00CC73D7"/>
    <w:rsid w:val="00CF0AD7"/>
    <w:rsid w:val="00CF0BE1"/>
    <w:rsid w:val="00CF25B1"/>
    <w:rsid w:val="00CF5665"/>
    <w:rsid w:val="00D061C5"/>
    <w:rsid w:val="00D44891"/>
    <w:rsid w:val="00D47EAE"/>
    <w:rsid w:val="00D52A14"/>
    <w:rsid w:val="00D74599"/>
    <w:rsid w:val="00D83ABA"/>
    <w:rsid w:val="00D90575"/>
    <w:rsid w:val="00DA0469"/>
    <w:rsid w:val="00DD13B7"/>
    <w:rsid w:val="00DD76AB"/>
    <w:rsid w:val="00DE6C68"/>
    <w:rsid w:val="00DF3B0C"/>
    <w:rsid w:val="00E148F2"/>
    <w:rsid w:val="00E14984"/>
    <w:rsid w:val="00E22A25"/>
    <w:rsid w:val="00E2414B"/>
    <w:rsid w:val="00E249E0"/>
    <w:rsid w:val="00E4252D"/>
    <w:rsid w:val="00E53F3C"/>
    <w:rsid w:val="00E560F1"/>
    <w:rsid w:val="00E57A94"/>
    <w:rsid w:val="00E9167E"/>
    <w:rsid w:val="00E92319"/>
    <w:rsid w:val="00E938EF"/>
    <w:rsid w:val="00EB41D2"/>
    <w:rsid w:val="00EC7842"/>
    <w:rsid w:val="00F05614"/>
    <w:rsid w:val="00F469EB"/>
    <w:rsid w:val="00F532F9"/>
    <w:rsid w:val="00F65C1D"/>
    <w:rsid w:val="00F66B87"/>
    <w:rsid w:val="00F706AD"/>
    <w:rsid w:val="00F837F4"/>
    <w:rsid w:val="00FB3D65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695DEE"/>
  <w15:docId w15:val="{579D6A35-45CC-4F68-9CBD-7A24485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超级链接,超链接1,하이퍼링크2,Style 58,하이퍼링크21,超?级链,超????,CEO_Hyperlink"/>
    <w:basedOn w:val="DefaultParagraphFont"/>
    <w:unhideWhenUsed/>
    <w:qFormat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table" w:styleId="TableGrid">
    <w:name w:val="Table Grid"/>
    <w:basedOn w:val="TableNormal"/>
    <w:rsid w:val="006B3D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DE6C6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C8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A53DA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A53DAA"/>
    <w:rPr>
      <w:rFonts w:ascii="STKaiti" w:eastAsia="STKaiti" w:hAnsi="STKait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53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WTSA.20-C-0023" TargetMode="External"/><Relationship Id="rId18" Type="http://schemas.openxmlformats.org/officeDocument/2006/relationships/hyperlink" Target="https://www.itu.int/md/T17-WTSA.20-C-0023" TargetMode="External"/><Relationship Id="rId26" Type="http://schemas.openxmlformats.org/officeDocument/2006/relationships/hyperlink" Target="https://www.itu.int/md/T17-WTSA.20-C-0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WTSA.20-C-002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T17-WTSA.20-C-0023" TargetMode="External"/><Relationship Id="rId17" Type="http://schemas.openxmlformats.org/officeDocument/2006/relationships/hyperlink" Target="https://www.itu.int/md/T17-WTSA.20-C-0023" TargetMode="External"/><Relationship Id="rId25" Type="http://schemas.openxmlformats.org/officeDocument/2006/relationships/hyperlink" Target="https://www.itu.int/md/T17-WTSA.20-C-0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WTSA.20-C-0023" TargetMode="External"/><Relationship Id="rId20" Type="http://schemas.openxmlformats.org/officeDocument/2006/relationships/hyperlink" Target="https://www.itu.int/md/T17-WTSA.20-C-0023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WTSA.20-C-0023" TargetMode="External"/><Relationship Id="rId24" Type="http://schemas.openxmlformats.org/officeDocument/2006/relationships/hyperlink" Target="https://www.itu.int/md/T17-WTSA.20-C-002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WTSA.20-C-0023" TargetMode="External"/><Relationship Id="rId23" Type="http://schemas.openxmlformats.org/officeDocument/2006/relationships/hyperlink" Target="https://www.itu.int/md/T17-WTSA.20-C-0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T13-WTSA.16-C-0024/en" TargetMode="External"/><Relationship Id="rId19" Type="http://schemas.openxmlformats.org/officeDocument/2006/relationships/hyperlink" Target="https://www.itu.int/md/T17-WTSA.20-C-00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WTSA.20-C-0023" TargetMode="External"/><Relationship Id="rId14" Type="http://schemas.openxmlformats.org/officeDocument/2006/relationships/hyperlink" Target="https://www.itu.int/md/T17-WTSA.20-C-0023" TargetMode="External"/><Relationship Id="rId22" Type="http://schemas.openxmlformats.org/officeDocument/2006/relationships/hyperlink" Target="https://www.itu.int/md/T17-WTSA.20-C-0023" TargetMode="External"/><Relationship Id="rId27" Type="http://schemas.openxmlformats.org/officeDocument/2006/relationships/hyperlink" Target="https://www.itu.int/md/T17-WTSA.20-C-002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2412</Words>
  <Characters>1980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Zeng, Xuemei</dc:creator>
  <dc:description>Template used by DPM and CPI for the WTSA-16</dc:description>
  <cp:lastModifiedBy>LI, Ziqian</cp:lastModifiedBy>
  <cp:revision>22</cp:revision>
  <cp:lastPrinted>2016-07-15T06:54:00Z</cp:lastPrinted>
  <dcterms:created xsi:type="dcterms:W3CDTF">2022-01-27T09:44:00Z</dcterms:created>
  <dcterms:modified xsi:type="dcterms:W3CDTF">2022-01-27T13:39:00Z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