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EF1CC7" w14:paraId="29786F71" w14:textId="77777777" w:rsidTr="00CF2532">
        <w:trPr>
          <w:cantSplit/>
        </w:trPr>
        <w:tc>
          <w:tcPr>
            <w:tcW w:w="6804" w:type="dxa"/>
            <w:vAlign w:val="center"/>
          </w:tcPr>
          <w:p w14:paraId="3FFF0AAA" w14:textId="77777777" w:rsidR="00CF2532" w:rsidRPr="00EF1CC7" w:rsidRDefault="00CF2532" w:rsidP="00E31B2B">
            <w:pPr>
              <w:rPr>
                <w:rFonts w:ascii="Verdana" w:hAnsi="Verdana" w:cs="Times New Roman Bold"/>
                <w:b/>
                <w:bCs/>
                <w:sz w:val="22"/>
                <w:szCs w:val="22"/>
                <w:lang w:val="fr-FR"/>
              </w:rPr>
            </w:pPr>
            <w:r w:rsidRPr="00EF1CC7">
              <w:rPr>
                <w:rFonts w:ascii="Verdana" w:hAnsi="Verdana" w:cs="Times New Roman Bold"/>
                <w:b/>
                <w:bCs/>
                <w:sz w:val="22"/>
                <w:szCs w:val="22"/>
                <w:lang w:val="fr-FR"/>
              </w:rPr>
              <w:t xml:space="preserve">Assemblée mondiale de normalisation </w:t>
            </w:r>
            <w:r w:rsidRPr="00EF1CC7">
              <w:rPr>
                <w:rFonts w:ascii="Verdana" w:hAnsi="Verdana" w:cs="Times New Roman Bold"/>
                <w:b/>
                <w:bCs/>
                <w:sz w:val="22"/>
                <w:szCs w:val="22"/>
                <w:lang w:val="fr-FR"/>
              </w:rPr>
              <w:br/>
              <w:t>des télécommunications (AMNT-20)</w:t>
            </w:r>
            <w:r w:rsidRPr="00EF1CC7">
              <w:rPr>
                <w:rFonts w:ascii="Verdana" w:hAnsi="Verdana" w:cs="Times New Roman Bold"/>
                <w:b/>
                <w:bCs/>
                <w:sz w:val="26"/>
                <w:szCs w:val="26"/>
                <w:lang w:val="fr-FR"/>
              </w:rPr>
              <w:br/>
            </w:r>
            <w:r w:rsidR="00A102CA" w:rsidRPr="00EF1CC7">
              <w:rPr>
                <w:rFonts w:ascii="Verdana" w:hAnsi="Verdana" w:cs="Times New Roman Bold"/>
                <w:b/>
                <w:bCs/>
                <w:sz w:val="18"/>
                <w:szCs w:val="18"/>
                <w:lang w:val="fr-FR"/>
              </w:rPr>
              <w:t>Genève</w:t>
            </w:r>
            <w:r w:rsidR="003474F2" w:rsidRPr="00EF1CC7">
              <w:rPr>
                <w:rFonts w:ascii="Verdana" w:hAnsi="Verdana" w:cs="Times New Roman Bold"/>
                <w:b/>
                <w:bCs/>
                <w:sz w:val="18"/>
                <w:szCs w:val="18"/>
                <w:lang w:val="fr-FR"/>
              </w:rPr>
              <w:t>, 1</w:t>
            </w:r>
            <w:r w:rsidR="00490157" w:rsidRPr="00EF1CC7">
              <w:rPr>
                <w:rFonts w:ascii="Verdana" w:hAnsi="Verdana" w:cs="Times New Roman Bold"/>
                <w:b/>
                <w:bCs/>
                <w:sz w:val="18"/>
                <w:szCs w:val="18"/>
                <w:lang w:val="fr-FR"/>
              </w:rPr>
              <w:t>er</w:t>
            </w:r>
            <w:r w:rsidR="003474F2" w:rsidRPr="00EF1CC7">
              <w:rPr>
                <w:rFonts w:ascii="Verdana" w:hAnsi="Verdana" w:cs="Times New Roman Bold"/>
                <w:b/>
                <w:bCs/>
                <w:sz w:val="18"/>
                <w:szCs w:val="18"/>
                <w:lang w:val="fr-FR"/>
              </w:rPr>
              <w:t>-9 mars 2022</w:t>
            </w:r>
          </w:p>
        </w:tc>
        <w:tc>
          <w:tcPr>
            <w:tcW w:w="3007" w:type="dxa"/>
            <w:vAlign w:val="center"/>
          </w:tcPr>
          <w:p w14:paraId="3648FF57" w14:textId="77777777" w:rsidR="00CF2532" w:rsidRPr="00EF1CC7" w:rsidRDefault="00CF2532" w:rsidP="00E31B2B">
            <w:pPr>
              <w:spacing w:before="0"/>
              <w:rPr>
                <w:lang w:val="fr-FR"/>
              </w:rPr>
            </w:pPr>
            <w:r w:rsidRPr="00EF1CC7">
              <w:rPr>
                <w:noProof/>
                <w:lang w:val="en-US"/>
              </w:rPr>
              <w:drawing>
                <wp:inline distT="0" distB="0" distL="0" distR="0" wp14:anchorId="22089477" wp14:editId="3E3470E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EF1CC7" w14:paraId="0202BD95" w14:textId="77777777" w:rsidTr="00530525">
        <w:trPr>
          <w:cantSplit/>
        </w:trPr>
        <w:tc>
          <w:tcPr>
            <w:tcW w:w="6804" w:type="dxa"/>
            <w:tcBorders>
              <w:bottom w:val="single" w:sz="12" w:space="0" w:color="auto"/>
            </w:tcBorders>
          </w:tcPr>
          <w:p w14:paraId="0C581CCB" w14:textId="77777777" w:rsidR="00595780" w:rsidRPr="00EF1CC7" w:rsidRDefault="00595780" w:rsidP="00E31B2B">
            <w:pPr>
              <w:spacing w:before="0"/>
              <w:rPr>
                <w:lang w:val="fr-FR"/>
              </w:rPr>
            </w:pPr>
          </w:p>
        </w:tc>
        <w:tc>
          <w:tcPr>
            <w:tcW w:w="3007" w:type="dxa"/>
            <w:tcBorders>
              <w:bottom w:val="single" w:sz="12" w:space="0" w:color="auto"/>
            </w:tcBorders>
          </w:tcPr>
          <w:p w14:paraId="2B5549F3" w14:textId="77777777" w:rsidR="00595780" w:rsidRPr="00EF1CC7" w:rsidRDefault="00595780" w:rsidP="00E31B2B">
            <w:pPr>
              <w:spacing w:before="0"/>
              <w:rPr>
                <w:lang w:val="fr-FR"/>
              </w:rPr>
            </w:pPr>
          </w:p>
        </w:tc>
      </w:tr>
      <w:tr w:rsidR="001D581B" w:rsidRPr="00EF1CC7" w14:paraId="3D2C70F7" w14:textId="77777777" w:rsidTr="00530525">
        <w:trPr>
          <w:cantSplit/>
        </w:trPr>
        <w:tc>
          <w:tcPr>
            <w:tcW w:w="6804" w:type="dxa"/>
            <w:tcBorders>
              <w:top w:val="single" w:sz="12" w:space="0" w:color="auto"/>
            </w:tcBorders>
          </w:tcPr>
          <w:p w14:paraId="3E2FA97D" w14:textId="77777777" w:rsidR="00595780" w:rsidRPr="00EF1CC7" w:rsidRDefault="00595780" w:rsidP="00E31B2B">
            <w:pPr>
              <w:spacing w:before="0"/>
              <w:rPr>
                <w:lang w:val="fr-FR"/>
              </w:rPr>
            </w:pPr>
          </w:p>
        </w:tc>
        <w:tc>
          <w:tcPr>
            <w:tcW w:w="3007" w:type="dxa"/>
          </w:tcPr>
          <w:p w14:paraId="4585E845" w14:textId="77777777" w:rsidR="00595780" w:rsidRPr="00EF1CC7" w:rsidRDefault="00595780" w:rsidP="00E31B2B">
            <w:pPr>
              <w:spacing w:before="0"/>
              <w:rPr>
                <w:rFonts w:ascii="Verdana" w:hAnsi="Verdana"/>
                <w:b/>
                <w:bCs/>
                <w:sz w:val="20"/>
                <w:lang w:val="fr-FR"/>
              </w:rPr>
            </w:pPr>
          </w:p>
        </w:tc>
      </w:tr>
      <w:tr w:rsidR="00C26BA2" w:rsidRPr="00EF1CC7" w14:paraId="701FA2B6" w14:textId="77777777" w:rsidTr="00530525">
        <w:trPr>
          <w:cantSplit/>
        </w:trPr>
        <w:tc>
          <w:tcPr>
            <w:tcW w:w="6804" w:type="dxa"/>
          </w:tcPr>
          <w:p w14:paraId="6CF67BA9" w14:textId="77777777" w:rsidR="00C26BA2" w:rsidRPr="00EF1CC7" w:rsidRDefault="00490157" w:rsidP="00E31B2B">
            <w:pPr>
              <w:spacing w:before="0"/>
              <w:rPr>
                <w:lang w:val="fr-FR"/>
              </w:rPr>
            </w:pPr>
            <w:r w:rsidRPr="00EF1CC7">
              <w:rPr>
                <w:rFonts w:ascii="Verdana" w:hAnsi="Verdana"/>
                <w:b/>
                <w:sz w:val="20"/>
                <w:lang w:val="fr-FR"/>
              </w:rPr>
              <w:t>SÉANCE PLÉNIÈRE</w:t>
            </w:r>
          </w:p>
        </w:tc>
        <w:tc>
          <w:tcPr>
            <w:tcW w:w="3007" w:type="dxa"/>
          </w:tcPr>
          <w:p w14:paraId="46F2EA9F" w14:textId="77777777" w:rsidR="00C26BA2" w:rsidRPr="00EF1CC7" w:rsidRDefault="00490157" w:rsidP="00E31B2B">
            <w:pPr>
              <w:pStyle w:val="DocNumber"/>
              <w:rPr>
                <w:lang w:val="fr-FR"/>
              </w:rPr>
            </w:pPr>
            <w:r w:rsidRPr="00EF1CC7">
              <w:rPr>
                <w:lang w:val="fr-FR"/>
              </w:rPr>
              <w:t>Document 23-F</w:t>
            </w:r>
          </w:p>
        </w:tc>
      </w:tr>
      <w:tr w:rsidR="001D581B" w:rsidRPr="00EF1CC7" w14:paraId="04A9D67A" w14:textId="77777777" w:rsidTr="00530525">
        <w:trPr>
          <w:cantSplit/>
        </w:trPr>
        <w:tc>
          <w:tcPr>
            <w:tcW w:w="6804" w:type="dxa"/>
          </w:tcPr>
          <w:p w14:paraId="08B20EDD" w14:textId="77777777" w:rsidR="00595780" w:rsidRPr="00EF1CC7" w:rsidRDefault="00595780" w:rsidP="00E31B2B">
            <w:pPr>
              <w:spacing w:before="0"/>
              <w:rPr>
                <w:lang w:val="fr-FR"/>
              </w:rPr>
            </w:pPr>
          </w:p>
        </w:tc>
        <w:tc>
          <w:tcPr>
            <w:tcW w:w="3007" w:type="dxa"/>
          </w:tcPr>
          <w:p w14:paraId="31F0F9BF" w14:textId="77777777" w:rsidR="00595780" w:rsidRPr="00EF1CC7" w:rsidRDefault="00490157" w:rsidP="00E31B2B">
            <w:pPr>
              <w:spacing w:before="0"/>
              <w:rPr>
                <w:lang w:val="fr-FR"/>
              </w:rPr>
            </w:pPr>
            <w:r w:rsidRPr="00EF1CC7">
              <w:rPr>
                <w:rFonts w:ascii="Verdana" w:hAnsi="Verdana"/>
                <w:b/>
                <w:sz w:val="20"/>
                <w:lang w:val="fr-FR"/>
              </w:rPr>
              <w:t>18 janvier 2022</w:t>
            </w:r>
          </w:p>
        </w:tc>
      </w:tr>
      <w:tr w:rsidR="001D581B" w:rsidRPr="00EF1CC7" w14:paraId="2BEAE276" w14:textId="77777777" w:rsidTr="00530525">
        <w:trPr>
          <w:cantSplit/>
        </w:trPr>
        <w:tc>
          <w:tcPr>
            <w:tcW w:w="6804" w:type="dxa"/>
          </w:tcPr>
          <w:p w14:paraId="0295C1BE" w14:textId="77777777" w:rsidR="00595780" w:rsidRPr="00EF1CC7" w:rsidRDefault="00595780" w:rsidP="00E31B2B">
            <w:pPr>
              <w:spacing w:before="0"/>
              <w:rPr>
                <w:lang w:val="fr-FR"/>
              </w:rPr>
            </w:pPr>
          </w:p>
        </w:tc>
        <w:tc>
          <w:tcPr>
            <w:tcW w:w="3007" w:type="dxa"/>
          </w:tcPr>
          <w:p w14:paraId="46364B13" w14:textId="77777777" w:rsidR="00595780" w:rsidRPr="00EF1CC7" w:rsidRDefault="00490157" w:rsidP="00E31B2B">
            <w:pPr>
              <w:spacing w:before="0"/>
              <w:rPr>
                <w:lang w:val="fr-FR"/>
              </w:rPr>
            </w:pPr>
            <w:r w:rsidRPr="00EF1CC7">
              <w:rPr>
                <w:rFonts w:ascii="Verdana" w:hAnsi="Verdana"/>
                <w:b/>
                <w:bCs/>
                <w:sz w:val="20"/>
                <w:lang w:val="fr-FR"/>
              </w:rPr>
              <w:t>Original: anglais</w:t>
            </w:r>
          </w:p>
        </w:tc>
      </w:tr>
      <w:tr w:rsidR="000032AD" w:rsidRPr="00EF1CC7" w14:paraId="7BDDB7A7" w14:textId="77777777" w:rsidTr="00530525">
        <w:trPr>
          <w:cantSplit/>
        </w:trPr>
        <w:tc>
          <w:tcPr>
            <w:tcW w:w="9811" w:type="dxa"/>
            <w:gridSpan w:val="2"/>
          </w:tcPr>
          <w:p w14:paraId="6CFE8914" w14:textId="77777777" w:rsidR="000032AD" w:rsidRPr="00EF1CC7" w:rsidRDefault="000032AD" w:rsidP="00E31B2B">
            <w:pPr>
              <w:spacing w:before="0"/>
              <w:rPr>
                <w:rFonts w:ascii="Verdana" w:hAnsi="Verdana"/>
                <w:b/>
                <w:bCs/>
                <w:sz w:val="20"/>
                <w:lang w:val="fr-FR"/>
              </w:rPr>
            </w:pPr>
          </w:p>
        </w:tc>
      </w:tr>
      <w:tr w:rsidR="00490157" w:rsidRPr="00EF1CC7" w14:paraId="157FABDE" w14:textId="77777777" w:rsidTr="00530525">
        <w:trPr>
          <w:cantSplit/>
        </w:trPr>
        <w:tc>
          <w:tcPr>
            <w:tcW w:w="9811" w:type="dxa"/>
            <w:gridSpan w:val="2"/>
          </w:tcPr>
          <w:p w14:paraId="03DB7762" w14:textId="77777777" w:rsidR="00490157" w:rsidRPr="00EF1CC7" w:rsidRDefault="00490157" w:rsidP="00E31B2B">
            <w:pPr>
              <w:pStyle w:val="Source"/>
              <w:rPr>
                <w:lang w:val="fr-FR"/>
              </w:rPr>
            </w:pPr>
            <w:r w:rsidRPr="00EF1CC7">
              <w:rPr>
                <w:lang w:val="fr-FR"/>
              </w:rPr>
              <w:t>Directeur du TSB</w:t>
            </w:r>
          </w:p>
        </w:tc>
      </w:tr>
      <w:tr w:rsidR="00490157" w:rsidRPr="00E31B2B" w14:paraId="06448A76" w14:textId="77777777" w:rsidTr="00530525">
        <w:trPr>
          <w:cantSplit/>
        </w:trPr>
        <w:tc>
          <w:tcPr>
            <w:tcW w:w="9811" w:type="dxa"/>
            <w:gridSpan w:val="2"/>
          </w:tcPr>
          <w:p w14:paraId="5DF11F24" w14:textId="44582D1B" w:rsidR="00490157" w:rsidRPr="00EF1CC7" w:rsidRDefault="00490157" w:rsidP="00E31B2B">
            <w:pPr>
              <w:pStyle w:val="Title1"/>
              <w:rPr>
                <w:lang w:val="fr-FR"/>
              </w:rPr>
            </w:pPr>
            <w:r w:rsidRPr="00EF1CC7">
              <w:rPr>
                <w:lang w:val="fr-FR"/>
              </w:rPr>
              <w:t xml:space="preserve">RAPPORT DU GROUPE CONSULTATIF DE LA NORMALISATION </w:t>
            </w:r>
            <w:r w:rsidRPr="00EF1CC7">
              <w:rPr>
                <w:lang w:val="fr-FR"/>
              </w:rPr>
              <w:br/>
              <w:t>DES TÉLÉCOMMUNICATIONS À l</w:t>
            </w:r>
            <w:r w:rsidR="00E31B2B">
              <w:rPr>
                <w:lang w:val="fr-FR"/>
              </w:rPr>
              <w:t>'</w:t>
            </w:r>
            <w:r w:rsidRPr="00EF1CC7">
              <w:rPr>
                <w:lang w:val="fr-FR"/>
              </w:rPr>
              <w:t>assemblée mondiale de normalisation des télécommunications (AMNT-20),</w:t>
            </w:r>
            <w:r w:rsidRPr="00EF1CC7">
              <w:rPr>
                <w:lang w:val="fr-FR"/>
              </w:rPr>
              <w:br/>
              <w:t>Partie I: CONSIDÉRATIONS GÉNÉRALES</w:t>
            </w:r>
          </w:p>
        </w:tc>
      </w:tr>
      <w:tr w:rsidR="00595780" w:rsidRPr="00E31B2B" w14:paraId="763934EB" w14:textId="77777777" w:rsidTr="00530525">
        <w:trPr>
          <w:cantSplit/>
        </w:trPr>
        <w:tc>
          <w:tcPr>
            <w:tcW w:w="9811" w:type="dxa"/>
            <w:gridSpan w:val="2"/>
          </w:tcPr>
          <w:p w14:paraId="0E80974E" w14:textId="77777777" w:rsidR="00595780" w:rsidRPr="00EF1CC7" w:rsidRDefault="00595780" w:rsidP="00E31B2B">
            <w:pPr>
              <w:pStyle w:val="Title2"/>
              <w:rPr>
                <w:lang w:val="fr-FR"/>
              </w:rPr>
            </w:pPr>
          </w:p>
        </w:tc>
      </w:tr>
      <w:tr w:rsidR="00C26BA2" w:rsidRPr="00E31B2B" w14:paraId="7D07D4C4" w14:textId="77777777" w:rsidTr="00D300B0">
        <w:trPr>
          <w:cantSplit/>
          <w:trHeight w:hRule="exact" w:val="120"/>
        </w:trPr>
        <w:tc>
          <w:tcPr>
            <w:tcW w:w="9811" w:type="dxa"/>
            <w:gridSpan w:val="2"/>
          </w:tcPr>
          <w:p w14:paraId="0BB0144F" w14:textId="77777777" w:rsidR="00C26BA2" w:rsidRPr="00EF1CC7" w:rsidRDefault="00C26BA2" w:rsidP="00E31B2B">
            <w:pPr>
              <w:pStyle w:val="Agendaitem"/>
              <w:rPr>
                <w:lang w:val="fr-FR"/>
              </w:rPr>
            </w:pPr>
          </w:p>
        </w:tc>
      </w:tr>
    </w:tbl>
    <w:p w14:paraId="307A5AA4" w14:textId="77777777" w:rsidR="00E11197" w:rsidRPr="00EF1CC7" w:rsidRDefault="00E11197" w:rsidP="00E31B2B">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E31B2B" w14:paraId="0F9E98B1" w14:textId="77777777" w:rsidTr="00081194">
        <w:trPr>
          <w:cantSplit/>
        </w:trPr>
        <w:tc>
          <w:tcPr>
            <w:tcW w:w="1912" w:type="dxa"/>
          </w:tcPr>
          <w:p w14:paraId="60F40DBB" w14:textId="77777777" w:rsidR="00E11197" w:rsidRPr="00EF1CC7" w:rsidRDefault="00E11197" w:rsidP="00E31B2B">
            <w:pPr>
              <w:rPr>
                <w:lang w:val="fr-FR"/>
              </w:rPr>
            </w:pPr>
            <w:r w:rsidRPr="00EF1CC7">
              <w:rPr>
                <w:b/>
                <w:bCs/>
                <w:lang w:val="fr-FR"/>
              </w:rPr>
              <w:t>Résumé:</w:t>
            </w:r>
          </w:p>
        </w:tc>
        <w:sdt>
          <w:sdtPr>
            <w:rPr>
              <w:lang w:val="fr-FR"/>
            </w:rPr>
            <w:alias w:val="Abstract"/>
            <w:tag w:val="Abstract"/>
            <w:id w:val="-939903723"/>
            <w:placeholder>
              <w:docPart w:val="4DD3EF34C8AA458C81D8EE040B09DB5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gridSpan w:val="2"/>
              </w:tcPr>
              <w:p w14:paraId="0DBFBC11" w14:textId="578C0F18" w:rsidR="00E11197" w:rsidRPr="00EF1CC7" w:rsidRDefault="009A02B7" w:rsidP="00E31B2B">
                <w:pPr>
                  <w:rPr>
                    <w:color w:val="000000" w:themeColor="text1"/>
                    <w:lang w:val="fr-FR"/>
                  </w:rPr>
                </w:pPr>
                <w:r w:rsidRPr="00EF1CC7">
                  <w:rPr>
                    <w:lang w:val="fr-FR"/>
                  </w:rPr>
                  <w:t>En vertu des numéros 197H, 197I et 204 de la Convention et des paragraphes</w:t>
                </w:r>
                <w:r w:rsidR="00DC42BA">
                  <w:rPr>
                    <w:lang w:val="fr-FR"/>
                  </w:rPr>
                  <w:t> </w:t>
                </w:r>
                <w:r w:rsidRPr="00EF1CC7">
                  <w:rPr>
                    <w:lang w:val="fr-FR"/>
                  </w:rPr>
                  <w:t>1.11.1, 4.4 et 4.9 de la Résolution 1 (Rév. Hammamet, 2016) de l</w:t>
                </w:r>
                <w:r w:rsidR="00E31B2B">
                  <w:rPr>
                    <w:lang w:val="fr-FR"/>
                  </w:rPr>
                  <w:t>'</w:t>
                </w:r>
                <w:r w:rsidRPr="00EF1CC7">
                  <w:rPr>
                    <w:lang w:val="fr-FR"/>
                  </w:rPr>
                  <w:t>AMNT, le Directeur du TSB soumet le rapport ci-joint du Groupe consultatif de la normalisation des télécommunications (GCNT) du Secteur de la normalisation des télécommunications (UIT-T) à l</w:t>
                </w:r>
                <w:r w:rsidR="00E31B2B">
                  <w:rPr>
                    <w:lang w:val="fr-FR"/>
                  </w:rPr>
                  <w:t>'</w:t>
                </w:r>
                <w:r w:rsidRPr="00EF1CC7">
                  <w:rPr>
                    <w:lang w:val="fr-FR"/>
                  </w:rPr>
                  <w:t>AMNT-20, pour examen et suite à donner. L</w:t>
                </w:r>
                <w:r w:rsidR="00E31B2B">
                  <w:rPr>
                    <w:lang w:val="fr-FR"/>
                  </w:rPr>
                  <w:t>'</w:t>
                </w:r>
                <w:r w:rsidRPr="00EF1CC7">
                  <w:rPr>
                    <w:lang w:val="fr-FR"/>
                  </w:rPr>
                  <w:t>Appendice I fournit des informations complémentaires sur le projet de Plan d</w:t>
                </w:r>
                <w:r w:rsidR="00E31B2B">
                  <w:rPr>
                    <w:lang w:val="fr-FR"/>
                  </w:rPr>
                  <w:t>'</w:t>
                </w:r>
                <w:r w:rsidRPr="00EF1CC7">
                  <w:rPr>
                    <w:lang w:val="fr-FR"/>
                  </w:rPr>
                  <w:t>action aux fins de l</w:t>
                </w:r>
                <w:r w:rsidR="00E31B2B">
                  <w:rPr>
                    <w:lang w:val="fr-FR"/>
                  </w:rPr>
                  <w:t>'</w:t>
                </w:r>
                <w:r w:rsidRPr="00EF1CC7">
                  <w:rPr>
                    <w:lang w:val="fr-FR"/>
                  </w:rPr>
                  <w:t>analyse de la restructuration des Commissions d</w:t>
                </w:r>
                <w:r w:rsidR="00E31B2B">
                  <w:rPr>
                    <w:lang w:val="fr-FR"/>
                  </w:rPr>
                  <w:t>'</w:t>
                </w:r>
                <w:r w:rsidRPr="00EF1CC7">
                  <w:rPr>
                    <w:lang w:val="fr-FR"/>
                  </w:rPr>
                  <w:t>études de l</w:t>
                </w:r>
                <w:r w:rsidR="00E31B2B">
                  <w:rPr>
                    <w:lang w:val="fr-FR"/>
                  </w:rPr>
                  <w:t>'</w:t>
                </w:r>
                <w:r w:rsidRPr="00EF1CC7">
                  <w:rPr>
                    <w:lang w:val="fr-FR"/>
                  </w:rPr>
                  <w:t>UIT-T. Le rapport du GCNT comprend quatre parties: Partie I – Considérations générales (Document 23 de l</w:t>
                </w:r>
                <w:r w:rsidR="00E31B2B">
                  <w:rPr>
                    <w:lang w:val="fr-FR"/>
                  </w:rPr>
                  <w:t>'</w:t>
                </w:r>
                <w:r w:rsidRPr="00EF1CC7">
                  <w:rPr>
                    <w:lang w:val="fr-FR"/>
                  </w:rPr>
                  <w:t>AMNT-20); Partie II – Projets de Résolutions révisées (Document 24 de l</w:t>
                </w:r>
                <w:r w:rsidR="00E31B2B">
                  <w:rPr>
                    <w:lang w:val="fr-FR"/>
                  </w:rPr>
                  <w:t>'</w:t>
                </w:r>
                <w:r w:rsidRPr="00EF1CC7">
                  <w:rPr>
                    <w:lang w:val="fr-FR"/>
                  </w:rPr>
                  <w:t>AMNT-20); Partie III – Projets de Recommandations UIT-T révisées de la série A (Document 25 de l</w:t>
                </w:r>
                <w:r w:rsidR="00E31B2B">
                  <w:rPr>
                    <w:lang w:val="fr-FR"/>
                  </w:rPr>
                  <w:t>'</w:t>
                </w:r>
                <w:r w:rsidRPr="00EF1CC7">
                  <w:rPr>
                    <w:lang w:val="fr-FR"/>
                  </w:rPr>
                  <w:t>AMNT-20); et Partie IV – Rapport du GCNT concernant la Résolution 22 de l</w:t>
                </w:r>
                <w:r w:rsidR="00E31B2B">
                  <w:rPr>
                    <w:lang w:val="fr-FR"/>
                  </w:rPr>
                  <w:t>'</w:t>
                </w:r>
                <w:r w:rsidRPr="00EF1CC7">
                  <w:rPr>
                    <w:lang w:val="fr-FR"/>
                  </w:rPr>
                  <w:t>AMNT (Document 26 de l</w:t>
                </w:r>
                <w:r w:rsidR="00E31B2B">
                  <w:rPr>
                    <w:lang w:val="fr-FR"/>
                  </w:rPr>
                  <w:t>'</w:t>
                </w:r>
                <w:r w:rsidRPr="00EF1CC7">
                  <w:rPr>
                    <w:lang w:val="fr-FR"/>
                  </w:rPr>
                  <w:t>AMNT-20).</w:t>
                </w:r>
              </w:p>
            </w:tc>
          </w:sdtContent>
        </w:sdt>
      </w:tr>
      <w:tr w:rsidR="00081194" w:rsidRPr="00E31B2B" w14:paraId="1CA6E53F" w14:textId="77777777" w:rsidTr="00081194">
        <w:trPr>
          <w:cantSplit/>
        </w:trPr>
        <w:tc>
          <w:tcPr>
            <w:tcW w:w="1912" w:type="dxa"/>
          </w:tcPr>
          <w:p w14:paraId="525480D6" w14:textId="77777777" w:rsidR="00081194" w:rsidRPr="00EF1CC7" w:rsidRDefault="00081194" w:rsidP="00E31B2B">
            <w:pPr>
              <w:rPr>
                <w:b/>
                <w:bCs/>
                <w:lang w:val="fr-FR"/>
              </w:rPr>
            </w:pPr>
            <w:r w:rsidRPr="00EF1CC7">
              <w:rPr>
                <w:b/>
                <w:bCs/>
                <w:lang w:val="fr-FR"/>
              </w:rPr>
              <w:t>Contact:</w:t>
            </w:r>
          </w:p>
        </w:tc>
        <w:tc>
          <w:tcPr>
            <w:tcW w:w="3949" w:type="dxa"/>
          </w:tcPr>
          <w:p w14:paraId="0EDF76F9" w14:textId="77777777" w:rsidR="00081194" w:rsidRPr="00EF1CC7" w:rsidRDefault="00490157" w:rsidP="00E31B2B">
            <w:pPr>
              <w:rPr>
                <w:lang w:val="fr-FR"/>
              </w:rPr>
            </w:pPr>
            <w:r w:rsidRPr="00EF1CC7">
              <w:rPr>
                <w:lang w:val="fr-FR"/>
              </w:rPr>
              <w:t>M. Bruce Gracie</w:t>
            </w:r>
            <w:r w:rsidRPr="00EF1CC7">
              <w:rPr>
                <w:lang w:val="fr-FR"/>
              </w:rPr>
              <w:br/>
            </w:r>
            <w:r w:rsidR="00764B07" w:rsidRPr="00EF1CC7">
              <w:rPr>
                <w:lang w:val="fr-FR"/>
              </w:rPr>
              <w:t>Président du GCNT</w:t>
            </w:r>
          </w:p>
        </w:tc>
        <w:tc>
          <w:tcPr>
            <w:tcW w:w="3950" w:type="dxa"/>
          </w:tcPr>
          <w:p w14:paraId="2DE3F125" w14:textId="77777777" w:rsidR="00081194" w:rsidRPr="00EF1CC7" w:rsidRDefault="00081194" w:rsidP="00E31B2B">
            <w:pPr>
              <w:tabs>
                <w:tab w:val="clear" w:pos="1134"/>
                <w:tab w:val="left" w:pos="976"/>
              </w:tabs>
              <w:rPr>
                <w:lang w:val="fr-FR"/>
              </w:rPr>
            </w:pPr>
            <w:r w:rsidRPr="00EF1CC7">
              <w:rPr>
                <w:lang w:val="fr-FR"/>
              </w:rPr>
              <w:t>Tél</w:t>
            </w:r>
            <w:r w:rsidR="009A02B7" w:rsidRPr="00EF1CC7">
              <w:rPr>
                <w:lang w:val="fr-FR"/>
              </w:rPr>
              <w:t>.</w:t>
            </w:r>
            <w:r w:rsidRPr="00EF1CC7">
              <w:rPr>
                <w:lang w:val="fr-FR"/>
              </w:rPr>
              <w:t>:</w:t>
            </w:r>
            <w:r w:rsidR="009019FD" w:rsidRPr="00EF1CC7">
              <w:rPr>
                <w:lang w:val="fr-FR"/>
              </w:rPr>
              <w:tab/>
            </w:r>
            <w:r w:rsidR="00490157" w:rsidRPr="00EF1CC7">
              <w:rPr>
                <w:lang w:val="fr-FR"/>
              </w:rPr>
              <w:t>+1 613 592-3180</w:t>
            </w:r>
            <w:r w:rsidRPr="00EF1CC7">
              <w:rPr>
                <w:lang w:val="fr-FR"/>
              </w:rPr>
              <w:br/>
              <w:t>Courriel:</w:t>
            </w:r>
            <w:r w:rsidR="009019FD" w:rsidRPr="00EF1CC7">
              <w:rPr>
                <w:lang w:val="fr-FR"/>
              </w:rPr>
              <w:tab/>
            </w:r>
            <w:hyperlink r:id="rId9" w:history="1">
              <w:r w:rsidR="00490157" w:rsidRPr="00EF1CC7">
                <w:rPr>
                  <w:rStyle w:val="Hyperlink"/>
                  <w:lang w:val="fr-FR"/>
                </w:rPr>
                <w:t>bruce.gracie@ericsson.com</w:t>
              </w:r>
            </w:hyperlink>
          </w:p>
        </w:tc>
      </w:tr>
    </w:tbl>
    <w:p w14:paraId="49B55C55" w14:textId="77777777" w:rsidR="00F776DF" w:rsidRPr="00EF1CC7" w:rsidRDefault="00F776DF" w:rsidP="00E31B2B">
      <w:pPr>
        <w:rPr>
          <w:lang w:val="fr-FR"/>
        </w:rPr>
      </w:pPr>
      <w:r w:rsidRPr="00EF1CC7">
        <w:rPr>
          <w:lang w:val="fr-FR"/>
        </w:rPr>
        <w:br w:type="page"/>
      </w:r>
    </w:p>
    <w:p w14:paraId="4DA3F66E" w14:textId="77777777" w:rsidR="00987C1F" w:rsidRPr="00EF1CC7" w:rsidRDefault="00490157" w:rsidP="00E31B2B">
      <w:pPr>
        <w:pStyle w:val="Title4"/>
        <w:rPr>
          <w:lang w:val="fr-FR"/>
        </w:rPr>
      </w:pPr>
      <w:r w:rsidRPr="00EF1CC7">
        <w:rPr>
          <w:lang w:val="fr-FR"/>
        </w:rPr>
        <w:lastRenderedPageBreak/>
        <w:t>Table des matières</w:t>
      </w:r>
    </w:p>
    <w:p w14:paraId="2631B3BA" w14:textId="77777777" w:rsidR="00490157" w:rsidRPr="00EF1CC7" w:rsidRDefault="00490157" w:rsidP="00E31B2B">
      <w:pPr>
        <w:pStyle w:val="Headingb"/>
        <w:jc w:val="right"/>
        <w:rPr>
          <w:lang w:val="fr-FR"/>
        </w:rPr>
      </w:pPr>
      <w:r w:rsidRPr="00EF1CC7">
        <w:rPr>
          <w:lang w:val="fr-FR"/>
        </w:rPr>
        <w:t>Page</w:t>
      </w:r>
    </w:p>
    <w:p w14:paraId="5BC8B146" w14:textId="1B12E139" w:rsidR="005B7436" w:rsidRPr="005B7436" w:rsidRDefault="005B7436" w:rsidP="00E31B2B">
      <w:pPr>
        <w:pStyle w:val="TOC1"/>
        <w:rPr>
          <w:rFonts w:asciiTheme="minorHAnsi" w:eastAsiaTheme="minorEastAsia" w:hAnsiTheme="minorHAnsi" w:cstheme="minorBidi"/>
          <w:noProof/>
          <w:sz w:val="22"/>
          <w:szCs w:val="22"/>
          <w:lang w:val="en-US"/>
        </w:rPr>
      </w:pPr>
      <w:r>
        <w:rPr>
          <w:lang w:val="fr-FR"/>
        </w:rPr>
        <w:fldChar w:fldCharType="begin"/>
      </w:r>
      <w:r>
        <w:rPr>
          <w:lang w:val="fr-FR"/>
        </w:rPr>
        <w:instrText xml:space="preserve"> TOC \o "1-2" \h \z \t "Annex_No;1;Annex_title;1;Appendix_No;1;Appendix_title;1" </w:instrText>
      </w:r>
      <w:r>
        <w:rPr>
          <w:lang w:val="fr-FR"/>
        </w:rPr>
        <w:fldChar w:fldCharType="separate"/>
      </w:r>
      <w:hyperlink w:anchor="_Toc94876334" w:history="1">
        <w:r w:rsidRPr="005B7436">
          <w:rPr>
            <w:rStyle w:val="Hyperlink"/>
            <w:noProof/>
            <w:u w:val="none"/>
            <w:lang w:val="fr-FR"/>
          </w:rPr>
          <w:t>1</w:t>
        </w:r>
        <w:r w:rsidRPr="005B7436">
          <w:rPr>
            <w:rFonts w:asciiTheme="minorHAnsi" w:eastAsiaTheme="minorEastAsia" w:hAnsiTheme="minorHAnsi" w:cstheme="minorBidi"/>
            <w:noProof/>
            <w:sz w:val="22"/>
            <w:szCs w:val="22"/>
            <w:lang w:val="en-US"/>
          </w:rPr>
          <w:tab/>
        </w:r>
        <w:r w:rsidRPr="005B7436">
          <w:rPr>
            <w:rStyle w:val="Hyperlink"/>
            <w:noProof/>
            <w:u w:val="none"/>
            <w:lang w:val="fr-FR"/>
          </w:rPr>
          <w:t>Introduction</w:t>
        </w:r>
        <w:r w:rsidRPr="005B7436">
          <w:rPr>
            <w:noProof/>
            <w:webHidden/>
          </w:rPr>
          <w:tab/>
        </w:r>
        <w:r w:rsidRPr="005B7436">
          <w:rPr>
            <w:noProof/>
            <w:webHidden/>
          </w:rPr>
          <w:tab/>
        </w:r>
        <w:r w:rsidRPr="005B7436">
          <w:rPr>
            <w:noProof/>
            <w:webHidden/>
          </w:rPr>
          <w:fldChar w:fldCharType="begin"/>
        </w:r>
        <w:r w:rsidRPr="005B7436">
          <w:rPr>
            <w:noProof/>
            <w:webHidden/>
          </w:rPr>
          <w:instrText xml:space="preserve"> PAGEREF _Toc94876334 \h </w:instrText>
        </w:r>
        <w:r w:rsidRPr="005B7436">
          <w:rPr>
            <w:noProof/>
            <w:webHidden/>
          </w:rPr>
        </w:r>
        <w:r w:rsidRPr="005B7436">
          <w:rPr>
            <w:noProof/>
            <w:webHidden/>
          </w:rPr>
          <w:fldChar w:fldCharType="separate"/>
        </w:r>
        <w:r w:rsidR="007A7623">
          <w:rPr>
            <w:noProof/>
            <w:webHidden/>
          </w:rPr>
          <w:t>3</w:t>
        </w:r>
        <w:r w:rsidRPr="005B7436">
          <w:rPr>
            <w:noProof/>
            <w:webHidden/>
          </w:rPr>
          <w:fldChar w:fldCharType="end"/>
        </w:r>
      </w:hyperlink>
    </w:p>
    <w:p w14:paraId="3D45A7F1" w14:textId="2C470848" w:rsidR="005B7436" w:rsidRPr="005B7436" w:rsidRDefault="00E31B2B" w:rsidP="00E31B2B">
      <w:pPr>
        <w:pStyle w:val="TOC2"/>
        <w:tabs>
          <w:tab w:val="left" w:pos="1134"/>
        </w:tabs>
        <w:ind w:hanging="7"/>
        <w:rPr>
          <w:rFonts w:asciiTheme="minorHAnsi" w:eastAsiaTheme="minorEastAsia" w:hAnsiTheme="minorHAnsi" w:cstheme="minorBidi"/>
          <w:noProof/>
          <w:sz w:val="22"/>
          <w:szCs w:val="22"/>
          <w:lang w:val="en-US"/>
        </w:rPr>
      </w:pPr>
      <w:hyperlink w:anchor="_Toc94876335" w:history="1">
        <w:r w:rsidR="005B7436" w:rsidRPr="005B7436">
          <w:rPr>
            <w:rStyle w:val="Hyperlink"/>
            <w:noProof/>
            <w:u w:val="none"/>
            <w:lang w:val="fr-FR"/>
          </w:rPr>
          <w:t>1.1</w:t>
        </w:r>
        <w:r w:rsidR="005B7436">
          <w:rPr>
            <w:rFonts w:asciiTheme="minorHAnsi" w:eastAsiaTheme="minorEastAsia" w:hAnsiTheme="minorHAnsi" w:cstheme="minorBidi"/>
            <w:noProof/>
            <w:sz w:val="22"/>
            <w:szCs w:val="22"/>
            <w:lang w:val="en-US"/>
          </w:rPr>
          <w:tab/>
        </w:r>
        <w:r w:rsidR="005B7436" w:rsidRPr="005B7436">
          <w:rPr>
            <w:rStyle w:val="Hyperlink"/>
            <w:noProof/>
            <w:u w:val="none"/>
            <w:lang w:val="fr-FR"/>
          </w:rPr>
          <w:t>Attributions du GCNT</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_Toc94876335 \h </w:instrText>
        </w:r>
        <w:r w:rsidR="005B7436" w:rsidRPr="005B7436">
          <w:rPr>
            <w:noProof/>
            <w:webHidden/>
          </w:rPr>
        </w:r>
        <w:r w:rsidR="005B7436" w:rsidRPr="005B7436">
          <w:rPr>
            <w:noProof/>
            <w:webHidden/>
          </w:rPr>
          <w:fldChar w:fldCharType="separate"/>
        </w:r>
        <w:r w:rsidR="007A7623">
          <w:rPr>
            <w:noProof/>
            <w:webHidden/>
          </w:rPr>
          <w:t>3</w:t>
        </w:r>
        <w:r w:rsidR="005B7436" w:rsidRPr="005B7436">
          <w:rPr>
            <w:noProof/>
            <w:webHidden/>
          </w:rPr>
          <w:fldChar w:fldCharType="end"/>
        </w:r>
      </w:hyperlink>
    </w:p>
    <w:p w14:paraId="34489667" w14:textId="1F7520A9" w:rsidR="005B7436" w:rsidRPr="005B7436" w:rsidRDefault="00E31B2B" w:rsidP="00E31B2B">
      <w:pPr>
        <w:pStyle w:val="TOC2"/>
        <w:tabs>
          <w:tab w:val="left" w:pos="1134"/>
        </w:tabs>
        <w:ind w:hanging="7"/>
        <w:rPr>
          <w:rFonts w:asciiTheme="minorHAnsi" w:eastAsiaTheme="minorEastAsia" w:hAnsiTheme="minorHAnsi" w:cstheme="minorBidi"/>
          <w:noProof/>
          <w:sz w:val="22"/>
          <w:szCs w:val="22"/>
          <w:lang w:val="en-US"/>
        </w:rPr>
      </w:pPr>
      <w:hyperlink w:anchor="_Toc94876336" w:history="1">
        <w:r w:rsidR="005B7436" w:rsidRPr="005B7436">
          <w:rPr>
            <w:rStyle w:val="Hyperlink"/>
            <w:bCs/>
            <w:noProof/>
            <w:u w:val="none"/>
            <w:lang w:val="fr-FR"/>
          </w:rPr>
          <w:t>1.2</w:t>
        </w:r>
        <w:r w:rsidR="005B7436" w:rsidRPr="005B7436">
          <w:rPr>
            <w:rFonts w:asciiTheme="minorHAnsi" w:eastAsiaTheme="minorEastAsia" w:hAnsiTheme="minorHAnsi" w:cstheme="minorBidi"/>
            <w:noProof/>
            <w:sz w:val="22"/>
            <w:szCs w:val="22"/>
            <w:lang w:val="en-US"/>
          </w:rPr>
          <w:tab/>
        </w:r>
        <w:r w:rsidR="005B7436" w:rsidRPr="005B7436">
          <w:rPr>
            <w:rStyle w:val="Hyperlink"/>
            <w:bCs/>
            <w:noProof/>
            <w:u w:val="none"/>
            <w:lang w:val="fr-FR"/>
          </w:rPr>
          <w:t>Équipe de direction et réunions du GCNT</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_Toc94876336 \h </w:instrText>
        </w:r>
        <w:r w:rsidR="005B7436" w:rsidRPr="005B7436">
          <w:rPr>
            <w:noProof/>
            <w:webHidden/>
          </w:rPr>
        </w:r>
        <w:r w:rsidR="005B7436" w:rsidRPr="005B7436">
          <w:rPr>
            <w:noProof/>
            <w:webHidden/>
          </w:rPr>
          <w:fldChar w:fldCharType="separate"/>
        </w:r>
        <w:r w:rsidR="007A7623">
          <w:rPr>
            <w:noProof/>
            <w:webHidden/>
          </w:rPr>
          <w:t>3</w:t>
        </w:r>
        <w:r w:rsidR="005B7436" w:rsidRPr="005B7436">
          <w:rPr>
            <w:noProof/>
            <w:webHidden/>
          </w:rPr>
          <w:fldChar w:fldCharType="end"/>
        </w:r>
      </w:hyperlink>
    </w:p>
    <w:p w14:paraId="5FBEBCB1" w14:textId="28B7C7D7" w:rsidR="005B7436" w:rsidRPr="005B7436" w:rsidRDefault="00E31B2B" w:rsidP="00E31B2B">
      <w:pPr>
        <w:pStyle w:val="TOC1"/>
        <w:rPr>
          <w:rFonts w:asciiTheme="minorHAnsi" w:eastAsiaTheme="minorEastAsia" w:hAnsiTheme="minorHAnsi" w:cstheme="minorBidi"/>
          <w:noProof/>
          <w:sz w:val="22"/>
          <w:szCs w:val="22"/>
          <w:lang w:val="en-US"/>
        </w:rPr>
      </w:pPr>
      <w:hyperlink w:anchor="_Toc94876337" w:history="1">
        <w:r w:rsidR="005B7436" w:rsidRPr="005B7436">
          <w:rPr>
            <w:rStyle w:val="Hyperlink"/>
            <w:noProof/>
            <w:u w:val="none"/>
            <w:lang w:val="fr-FR"/>
          </w:rPr>
          <w:t>2</w:t>
        </w:r>
        <w:r w:rsidR="005B7436" w:rsidRPr="005B7436">
          <w:rPr>
            <w:rFonts w:asciiTheme="minorHAnsi" w:eastAsiaTheme="minorEastAsia" w:hAnsiTheme="minorHAnsi" w:cstheme="minorBidi"/>
            <w:noProof/>
            <w:sz w:val="22"/>
            <w:szCs w:val="22"/>
            <w:lang w:val="en-US"/>
          </w:rPr>
          <w:tab/>
        </w:r>
        <w:r w:rsidR="005B7436" w:rsidRPr="005B7436">
          <w:rPr>
            <w:rStyle w:val="Hyperlink"/>
            <w:noProof/>
            <w:u w:val="none"/>
            <w:lang w:val="fr-FR"/>
          </w:rPr>
          <w:t>Organisation des travaux</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_Toc94876337 \h </w:instrText>
        </w:r>
        <w:r w:rsidR="005B7436" w:rsidRPr="005B7436">
          <w:rPr>
            <w:noProof/>
            <w:webHidden/>
          </w:rPr>
        </w:r>
        <w:r w:rsidR="005B7436" w:rsidRPr="005B7436">
          <w:rPr>
            <w:noProof/>
            <w:webHidden/>
          </w:rPr>
          <w:fldChar w:fldCharType="separate"/>
        </w:r>
        <w:r w:rsidR="007A7623">
          <w:rPr>
            <w:noProof/>
            <w:webHidden/>
          </w:rPr>
          <w:t>7</w:t>
        </w:r>
        <w:r w:rsidR="005B7436" w:rsidRPr="005B7436">
          <w:rPr>
            <w:noProof/>
            <w:webHidden/>
          </w:rPr>
          <w:fldChar w:fldCharType="end"/>
        </w:r>
      </w:hyperlink>
    </w:p>
    <w:p w14:paraId="3359B2E2" w14:textId="48249A6B" w:rsidR="005B7436" w:rsidRPr="005B7436" w:rsidRDefault="00E31B2B" w:rsidP="00E31B2B">
      <w:pPr>
        <w:pStyle w:val="TOC2"/>
        <w:tabs>
          <w:tab w:val="left" w:pos="1134"/>
        </w:tabs>
        <w:ind w:hanging="7"/>
        <w:rPr>
          <w:rFonts w:asciiTheme="minorHAnsi" w:eastAsiaTheme="minorEastAsia" w:hAnsiTheme="minorHAnsi" w:cstheme="minorBidi"/>
          <w:noProof/>
          <w:sz w:val="22"/>
          <w:szCs w:val="22"/>
          <w:lang w:val="en-US"/>
        </w:rPr>
      </w:pPr>
      <w:hyperlink w:anchor="_Toc94876338" w:history="1">
        <w:r w:rsidR="005B7436" w:rsidRPr="005B7436">
          <w:rPr>
            <w:rStyle w:val="Hyperlink"/>
            <w:noProof/>
            <w:u w:val="none"/>
            <w:lang w:val="fr-FR"/>
          </w:rPr>
          <w:t>2.1</w:t>
        </w:r>
        <w:r w:rsidR="005B7436" w:rsidRPr="005B7436">
          <w:rPr>
            <w:rFonts w:asciiTheme="minorHAnsi" w:eastAsiaTheme="minorEastAsia" w:hAnsiTheme="minorHAnsi" w:cstheme="minorBidi"/>
            <w:noProof/>
            <w:sz w:val="22"/>
            <w:szCs w:val="22"/>
            <w:lang w:val="en-US"/>
          </w:rPr>
          <w:tab/>
        </w:r>
        <w:r w:rsidR="005B7436" w:rsidRPr="005B7436">
          <w:rPr>
            <w:rStyle w:val="Hyperlink"/>
            <w:noProof/>
            <w:u w:val="none"/>
            <w:lang w:val="fr-FR"/>
          </w:rPr>
          <w:t>Organisation des études et répartition des travaux</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_Toc94876338 \h </w:instrText>
        </w:r>
        <w:r w:rsidR="005B7436" w:rsidRPr="005B7436">
          <w:rPr>
            <w:noProof/>
            <w:webHidden/>
          </w:rPr>
        </w:r>
        <w:r w:rsidR="005B7436" w:rsidRPr="005B7436">
          <w:rPr>
            <w:noProof/>
            <w:webHidden/>
          </w:rPr>
          <w:fldChar w:fldCharType="separate"/>
        </w:r>
        <w:r w:rsidR="007A7623">
          <w:rPr>
            <w:noProof/>
            <w:webHidden/>
          </w:rPr>
          <w:t>7</w:t>
        </w:r>
        <w:r w:rsidR="005B7436" w:rsidRPr="005B7436">
          <w:rPr>
            <w:noProof/>
            <w:webHidden/>
          </w:rPr>
          <w:fldChar w:fldCharType="end"/>
        </w:r>
      </w:hyperlink>
    </w:p>
    <w:p w14:paraId="1330671D" w14:textId="4C67F565" w:rsidR="005B7436" w:rsidRPr="005B7436" w:rsidRDefault="00E31B2B" w:rsidP="00E31B2B">
      <w:pPr>
        <w:pStyle w:val="TOC1"/>
        <w:rPr>
          <w:rFonts w:asciiTheme="minorHAnsi" w:eastAsiaTheme="minorEastAsia" w:hAnsiTheme="minorHAnsi" w:cstheme="minorBidi"/>
          <w:noProof/>
          <w:sz w:val="22"/>
          <w:szCs w:val="22"/>
          <w:lang w:val="en-US"/>
        </w:rPr>
      </w:pPr>
      <w:hyperlink w:anchor="_Toc94876339" w:history="1">
        <w:r w:rsidR="005B7436" w:rsidRPr="005B7436">
          <w:rPr>
            <w:rStyle w:val="Hyperlink"/>
            <w:noProof/>
            <w:u w:val="none"/>
            <w:lang w:val="fr-FR"/>
          </w:rPr>
          <w:t>3</w:t>
        </w:r>
        <w:r w:rsidR="005B7436" w:rsidRPr="005B7436">
          <w:rPr>
            <w:rFonts w:asciiTheme="minorHAnsi" w:eastAsiaTheme="minorEastAsia" w:hAnsiTheme="minorHAnsi" w:cstheme="minorBidi"/>
            <w:noProof/>
            <w:sz w:val="22"/>
            <w:szCs w:val="22"/>
            <w:lang w:val="en-US"/>
          </w:rPr>
          <w:tab/>
        </w:r>
        <w:r w:rsidR="005B7436" w:rsidRPr="005B7436">
          <w:rPr>
            <w:rStyle w:val="Hyperlink"/>
            <w:noProof/>
            <w:u w:val="none"/>
            <w:lang w:val="fr-FR"/>
          </w:rPr>
          <w:t>Résultats des travaux effectués pendant la période d</w:t>
        </w:r>
        <w:r>
          <w:rPr>
            <w:rStyle w:val="Hyperlink"/>
            <w:noProof/>
            <w:u w:val="none"/>
            <w:lang w:val="fr-FR"/>
          </w:rPr>
          <w:t>'</w:t>
        </w:r>
        <w:r w:rsidR="005B7436" w:rsidRPr="005B7436">
          <w:rPr>
            <w:rStyle w:val="Hyperlink"/>
            <w:noProof/>
            <w:u w:val="none"/>
            <w:lang w:val="fr-FR"/>
          </w:rPr>
          <w:t>études 2017-2021</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_Toc94876339 \h </w:instrText>
        </w:r>
        <w:r w:rsidR="005B7436" w:rsidRPr="005B7436">
          <w:rPr>
            <w:noProof/>
            <w:webHidden/>
          </w:rPr>
        </w:r>
        <w:r w:rsidR="005B7436" w:rsidRPr="005B7436">
          <w:rPr>
            <w:noProof/>
            <w:webHidden/>
          </w:rPr>
          <w:fldChar w:fldCharType="separate"/>
        </w:r>
        <w:r w:rsidR="007A7623">
          <w:rPr>
            <w:noProof/>
            <w:webHidden/>
          </w:rPr>
          <w:t>11</w:t>
        </w:r>
        <w:r w:rsidR="005B7436" w:rsidRPr="005B7436">
          <w:rPr>
            <w:noProof/>
            <w:webHidden/>
          </w:rPr>
          <w:fldChar w:fldCharType="end"/>
        </w:r>
      </w:hyperlink>
    </w:p>
    <w:p w14:paraId="42F0834D" w14:textId="25AF8B02" w:rsidR="005B7436" w:rsidRPr="005B7436" w:rsidRDefault="00E31B2B" w:rsidP="00E31B2B">
      <w:pPr>
        <w:pStyle w:val="TOC2"/>
        <w:tabs>
          <w:tab w:val="left" w:pos="1134"/>
        </w:tabs>
        <w:ind w:hanging="7"/>
        <w:rPr>
          <w:rFonts w:asciiTheme="minorHAnsi" w:eastAsiaTheme="minorEastAsia" w:hAnsiTheme="minorHAnsi" w:cstheme="minorBidi"/>
          <w:noProof/>
          <w:sz w:val="22"/>
          <w:szCs w:val="22"/>
          <w:lang w:val="en-US"/>
        </w:rPr>
      </w:pPr>
      <w:hyperlink w:anchor="_Toc94876340" w:history="1">
        <w:r w:rsidR="005B7436" w:rsidRPr="005B7436">
          <w:rPr>
            <w:rStyle w:val="Hyperlink"/>
            <w:noProof/>
            <w:u w:val="none"/>
            <w:lang w:val="fr-FR"/>
          </w:rPr>
          <w:t>3.1</w:t>
        </w:r>
        <w:r w:rsidR="005B7436" w:rsidRPr="005B7436">
          <w:rPr>
            <w:rFonts w:asciiTheme="minorHAnsi" w:eastAsiaTheme="minorEastAsia" w:hAnsiTheme="minorHAnsi" w:cstheme="minorBidi"/>
            <w:noProof/>
            <w:sz w:val="22"/>
            <w:szCs w:val="22"/>
            <w:lang w:val="en-US"/>
          </w:rPr>
          <w:tab/>
        </w:r>
        <w:r w:rsidR="005B7436" w:rsidRPr="005B7436">
          <w:rPr>
            <w:rStyle w:val="Hyperlink"/>
            <w:noProof/>
            <w:u w:val="none"/>
            <w:lang w:val="fr-FR"/>
          </w:rPr>
          <w:t>Généralités</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_Toc94876340 \h </w:instrText>
        </w:r>
        <w:r w:rsidR="005B7436" w:rsidRPr="005B7436">
          <w:rPr>
            <w:noProof/>
            <w:webHidden/>
          </w:rPr>
        </w:r>
        <w:r w:rsidR="005B7436" w:rsidRPr="005B7436">
          <w:rPr>
            <w:noProof/>
            <w:webHidden/>
          </w:rPr>
          <w:fldChar w:fldCharType="separate"/>
        </w:r>
        <w:r w:rsidR="007A7623">
          <w:rPr>
            <w:noProof/>
            <w:webHidden/>
          </w:rPr>
          <w:t>11</w:t>
        </w:r>
        <w:r w:rsidR="005B7436" w:rsidRPr="005B7436">
          <w:rPr>
            <w:noProof/>
            <w:webHidden/>
          </w:rPr>
          <w:fldChar w:fldCharType="end"/>
        </w:r>
      </w:hyperlink>
    </w:p>
    <w:p w14:paraId="1FE9EA8E" w14:textId="46E6CA05" w:rsidR="005B7436" w:rsidRPr="005B7436" w:rsidRDefault="00E31B2B" w:rsidP="00E31B2B">
      <w:pPr>
        <w:pStyle w:val="TOC2"/>
        <w:tabs>
          <w:tab w:val="left" w:pos="1134"/>
        </w:tabs>
        <w:ind w:hanging="7"/>
        <w:rPr>
          <w:rFonts w:asciiTheme="minorHAnsi" w:eastAsiaTheme="minorEastAsia" w:hAnsiTheme="minorHAnsi" w:cstheme="minorBidi"/>
          <w:noProof/>
          <w:sz w:val="22"/>
          <w:szCs w:val="22"/>
          <w:lang w:val="en-US"/>
        </w:rPr>
      </w:pPr>
      <w:hyperlink w:anchor="_Toc94876341" w:history="1">
        <w:r w:rsidR="005B7436" w:rsidRPr="005B7436">
          <w:rPr>
            <w:rStyle w:val="Hyperlink"/>
            <w:noProof/>
            <w:u w:val="none"/>
            <w:lang w:val="fr-FR"/>
          </w:rPr>
          <w:t>3.2</w:t>
        </w:r>
        <w:r w:rsidR="005B7436" w:rsidRPr="005B7436">
          <w:rPr>
            <w:rFonts w:asciiTheme="minorHAnsi" w:eastAsiaTheme="minorEastAsia" w:hAnsiTheme="minorHAnsi" w:cstheme="minorBidi"/>
            <w:noProof/>
            <w:sz w:val="22"/>
            <w:szCs w:val="22"/>
            <w:lang w:val="en-US"/>
          </w:rPr>
          <w:tab/>
        </w:r>
        <w:r w:rsidR="005B7436" w:rsidRPr="005B7436">
          <w:rPr>
            <w:rStyle w:val="Hyperlink"/>
            <w:noProof/>
            <w:u w:val="none"/>
            <w:lang w:val="fr-FR"/>
          </w:rPr>
          <w:t>Principaux résultats obtenus</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_Toc94876341 \h </w:instrText>
        </w:r>
        <w:r w:rsidR="005B7436" w:rsidRPr="005B7436">
          <w:rPr>
            <w:noProof/>
            <w:webHidden/>
          </w:rPr>
        </w:r>
        <w:r w:rsidR="005B7436" w:rsidRPr="005B7436">
          <w:rPr>
            <w:noProof/>
            <w:webHidden/>
          </w:rPr>
          <w:fldChar w:fldCharType="separate"/>
        </w:r>
        <w:r w:rsidR="007A7623">
          <w:rPr>
            <w:noProof/>
            <w:webHidden/>
          </w:rPr>
          <w:t>11</w:t>
        </w:r>
        <w:r w:rsidR="005B7436" w:rsidRPr="005B7436">
          <w:rPr>
            <w:noProof/>
            <w:webHidden/>
          </w:rPr>
          <w:fldChar w:fldCharType="end"/>
        </w:r>
      </w:hyperlink>
    </w:p>
    <w:p w14:paraId="6BD80B4C" w14:textId="3B1A0B90" w:rsidR="005B7436" w:rsidRPr="005B7436" w:rsidRDefault="00E31B2B" w:rsidP="00E31B2B">
      <w:pPr>
        <w:pStyle w:val="TOC2"/>
        <w:tabs>
          <w:tab w:val="left" w:pos="1134"/>
        </w:tabs>
        <w:ind w:hanging="7"/>
        <w:rPr>
          <w:rFonts w:asciiTheme="minorHAnsi" w:eastAsiaTheme="minorEastAsia" w:hAnsiTheme="minorHAnsi" w:cstheme="minorBidi"/>
          <w:noProof/>
          <w:sz w:val="22"/>
          <w:szCs w:val="22"/>
          <w:lang w:val="en-US"/>
        </w:rPr>
      </w:pPr>
      <w:hyperlink w:anchor="_Toc94876343" w:history="1">
        <w:r w:rsidR="005B7436" w:rsidRPr="005B7436">
          <w:rPr>
            <w:rStyle w:val="Hyperlink"/>
            <w:noProof/>
            <w:u w:val="none"/>
            <w:lang w:val="fr-FR"/>
          </w:rPr>
          <w:t>3.3</w:t>
        </w:r>
        <w:r w:rsidR="005B7436" w:rsidRPr="005B7436">
          <w:rPr>
            <w:rFonts w:asciiTheme="minorHAnsi" w:eastAsiaTheme="minorEastAsia" w:hAnsiTheme="minorHAnsi" w:cstheme="minorBidi"/>
            <w:noProof/>
            <w:sz w:val="22"/>
            <w:szCs w:val="22"/>
            <w:lang w:val="en-US"/>
          </w:rPr>
          <w:tab/>
        </w:r>
        <w:r w:rsidR="005B7436" w:rsidRPr="005B7436">
          <w:rPr>
            <w:rStyle w:val="Hyperlink"/>
            <w:noProof/>
            <w:u w:val="none"/>
            <w:lang w:val="fr-FR"/>
          </w:rPr>
          <w:t>Groupes spécialisés de l</w:t>
        </w:r>
        <w:r>
          <w:rPr>
            <w:rStyle w:val="Hyperlink"/>
            <w:noProof/>
            <w:u w:val="none"/>
            <w:lang w:val="fr-FR"/>
          </w:rPr>
          <w:t>'</w:t>
        </w:r>
        <w:r w:rsidR="005B7436" w:rsidRPr="005B7436">
          <w:rPr>
            <w:rStyle w:val="Hyperlink"/>
            <w:noProof/>
            <w:u w:val="none"/>
            <w:lang w:val="fr-FR"/>
          </w:rPr>
          <w:t>UIT-T rattachés au GCNT</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_Toc94876343 \h </w:instrText>
        </w:r>
        <w:r w:rsidR="005B7436" w:rsidRPr="005B7436">
          <w:rPr>
            <w:noProof/>
            <w:webHidden/>
          </w:rPr>
        </w:r>
        <w:r w:rsidR="005B7436" w:rsidRPr="005B7436">
          <w:rPr>
            <w:noProof/>
            <w:webHidden/>
          </w:rPr>
          <w:fldChar w:fldCharType="separate"/>
        </w:r>
        <w:r w:rsidR="007A7623">
          <w:rPr>
            <w:noProof/>
            <w:webHidden/>
          </w:rPr>
          <w:t>24</w:t>
        </w:r>
        <w:r w:rsidR="005B7436" w:rsidRPr="005B7436">
          <w:rPr>
            <w:noProof/>
            <w:webHidden/>
          </w:rPr>
          <w:fldChar w:fldCharType="end"/>
        </w:r>
      </w:hyperlink>
    </w:p>
    <w:p w14:paraId="5A3647E9" w14:textId="67581B69" w:rsidR="005B7436" w:rsidRPr="005B7436" w:rsidRDefault="00E31B2B" w:rsidP="00E31B2B">
      <w:pPr>
        <w:pStyle w:val="TOC2"/>
        <w:tabs>
          <w:tab w:val="left" w:pos="1134"/>
        </w:tabs>
        <w:ind w:hanging="7"/>
        <w:rPr>
          <w:rFonts w:asciiTheme="minorHAnsi" w:eastAsiaTheme="minorEastAsia" w:hAnsiTheme="minorHAnsi" w:cstheme="minorBidi"/>
          <w:noProof/>
          <w:sz w:val="22"/>
          <w:szCs w:val="22"/>
          <w:lang w:val="en-US"/>
        </w:rPr>
      </w:pPr>
      <w:hyperlink w:anchor="_Toc94876344" w:history="1">
        <w:r w:rsidR="005B7436" w:rsidRPr="005B7436">
          <w:rPr>
            <w:rStyle w:val="Hyperlink"/>
            <w:noProof/>
            <w:u w:val="none"/>
            <w:lang w:val="fr-FR"/>
          </w:rPr>
          <w:t>3.4</w:t>
        </w:r>
        <w:r w:rsidR="005B7436" w:rsidRPr="005B7436">
          <w:rPr>
            <w:rFonts w:asciiTheme="minorHAnsi" w:eastAsiaTheme="minorEastAsia" w:hAnsiTheme="minorHAnsi" w:cstheme="minorBidi"/>
            <w:noProof/>
            <w:sz w:val="22"/>
            <w:szCs w:val="22"/>
            <w:lang w:val="en-US"/>
          </w:rPr>
          <w:tab/>
        </w:r>
        <w:r w:rsidR="005B7436" w:rsidRPr="005B7436">
          <w:rPr>
            <w:rStyle w:val="Hyperlink"/>
            <w:noProof/>
            <w:u w:val="none"/>
            <w:lang w:val="fr-FR"/>
          </w:rPr>
          <w:t>Autres résultats des travaux du GCNT</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_Toc94876344 \h </w:instrText>
        </w:r>
        <w:r w:rsidR="005B7436" w:rsidRPr="005B7436">
          <w:rPr>
            <w:noProof/>
            <w:webHidden/>
          </w:rPr>
        </w:r>
        <w:r w:rsidR="005B7436" w:rsidRPr="005B7436">
          <w:rPr>
            <w:noProof/>
            <w:webHidden/>
          </w:rPr>
          <w:fldChar w:fldCharType="separate"/>
        </w:r>
        <w:r w:rsidR="007A7623">
          <w:rPr>
            <w:noProof/>
            <w:webHidden/>
          </w:rPr>
          <w:t>27</w:t>
        </w:r>
        <w:r w:rsidR="005B7436" w:rsidRPr="005B7436">
          <w:rPr>
            <w:noProof/>
            <w:webHidden/>
          </w:rPr>
          <w:fldChar w:fldCharType="end"/>
        </w:r>
      </w:hyperlink>
    </w:p>
    <w:p w14:paraId="6F71A5A9" w14:textId="0A194ED7" w:rsidR="005B7436" w:rsidRPr="005B7436" w:rsidRDefault="00E31B2B" w:rsidP="00E31B2B">
      <w:pPr>
        <w:pStyle w:val="TOC1"/>
        <w:ind w:left="0" w:firstLine="0"/>
        <w:rPr>
          <w:rFonts w:asciiTheme="minorHAnsi" w:eastAsiaTheme="minorEastAsia" w:hAnsiTheme="minorHAnsi" w:cstheme="minorBidi"/>
          <w:noProof/>
          <w:sz w:val="22"/>
          <w:szCs w:val="22"/>
          <w:lang w:val="en-US"/>
        </w:rPr>
      </w:pPr>
      <w:hyperlink w:anchor="_Toc94876345" w:history="1">
        <w:r w:rsidR="005B7436" w:rsidRPr="005B7436">
          <w:rPr>
            <w:rStyle w:val="Hyperlink"/>
            <w:noProof/>
            <w:u w:val="none"/>
            <w:lang w:val="fr-FR"/>
          </w:rPr>
          <w:t>ANNEXE 1</w:t>
        </w:r>
      </w:hyperlink>
      <w:r w:rsidR="005B7436" w:rsidRPr="005B7436">
        <w:rPr>
          <w:rStyle w:val="Hyperlink"/>
          <w:noProof/>
          <w:u w:val="none"/>
        </w:rPr>
        <w:t xml:space="preserve"> – </w:t>
      </w:r>
      <w:hyperlink w:anchor="_Toc94876346" w:history="1">
        <w:r w:rsidR="005B7436" w:rsidRPr="005B7436">
          <w:rPr>
            <w:rStyle w:val="Hyperlink"/>
            <w:noProof/>
            <w:u w:val="none"/>
            <w:lang w:val="fr-FR"/>
          </w:rPr>
          <w:t>Liste des Recommandations, Suppléments et autres documents produits ou supprimés pendant la période d</w:t>
        </w:r>
        <w:r>
          <w:rPr>
            <w:rStyle w:val="Hyperlink"/>
            <w:noProof/>
            <w:u w:val="none"/>
            <w:lang w:val="fr-FR"/>
          </w:rPr>
          <w:t>'</w:t>
        </w:r>
        <w:r w:rsidR="005B7436" w:rsidRPr="005B7436">
          <w:rPr>
            <w:rStyle w:val="Hyperlink"/>
            <w:noProof/>
            <w:u w:val="none"/>
            <w:lang w:val="fr-FR"/>
          </w:rPr>
          <w:t>études</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_Toc94876346 \h </w:instrText>
        </w:r>
        <w:r w:rsidR="005B7436" w:rsidRPr="005B7436">
          <w:rPr>
            <w:noProof/>
            <w:webHidden/>
          </w:rPr>
        </w:r>
        <w:r w:rsidR="005B7436" w:rsidRPr="005B7436">
          <w:rPr>
            <w:noProof/>
            <w:webHidden/>
          </w:rPr>
          <w:fldChar w:fldCharType="separate"/>
        </w:r>
        <w:r w:rsidR="007A7623">
          <w:rPr>
            <w:noProof/>
            <w:webHidden/>
          </w:rPr>
          <w:t>31</w:t>
        </w:r>
        <w:r w:rsidR="005B7436" w:rsidRPr="005B7436">
          <w:rPr>
            <w:noProof/>
            <w:webHidden/>
          </w:rPr>
          <w:fldChar w:fldCharType="end"/>
        </w:r>
      </w:hyperlink>
    </w:p>
    <w:p w14:paraId="75ED336F" w14:textId="7437FDE2" w:rsidR="005B7436" w:rsidRDefault="00E31B2B" w:rsidP="00E31B2B">
      <w:pPr>
        <w:pStyle w:val="TOC1"/>
        <w:ind w:left="0" w:firstLine="0"/>
        <w:rPr>
          <w:rFonts w:asciiTheme="minorHAnsi" w:eastAsiaTheme="minorEastAsia" w:hAnsiTheme="minorHAnsi" w:cstheme="minorBidi"/>
          <w:noProof/>
          <w:sz w:val="22"/>
          <w:szCs w:val="22"/>
          <w:lang w:val="en-US"/>
        </w:rPr>
      </w:pPr>
      <w:hyperlink w:anchor="_Toc94876347" w:history="1">
        <w:r w:rsidR="005B7436" w:rsidRPr="005B7436">
          <w:rPr>
            <w:rStyle w:val="Hyperlink"/>
            <w:noProof/>
            <w:u w:val="none"/>
            <w:lang w:val="fr-FR"/>
          </w:rPr>
          <w:t>ANNEXE 2</w:t>
        </w:r>
      </w:hyperlink>
      <w:r w:rsidR="005B7436" w:rsidRPr="005B7436">
        <w:rPr>
          <w:rStyle w:val="Hyperlink"/>
          <w:noProof/>
          <w:u w:val="none"/>
        </w:rPr>
        <w:t xml:space="preserve"> – </w:t>
      </w:r>
      <w:hyperlink w:anchor="_Toc94876348" w:history="1">
        <w:r w:rsidR="005B7436" w:rsidRPr="005B7436">
          <w:rPr>
            <w:rStyle w:val="Hyperlink"/>
            <w:noProof/>
            <w:u w:val="none"/>
            <w:lang w:val="fr-FR"/>
          </w:rPr>
          <w:t>Résumé des résultats des travaux du Groupe du Rapporteur du GCNT sur la création de groupes régionaux des commissions d</w:t>
        </w:r>
        <w:r>
          <w:rPr>
            <w:rStyle w:val="Hyperlink"/>
            <w:noProof/>
            <w:u w:val="none"/>
            <w:lang w:val="fr-FR"/>
          </w:rPr>
          <w:t>'</w:t>
        </w:r>
        <w:r w:rsidR="005B7436" w:rsidRPr="005B7436">
          <w:rPr>
            <w:rStyle w:val="Hyperlink"/>
            <w:noProof/>
            <w:u w:val="none"/>
            <w:lang w:val="fr-FR"/>
          </w:rPr>
          <w:t>études, la participation à leurs travaux et leur dissolution (RG-CPTRG)</w:t>
        </w:r>
        <w:r w:rsidR="005B7436" w:rsidRPr="005B7436">
          <w:rPr>
            <w:noProof/>
            <w:webHidden/>
          </w:rPr>
          <w:tab/>
        </w:r>
        <w:r w:rsidR="005B7436" w:rsidRPr="005B7436">
          <w:rPr>
            <w:noProof/>
            <w:webHidden/>
          </w:rPr>
          <w:tab/>
        </w:r>
        <w:r w:rsidR="005B7436" w:rsidRPr="005B7436">
          <w:rPr>
            <w:noProof/>
            <w:webHidden/>
          </w:rPr>
          <w:fldChar w:fldCharType="begin"/>
        </w:r>
        <w:r w:rsidR="005B7436" w:rsidRPr="005B7436">
          <w:rPr>
            <w:noProof/>
            <w:webHidden/>
          </w:rPr>
          <w:instrText xml:space="preserve"> PAGEREF _Toc94876348 \h </w:instrText>
        </w:r>
        <w:r w:rsidR="005B7436" w:rsidRPr="005B7436">
          <w:rPr>
            <w:noProof/>
            <w:webHidden/>
          </w:rPr>
        </w:r>
        <w:r w:rsidR="005B7436" w:rsidRPr="005B7436">
          <w:rPr>
            <w:noProof/>
            <w:webHidden/>
          </w:rPr>
          <w:fldChar w:fldCharType="separate"/>
        </w:r>
        <w:r w:rsidR="007A7623">
          <w:rPr>
            <w:noProof/>
            <w:webHidden/>
          </w:rPr>
          <w:t>34</w:t>
        </w:r>
        <w:r w:rsidR="005B7436" w:rsidRPr="005B7436">
          <w:rPr>
            <w:noProof/>
            <w:webHidden/>
          </w:rPr>
          <w:fldChar w:fldCharType="end"/>
        </w:r>
      </w:hyperlink>
    </w:p>
    <w:p w14:paraId="27DB3105" w14:textId="4847D34A" w:rsidR="005B7436" w:rsidRDefault="00E31B2B" w:rsidP="00E31B2B">
      <w:pPr>
        <w:pStyle w:val="TOC1"/>
        <w:ind w:left="0" w:firstLine="0"/>
        <w:rPr>
          <w:rFonts w:asciiTheme="minorHAnsi" w:eastAsiaTheme="minorEastAsia" w:hAnsiTheme="minorHAnsi" w:cstheme="minorBidi"/>
          <w:noProof/>
          <w:sz w:val="22"/>
          <w:szCs w:val="22"/>
          <w:lang w:val="en-US"/>
        </w:rPr>
      </w:pPr>
      <w:hyperlink w:anchor="_Toc94876354" w:history="1">
        <w:r w:rsidR="005B7436" w:rsidRPr="002C7FB0">
          <w:rPr>
            <w:rStyle w:val="Hyperlink"/>
            <w:noProof/>
            <w:lang w:val="fr-FR"/>
          </w:rPr>
          <w:t>Appendice I du Document 23 de l</w:t>
        </w:r>
        <w:r>
          <w:rPr>
            <w:rStyle w:val="Hyperlink"/>
            <w:noProof/>
            <w:lang w:val="fr-FR"/>
          </w:rPr>
          <w:t>'</w:t>
        </w:r>
        <w:r w:rsidR="005B7436" w:rsidRPr="002C7FB0">
          <w:rPr>
            <w:rStyle w:val="Hyperlink"/>
            <w:noProof/>
            <w:lang w:val="fr-FR"/>
          </w:rPr>
          <w:t xml:space="preserve">AMNT-20 </w:t>
        </w:r>
        <w:r w:rsidR="005B7436">
          <w:rPr>
            <w:rStyle w:val="Hyperlink"/>
            <w:noProof/>
            <w:lang w:val="fr-FR"/>
          </w:rPr>
          <w:t>–</w:t>
        </w:r>
        <w:r w:rsidR="005B7436" w:rsidRPr="002C7FB0">
          <w:rPr>
            <w:rStyle w:val="Hyperlink"/>
            <w:noProof/>
            <w:lang w:val="fr-FR"/>
          </w:rPr>
          <w:t xml:space="preserve"> Projet de plan d</w:t>
        </w:r>
        <w:r>
          <w:rPr>
            <w:rStyle w:val="Hyperlink"/>
            <w:noProof/>
            <w:lang w:val="fr-FR"/>
          </w:rPr>
          <w:t>'</w:t>
        </w:r>
        <w:r w:rsidR="005B7436" w:rsidRPr="002C7FB0">
          <w:rPr>
            <w:rStyle w:val="Hyperlink"/>
            <w:noProof/>
            <w:lang w:val="fr-FR"/>
          </w:rPr>
          <w:t>act</w:t>
        </w:r>
        <w:r w:rsidR="005B7436">
          <w:rPr>
            <w:rStyle w:val="Hyperlink"/>
            <w:noProof/>
            <w:lang w:val="fr-FR"/>
          </w:rPr>
          <w:t>ion aux fins de l</w:t>
        </w:r>
        <w:r>
          <w:rPr>
            <w:rStyle w:val="Hyperlink"/>
            <w:noProof/>
            <w:lang w:val="fr-FR"/>
          </w:rPr>
          <w:t>'</w:t>
        </w:r>
        <w:r w:rsidR="005B7436">
          <w:rPr>
            <w:rStyle w:val="Hyperlink"/>
            <w:noProof/>
            <w:lang w:val="fr-FR"/>
          </w:rPr>
          <w:t>analyse de la </w:t>
        </w:r>
        <w:r w:rsidR="005B7436" w:rsidRPr="002C7FB0">
          <w:rPr>
            <w:rStyle w:val="Hyperlink"/>
            <w:noProof/>
            <w:lang w:val="fr-FR"/>
          </w:rPr>
          <w:t>restructuration des commissions d</w:t>
        </w:r>
        <w:r>
          <w:rPr>
            <w:rStyle w:val="Hyperlink"/>
            <w:noProof/>
            <w:lang w:val="fr-FR"/>
          </w:rPr>
          <w:t>'</w:t>
        </w:r>
        <w:r w:rsidR="005B7436" w:rsidRPr="002C7FB0">
          <w:rPr>
            <w:rStyle w:val="Hyperlink"/>
            <w:noProof/>
            <w:lang w:val="fr-FR"/>
          </w:rPr>
          <w:t>études de l</w:t>
        </w:r>
        <w:r>
          <w:rPr>
            <w:rStyle w:val="Hyperlink"/>
            <w:noProof/>
            <w:lang w:val="fr-FR"/>
          </w:rPr>
          <w:t>'</w:t>
        </w:r>
        <w:r w:rsidR="005B7436" w:rsidRPr="002C7FB0">
          <w:rPr>
            <w:rStyle w:val="Hyperlink"/>
            <w:noProof/>
            <w:lang w:val="fr-FR"/>
          </w:rPr>
          <w:t>UIT-T</w:t>
        </w:r>
        <w:r w:rsidR="005B7436">
          <w:rPr>
            <w:noProof/>
            <w:webHidden/>
          </w:rPr>
          <w:tab/>
        </w:r>
        <w:r w:rsidR="005B7436">
          <w:rPr>
            <w:noProof/>
            <w:webHidden/>
          </w:rPr>
          <w:tab/>
        </w:r>
        <w:r w:rsidR="005B7436">
          <w:rPr>
            <w:noProof/>
            <w:webHidden/>
          </w:rPr>
          <w:fldChar w:fldCharType="begin"/>
        </w:r>
        <w:r w:rsidR="005B7436">
          <w:rPr>
            <w:noProof/>
            <w:webHidden/>
          </w:rPr>
          <w:instrText xml:space="preserve"> PAGEREF _Toc94876354 \h </w:instrText>
        </w:r>
        <w:r w:rsidR="005B7436">
          <w:rPr>
            <w:noProof/>
            <w:webHidden/>
          </w:rPr>
        </w:r>
        <w:r w:rsidR="005B7436">
          <w:rPr>
            <w:noProof/>
            <w:webHidden/>
          </w:rPr>
          <w:fldChar w:fldCharType="separate"/>
        </w:r>
        <w:r w:rsidR="007A7623">
          <w:rPr>
            <w:noProof/>
            <w:webHidden/>
          </w:rPr>
          <w:t>39</w:t>
        </w:r>
        <w:r w:rsidR="005B7436">
          <w:rPr>
            <w:noProof/>
            <w:webHidden/>
          </w:rPr>
          <w:fldChar w:fldCharType="end"/>
        </w:r>
      </w:hyperlink>
    </w:p>
    <w:p w14:paraId="1EF464DC" w14:textId="77777777" w:rsidR="00490157" w:rsidRPr="00EF1CC7" w:rsidRDefault="005B7436" w:rsidP="00E31B2B">
      <w:pPr>
        <w:rPr>
          <w:lang w:val="fr-FR"/>
        </w:rPr>
      </w:pPr>
      <w:r>
        <w:rPr>
          <w:lang w:val="fr-FR"/>
        </w:rPr>
        <w:fldChar w:fldCharType="end"/>
      </w:r>
    </w:p>
    <w:p w14:paraId="20CE0FCF" w14:textId="77777777" w:rsidR="00490157" w:rsidRPr="00EF1CC7" w:rsidRDefault="00490157" w:rsidP="00E31B2B">
      <w:pPr>
        <w:rPr>
          <w:lang w:val="fr-FR"/>
        </w:rPr>
      </w:pPr>
      <w:r w:rsidRPr="00EF1CC7">
        <w:rPr>
          <w:lang w:val="fr-FR"/>
        </w:rPr>
        <w:br w:type="page"/>
      </w:r>
    </w:p>
    <w:p w14:paraId="1C414168" w14:textId="77777777" w:rsidR="00490157" w:rsidRPr="00EF1CC7" w:rsidRDefault="00490157" w:rsidP="00E31B2B">
      <w:pPr>
        <w:pStyle w:val="Heading1"/>
        <w:rPr>
          <w:lang w:val="fr-FR"/>
        </w:rPr>
      </w:pPr>
      <w:bookmarkStart w:id="0" w:name="_Toc462304935"/>
      <w:bookmarkStart w:id="1" w:name="_Toc94876334"/>
      <w:r w:rsidRPr="00EF1CC7">
        <w:rPr>
          <w:lang w:val="fr-FR"/>
        </w:rPr>
        <w:lastRenderedPageBreak/>
        <w:t>1</w:t>
      </w:r>
      <w:r w:rsidRPr="00EF1CC7">
        <w:rPr>
          <w:lang w:val="fr-FR"/>
        </w:rPr>
        <w:tab/>
        <w:t>Introduction</w:t>
      </w:r>
      <w:bookmarkEnd w:id="0"/>
      <w:bookmarkEnd w:id="1"/>
    </w:p>
    <w:p w14:paraId="0E76F805" w14:textId="1A93F340" w:rsidR="00490157" w:rsidRPr="00EF1CC7" w:rsidRDefault="00813B36" w:rsidP="00E31B2B">
      <w:pPr>
        <w:rPr>
          <w:color w:val="000000" w:themeColor="text1"/>
          <w:lang w:val="fr-FR"/>
        </w:rPr>
      </w:pPr>
      <w:r w:rsidRPr="00EF1CC7">
        <w:rPr>
          <w:color w:val="000000" w:themeColor="text1"/>
          <w:lang w:val="fr-FR"/>
        </w:rPr>
        <w:t>En vertu des numéros 197H, 197I et 204 de la Convention et des paragraphes 1.11.1, 4.4 et 4.9 de la Résolution 1 (Rév. Hammamet, 2016) de l</w:t>
      </w:r>
      <w:r w:rsidR="00E31B2B">
        <w:rPr>
          <w:color w:val="000000" w:themeColor="text1"/>
          <w:lang w:val="fr-FR"/>
        </w:rPr>
        <w:t>'</w:t>
      </w:r>
      <w:r w:rsidRPr="00EF1CC7">
        <w:rPr>
          <w:color w:val="000000" w:themeColor="text1"/>
          <w:lang w:val="fr-FR"/>
        </w:rPr>
        <w:t>AMNT, le Directeur du TSB soumet le rapport ci-joint du Groupe consultatif de la normalisation des télécommunications (GCNT) du Secteur de la normalisation des télécommunications (UIT-T) à l</w:t>
      </w:r>
      <w:r w:rsidR="00E31B2B">
        <w:rPr>
          <w:color w:val="000000" w:themeColor="text1"/>
          <w:lang w:val="fr-FR"/>
        </w:rPr>
        <w:t>'</w:t>
      </w:r>
      <w:r w:rsidRPr="00EF1CC7">
        <w:rPr>
          <w:color w:val="000000" w:themeColor="text1"/>
          <w:lang w:val="fr-FR"/>
        </w:rPr>
        <w:t>AMNT-20</w:t>
      </w:r>
      <w:r w:rsidR="002869E1" w:rsidRPr="00EF1CC7">
        <w:rPr>
          <w:color w:val="000000" w:themeColor="text1"/>
          <w:lang w:val="fr-FR"/>
        </w:rPr>
        <w:t>,</w:t>
      </w:r>
      <w:r w:rsidRPr="00EF1CC7">
        <w:rPr>
          <w:color w:val="000000" w:themeColor="text1"/>
          <w:lang w:val="fr-FR"/>
        </w:rPr>
        <w:t xml:space="preserve"> pour examen et suite à donner.</w:t>
      </w:r>
    </w:p>
    <w:p w14:paraId="05158501" w14:textId="77777777" w:rsidR="00490157" w:rsidRPr="00EF1CC7" w:rsidRDefault="00490157" w:rsidP="00E31B2B">
      <w:pPr>
        <w:pStyle w:val="Heading2"/>
        <w:rPr>
          <w:lang w:val="fr-FR"/>
        </w:rPr>
      </w:pPr>
      <w:bookmarkStart w:id="2" w:name="_Toc94876335"/>
      <w:r w:rsidRPr="00EF1CC7">
        <w:rPr>
          <w:lang w:val="fr-FR"/>
        </w:rPr>
        <w:t>1.1</w:t>
      </w:r>
      <w:r w:rsidRPr="00EF1CC7">
        <w:rPr>
          <w:lang w:val="fr-FR"/>
        </w:rPr>
        <w:tab/>
      </w:r>
      <w:r w:rsidR="00DB729A" w:rsidRPr="00EF1CC7">
        <w:rPr>
          <w:lang w:val="fr-FR"/>
        </w:rPr>
        <w:t>Attributions</w:t>
      </w:r>
      <w:r w:rsidR="00055EBB" w:rsidRPr="00EF1CC7">
        <w:rPr>
          <w:lang w:val="fr-FR"/>
        </w:rPr>
        <w:t xml:space="preserve"> du GCNT</w:t>
      </w:r>
      <w:bookmarkEnd w:id="2"/>
    </w:p>
    <w:p w14:paraId="259C18C9" w14:textId="7B8732CA" w:rsidR="00490157" w:rsidRPr="00EF1CC7" w:rsidRDefault="00490157" w:rsidP="00E31B2B">
      <w:pPr>
        <w:rPr>
          <w:lang w:val="fr-FR"/>
        </w:rPr>
      </w:pPr>
      <w:r w:rsidRPr="00EF1CC7">
        <w:rPr>
          <w:lang w:val="fr-FR"/>
        </w:rPr>
        <w:t>Les attributions du Groupe consultatif de la normalisation des télécommunications (GCNT) sont énoncées à l</w:t>
      </w:r>
      <w:r w:rsidR="00E31B2B">
        <w:rPr>
          <w:lang w:val="fr-FR"/>
        </w:rPr>
        <w:t>'</w:t>
      </w:r>
      <w:r w:rsidRPr="00EF1CC7">
        <w:rPr>
          <w:lang w:val="fr-FR"/>
        </w:rPr>
        <w:t>article 14A de la Convention de l</w:t>
      </w:r>
      <w:r w:rsidR="00E31B2B">
        <w:rPr>
          <w:lang w:val="fr-FR"/>
        </w:rPr>
        <w:t>'</w:t>
      </w:r>
      <w:r w:rsidRPr="00EF1CC7">
        <w:rPr>
          <w:lang w:val="fr-FR"/>
        </w:rPr>
        <w:t>UIT, dans les Résolutions 1, 22, 40</w:t>
      </w:r>
      <w:r w:rsidR="00B7465A" w:rsidRPr="00EF1CC7">
        <w:rPr>
          <w:lang w:val="fr-FR"/>
        </w:rPr>
        <w:t xml:space="preserve"> et </w:t>
      </w:r>
      <w:r w:rsidRPr="00EF1CC7">
        <w:rPr>
          <w:lang w:val="fr-FR"/>
        </w:rPr>
        <w:t>45de l</w:t>
      </w:r>
      <w:r w:rsidR="00E31B2B">
        <w:rPr>
          <w:lang w:val="fr-FR"/>
        </w:rPr>
        <w:t>'</w:t>
      </w:r>
      <w:r w:rsidRPr="00EF1CC7">
        <w:rPr>
          <w:lang w:val="fr-FR"/>
        </w:rPr>
        <w:t>AMNT ainsi que dans d</w:t>
      </w:r>
      <w:r w:rsidR="00E31B2B">
        <w:rPr>
          <w:lang w:val="fr-FR"/>
        </w:rPr>
        <w:t>'</w:t>
      </w:r>
      <w:r w:rsidRPr="00EF1CC7">
        <w:rPr>
          <w:lang w:val="fr-FR"/>
        </w:rPr>
        <w:t>autres Résolutions pertinentes.</w:t>
      </w:r>
    </w:p>
    <w:p w14:paraId="706F8AF1" w14:textId="77777777" w:rsidR="00490157" w:rsidRPr="00EF1CC7" w:rsidRDefault="00490157" w:rsidP="00E31B2B">
      <w:pPr>
        <w:pStyle w:val="Heading2"/>
        <w:rPr>
          <w:bCs/>
          <w:lang w:val="fr-FR"/>
        </w:rPr>
      </w:pPr>
      <w:bookmarkStart w:id="3" w:name="_Toc94876336"/>
      <w:r w:rsidRPr="00EF1CC7">
        <w:rPr>
          <w:bCs/>
          <w:lang w:val="fr-FR"/>
        </w:rPr>
        <w:t>1.2</w:t>
      </w:r>
      <w:r w:rsidRPr="00EF1CC7">
        <w:rPr>
          <w:bCs/>
          <w:lang w:val="fr-FR"/>
        </w:rPr>
        <w:tab/>
      </w:r>
      <w:r w:rsidR="00055EBB" w:rsidRPr="00EF1CC7">
        <w:rPr>
          <w:bCs/>
          <w:lang w:val="fr-FR"/>
        </w:rPr>
        <w:t xml:space="preserve">Équipe de direction et réunions </w:t>
      </w:r>
      <w:r w:rsidR="00B7465A" w:rsidRPr="00EF1CC7">
        <w:rPr>
          <w:bCs/>
          <w:lang w:val="fr-FR"/>
        </w:rPr>
        <w:t>du</w:t>
      </w:r>
      <w:r w:rsidR="00055EBB" w:rsidRPr="00EF1CC7">
        <w:rPr>
          <w:bCs/>
          <w:lang w:val="fr-FR"/>
        </w:rPr>
        <w:t xml:space="preserve"> GCNT</w:t>
      </w:r>
      <w:bookmarkEnd w:id="3"/>
    </w:p>
    <w:p w14:paraId="02323B09" w14:textId="01DC7CAF" w:rsidR="00490157" w:rsidRPr="00EF1CC7" w:rsidRDefault="00490157" w:rsidP="00E31B2B">
      <w:pPr>
        <w:rPr>
          <w:lang w:val="fr-FR"/>
        </w:rPr>
      </w:pPr>
      <w:r w:rsidRPr="00EF1CC7">
        <w:rPr>
          <w:lang w:val="fr-FR"/>
        </w:rPr>
        <w:t>Le GCNT s</w:t>
      </w:r>
      <w:r w:rsidR="00E31B2B">
        <w:rPr>
          <w:lang w:val="fr-FR"/>
        </w:rPr>
        <w:t>'</w:t>
      </w:r>
      <w:r w:rsidRPr="00EF1CC7">
        <w:rPr>
          <w:lang w:val="fr-FR"/>
        </w:rPr>
        <w:t>est réuni à neuf</w:t>
      </w:r>
      <w:r w:rsidRPr="00EF1CC7">
        <w:rPr>
          <w:rStyle w:val="FootnoteReference"/>
          <w:lang w:val="fr-FR"/>
        </w:rPr>
        <w:footnoteReference w:id="1"/>
      </w:r>
      <w:r w:rsidRPr="00EF1CC7">
        <w:rPr>
          <w:lang w:val="fr-FR"/>
        </w:rPr>
        <w:t xml:space="preserve"> reprises (47 jours de réunion pendant la période d</w:t>
      </w:r>
      <w:r w:rsidR="00E31B2B">
        <w:rPr>
          <w:lang w:val="fr-FR"/>
        </w:rPr>
        <w:t>'</w:t>
      </w:r>
      <w:r w:rsidRPr="00EF1CC7">
        <w:rPr>
          <w:lang w:val="fr-FR"/>
        </w:rPr>
        <w:t>études, voir le Tableau 1)</w:t>
      </w:r>
      <w:r w:rsidR="00055EBB" w:rsidRPr="00EF1CC7">
        <w:rPr>
          <w:lang w:val="fr-FR"/>
        </w:rPr>
        <w:t>, sous la présidence de M. Bruce Gracie (Ericsson Canada)</w:t>
      </w:r>
      <w:r w:rsidRPr="00EF1CC7">
        <w:rPr>
          <w:lang w:val="fr-FR"/>
        </w:rPr>
        <w:t>. Lors de la précédente période d</w:t>
      </w:r>
      <w:r w:rsidR="00E31B2B">
        <w:rPr>
          <w:lang w:val="fr-FR"/>
        </w:rPr>
        <w:t>'</w:t>
      </w:r>
      <w:r w:rsidRPr="00EF1CC7">
        <w:rPr>
          <w:lang w:val="fr-FR"/>
        </w:rPr>
        <w:t xml:space="preserve">études, il </w:t>
      </w:r>
      <w:r w:rsidR="002869E1" w:rsidRPr="00EF1CC7">
        <w:rPr>
          <w:lang w:val="fr-FR"/>
        </w:rPr>
        <w:t>avait tenu</w:t>
      </w:r>
      <w:r w:rsidRPr="00EF1CC7">
        <w:rPr>
          <w:lang w:val="fr-FR"/>
        </w:rPr>
        <w:t xml:space="preserve"> cinq</w:t>
      </w:r>
      <w:r w:rsidR="009A02B7" w:rsidRPr="00EF1CC7">
        <w:rPr>
          <w:lang w:val="fr-FR"/>
        </w:rPr>
        <w:t xml:space="preserve"> </w:t>
      </w:r>
      <w:r w:rsidR="002869E1" w:rsidRPr="00EF1CC7">
        <w:rPr>
          <w:lang w:val="fr-FR"/>
        </w:rPr>
        <w:t xml:space="preserve">réunions, </w:t>
      </w:r>
      <w:r w:rsidRPr="00EF1CC7">
        <w:rPr>
          <w:lang w:val="fr-FR"/>
        </w:rPr>
        <w:t>pour un total de 22 jours de réunion.</w:t>
      </w:r>
    </w:p>
    <w:p w14:paraId="5C0F88EE" w14:textId="347E058A" w:rsidR="00092C72" w:rsidRPr="00EF1CC7" w:rsidRDefault="001E562B" w:rsidP="00E31B2B">
      <w:pPr>
        <w:rPr>
          <w:lang w:val="fr-FR"/>
        </w:rPr>
      </w:pPr>
      <w:r w:rsidRPr="00EF1CC7">
        <w:rPr>
          <w:lang w:val="fr-FR"/>
        </w:rPr>
        <w:t>L</w:t>
      </w:r>
      <w:r w:rsidR="00E31B2B">
        <w:rPr>
          <w:lang w:val="fr-FR"/>
        </w:rPr>
        <w:t>'</w:t>
      </w:r>
      <w:r w:rsidRPr="00EF1CC7">
        <w:rPr>
          <w:lang w:val="fr-FR"/>
        </w:rPr>
        <w:t>AMNT-16, qui s</w:t>
      </w:r>
      <w:r w:rsidR="00E31B2B">
        <w:rPr>
          <w:lang w:val="fr-FR"/>
        </w:rPr>
        <w:t>'</w:t>
      </w:r>
      <w:r w:rsidRPr="00EF1CC7">
        <w:rPr>
          <w:lang w:val="fr-FR"/>
        </w:rPr>
        <w:t xml:space="preserve">est tenue à </w:t>
      </w:r>
      <w:r w:rsidR="00DF017A" w:rsidRPr="00EF1CC7">
        <w:rPr>
          <w:lang w:val="fr-FR"/>
        </w:rPr>
        <w:t>Hammamet</w:t>
      </w:r>
      <w:r w:rsidRPr="00EF1CC7">
        <w:rPr>
          <w:lang w:val="fr-FR"/>
        </w:rPr>
        <w:t>, a nommé comme Président du GCNT M. Bruce Gracie (</w:t>
      </w:r>
      <w:r w:rsidR="00DF017A" w:rsidRPr="00EF1CC7">
        <w:rPr>
          <w:lang w:val="fr-FR"/>
        </w:rPr>
        <w:t xml:space="preserve">Ericsson </w:t>
      </w:r>
      <w:r w:rsidRPr="00EF1CC7">
        <w:rPr>
          <w:lang w:val="fr-FR"/>
        </w:rPr>
        <w:t xml:space="preserve">Canada), ainsi que </w:t>
      </w:r>
      <w:r w:rsidR="00DF017A" w:rsidRPr="00EF1CC7">
        <w:rPr>
          <w:lang w:val="fr-FR"/>
        </w:rPr>
        <w:t xml:space="preserve">huit </w:t>
      </w:r>
      <w:r w:rsidRPr="00EF1CC7">
        <w:rPr>
          <w:lang w:val="fr-FR"/>
        </w:rPr>
        <w:t>Vice-Présidents</w:t>
      </w:r>
      <w:r w:rsidR="002869E1" w:rsidRPr="00EF1CC7">
        <w:rPr>
          <w:lang w:val="fr-FR"/>
        </w:rPr>
        <w:t>, à savoir</w:t>
      </w:r>
      <w:r w:rsidRPr="00EF1CC7">
        <w:rPr>
          <w:lang w:val="fr-FR"/>
        </w:rPr>
        <w:t>: M. </w:t>
      </w:r>
      <w:r w:rsidR="00DF017A" w:rsidRPr="00EF1CC7">
        <w:rPr>
          <w:lang w:val="fr-FR"/>
        </w:rPr>
        <w:t>Omar Tayseer Al-Odat (Jordanie),</w:t>
      </w:r>
      <w:r w:rsidR="00DF017A" w:rsidRPr="00EF1CC7">
        <w:rPr>
          <w:rFonts w:eastAsia="Times New Roman"/>
          <w:lang w:val="fr-FR"/>
        </w:rPr>
        <w:t xml:space="preserve"> </w:t>
      </w:r>
      <w:r w:rsidR="00DF017A" w:rsidRPr="00EF1CC7">
        <w:rPr>
          <w:lang w:val="fr-FR"/>
        </w:rPr>
        <w:t>Mme Rim Belhassine-Cherif (Tunisie), M. Reiner Liebler (Allemagne), M.</w:t>
      </w:r>
      <w:r w:rsidR="009A02B7" w:rsidRPr="00EF1CC7">
        <w:rPr>
          <w:lang w:val="fr-FR"/>
        </w:rPr>
        <w:t> </w:t>
      </w:r>
      <w:r w:rsidR="00DF017A" w:rsidRPr="00EF1CC7">
        <w:rPr>
          <w:lang w:val="fr-FR"/>
        </w:rPr>
        <w:t>Victor</w:t>
      </w:r>
      <w:r w:rsidR="009A02B7" w:rsidRPr="00EF1CC7">
        <w:rPr>
          <w:lang w:val="fr-FR"/>
        </w:rPr>
        <w:t> </w:t>
      </w:r>
      <w:r w:rsidR="00DF017A" w:rsidRPr="00EF1CC7">
        <w:rPr>
          <w:lang w:val="fr-FR"/>
        </w:rPr>
        <w:t>Manuel</w:t>
      </w:r>
      <w:r w:rsidR="009A02B7" w:rsidRPr="00EF1CC7">
        <w:rPr>
          <w:lang w:val="fr-FR"/>
        </w:rPr>
        <w:t> </w:t>
      </w:r>
      <w:r w:rsidR="00DF017A" w:rsidRPr="00EF1CC7">
        <w:rPr>
          <w:lang w:val="fr-FR"/>
        </w:rPr>
        <w:t>Martinez</w:t>
      </w:r>
      <w:r w:rsidR="009A02B7" w:rsidRPr="00EF1CC7">
        <w:rPr>
          <w:lang w:val="fr-FR"/>
        </w:rPr>
        <w:t> </w:t>
      </w:r>
      <w:r w:rsidR="00DF017A" w:rsidRPr="00EF1CC7">
        <w:rPr>
          <w:lang w:val="fr-FR"/>
        </w:rPr>
        <w:t>Vanegas (Mexique), M. Vladimir Minkin (Fédération de Russie), M</w:t>
      </w:r>
      <w:r w:rsidR="00304152" w:rsidRPr="00EF1CC7">
        <w:rPr>
          <w:lang w:val="fr-FR"/>
        </w:rPr>
        <w:t>me</w:t>
      </w:r>
      <w:r w:rsidR="0031613F" w:rsidRPr="00EF1CC7">
        <w:rPr>
          <w:lang w:val="fr-FR"/>
        </w:rPr>
        <w:t> </w:t>
      </w:r>
      <w:r w:rsidR="00DF017A" w:rsidRPr="00EF1CC7">
        <w:rPr>
          <w:lang w:val="fr-FR"/>
        </w:rPr>
        <w:t>Monique M</w:t>
      </w:r>
      <w:r w:rsidR="00304152" w:rsidRPr="00EF1CC7">
        <w:rPr>
          <w:lang w:val="fr-FR"/>
        </w:rPr>
        <w:t>orrow</w:t>
      </w:r>
      <w:r w:rsidR="00DF017A" w:rsidRPr="00EF1CC7">
        <w:rPr>
          <w:lang w:val="fr-FR"/>
        </w:rPr>
        <w:t xml:space="preserve"> (</w:t>
      </w:r>
      <w:r w:rsidR="00304152" w:rsidRPr="00EF1CC7">
        <w:rPr>
          <w:lang w:val="fr-FR"/>
        </w:rPr>
        <w:t>États-Unis</w:t>
      </w:r>
      <w:r w:rsidR="00DF017A" w:rsidRPr="00EF1CC7">
        <w:rPr>
          <w:lang w:val="fr-FR"/>
        </w:rPr>
        <w:t>), M</w:t>
      </w:r>
      <w:r w:rsidR="00504D97" w:rsidRPr="00EF1CC7">
        <w:rPr>
          <w:lang w:val="fr-FR"/>
        </w:rPr>
        <w:t>.</w:t>
      </w:r>
      <w:r w:rsidR="00DF017A" w:rsidRPr="00EF1CC7">
        <w:rPr>
          <w:lang w:val="fr-FR"/>
        </w:rPr>
        <w:t xml:space="preserve"> Matano N</w:t>
      </w:r>
      <w:r w:rsidR="00504D97" w:rsidRPr="00EF1CC7">
        <w:rPr>
          <w:lang w:val="fr-FR"/>
        </w:rPr>
        <w:t>daro (Kenya) et Mme</w:t>
      </w:r>
      <w:r w:rsidR="00DF017A" w:rsidRPr="00EF1CC7">
        <w:rPr>
          <w:lang w:val="fr-FR"/>
        </w:rPr>
        <w:t xml:space="preserve"> Weiling X</w:t>
      </w:r>
      <w:r w:rsidR="00504D97" w:rsidRPr="00EF1CC7">
        <w:rPr>
          <w:lang w:val="fr-FR"/>
        </w:rPr>
        <w:t>u</w:t>
      </w:r>
      <w:r w:rsidR="00DF017A" w:rsidRPr="00EF1CC7">
        <w:rPr>
          <w:lang w:val="fr-FR"/>
        </w:rPr>
        <w:t xml:space="preserve"> (</w:t>
      </w:r>
      <w:r w:rsidR="00504D97" w:rsidRPr="00EF1CC7">
        <w:rPr>
          <w:lang w:val="fr-FR"/>
        </w:rPr>
        <w:t>Chine,</w:t>
      </w:r>
      <w:r w:rsidR="0031613F" w:rsidRPr="00EF1CC7">
        <w:rPr>
          <w:lang w:val="fr-FR"/>
        </w:rPr>
        <w:t> </w:t>
      </w:r>
      <w:r w:rsidR="00504D97" w:rsidRPr="00EF1CC7">
        <w:rPr>
          <w:lang w:val="fr-FR"/>
        </w:rPr>
        <w:t>République populaire de</w:t>
      </w:r>
      <w:r w:rsidR="00DF017A" w:rsidRPr="00EF1CC7">
        <w:rPr>
          <w:lang w:val="fr-FR"/>
        </w:rPr>
        <w:t>).</w:t>
      </w:r>
    </w:p>
    <w:p w14:paraId="5B05094C" w14:textId="77777777" w:rsidR="00490157" w:rsidRPr="00EF1CC7" w:rsidRDefault="00490157" w:rsidP="00E31B2B">
      <w:pPr>
        <w:pStyle w:val="TableNo"/>
        <w:rPr>
          <w:sz w:val="24"/>
          <w:lang w:val="fr-FR"/>
        </w:rPr>
      </w:pPr>
      <w:r w:rsidRPr="00EF1CC7">
        <w:rPr>
          <w:sz w:val="24"/>
          <w:lang w:val="fr-FR"/>
        </w:rPr>
        <w:t>TABLEau 1</w:t>
      </w:r>
    </w:p>
    <w:p w14:paraId="6B429C99" w14:textId="77777777" w:rsidR="00490157" w:rsidRPr="00EF1CC7" w:rsidRDefault="00490157" w:rsidP="00E31B2B">
      <w:pPr>
        <w:pStyle w:val="Tabletitle"/>
        <w:rPr>
          <w:sz w:val="24"/>
          <w:lang w:val="fr-FR"/>
        </w:rPr>
      </w:pPr>
      <w:r w:rsidRPr="00EF1CC7">
        <w:rPr>
          <w:sz w:val="24"/>
          <w:lang w:val="fr-FR"/>
        </w:rPr>
        <w:t>Réunions du GCNT</w:t>
      </w:r>
    </w:p>
    <w:tbl>
      <w:tblPr>
        <w:tblW w:w="102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3347"/>
        <w:gridCol w:w="1673"/>
        <w:gridCol w:w="1674"/>
      </w:tblGrid>
      <w:tr w:rsidR="00490157" w:rsidRPr="00EF1CC7" w14:paraId="03E11DEA" w14:textId="77777777" w:rsidTr="00490157">
        <w:trPr>
          <w:cantSplit/>
          <w:jc w:val="center"/>
        </w:trPr>
        <w:tc>
          <w:tcPr>
            <w:tcW w:w="3529" w:type="dxa"/>
            <w:tcBorders>
              <w:top w:val="single" w:sz="12" w:space="0" w:color="auto"/>
              <w:bottom w:val="single" w:sz="12" w:space="0" w:color="auto"/>
            </w:tcBorders>
          </w:tcPr>
          <w:p w14:paraId="757E7A50" w14:textId="77777777" w:rsidR="00490157" w:rsidRPr="00EF1CC7" w:rsidRDefault="00490157" w:rsidP="00E31B2B">
            <w:pPr>
              <w:pStyle w:val="Tablehead"/>
              <w:rPr>
                <w:lang w:val="fr-FR"/>
              </w:rPr>
            </w:pPr>
            <w:r w:rsidRPr="00EF1CC7">
              <w:rPr>
                <w:lang w:val="fr-FR"/>
              </w:rPr>
              <w:t>Dates</w:t>
            </w:r>
          </w:p>
        </w:tc>
        <w:tc>
          <w:tcPr>
            <w:tcW w:w="3347" w:type="dxa"/>
            <w:tcBorders>
              <w:top w:val="single" w:sz="12" w:space="0" w:color="auto"/>
              <w:bottom w:val="single" w:sz="12" w:space="0" w:color="auto"/>
            </w:tcBorders>
          </w:tcPr>
          <w:p w14:paraId="10273C16" w14:textId="696548B6" w:rsidR="00490157" w:rsidRPr="00EF1CC7" w:rsidRDefault="00490157" w:rsidP="00E31B2B">
            <w:pPr>
              <w:pStyle w:val="Tablehead"/>
              <w:rPr>
                <w:lang w:val="fr-FR"/>
              </w:rPr>
            </w:pPr>
            <w:r w:rsidRPr="00EF1CC7">
              <w:rPr>
                <w:lang w:val="fr-FR"/>
              </w:rPr>
              <w:t>Rapports</w:t>
            </w:r>
            <w:r w:rsidRPr="00EF1CC7">
              <w:rPr>
                <w:lang w:val="fr-FR"/>
              </w:rPr>
              <w:br/>
              <w:t>(</w:t>
            </w:r>
            <w:r w:rsidRPr="00EF1CC7">
              <w:rPr>
                <w:bCs/>
                <w:lang w:val="fr-FR"/>
              </w:rPr>
              <w:t>disponibles dans les six langues de</w:t>
            </w:r>
            <w:r w:rsidR="002D2B20" w:rsidRPr="00EF1CC7">
              <w:rPr>
                <w:bCs/>
                <w:lang w:val="fr-FR"/>
              </w:rPr>
              <w:t xml:space="preserve"> l</w:t>
            </w:r>
            <w:r w:rsidR="00E31B2B">
              <w:rPr>
                <w:bCs/>
                <w:lang w:val="fr-FR"/>
              </w:rPr>
              <w:t>'</w:t>
            </w:r>
            <w:r w:rsidR="002D2B20" w:rsidRPr="00EF1CC7">
              <w:rPr>
                <w:bCs/>
                <w:lang w:val="fr-FR"/>
              </w:rPr>
              <w:t>ONU</w:t>
            </w:r>
            <w:r w:rsidRPr="00EF1CC7">
              <w:rPr>
                <w:bCs/>
                <w:lang w:val="fr-FR"/>
              </w:rPr>
              <w:t>)</w:t>
            </w:r>
          </w:p>
        </w:tc>
        <w:tc>
          <w:tcPr>
            <w:tcW w:w="1673" w:type="dxa"/>
            <w:tcBorders>
              <w:top w:val="single" w:sz="12" w:space="0" w:color="auto"/>
              <w:bottom w:val="single" w:sz="12" w:space="0" w:color="auto"/>
            </w:tcBorders>
          </w:tcPr>
          <w:p w14:paraId="4C38D68F" w14:textId="77777777" w:rsidR="00490157" w:rsidRPr="00EF1CC7" w:rsidRDefault="00490157" w:rsidP="00E31B2B">
            <w:pPr>
              <w:pStyle w:val="Tablehead"/>
              <w:rPr>
                <w:lang w:val="fr-FR"/>
              </w:rPr>
            </w:pPr>
            <w:r w:rsidRPr="00EF1CC7">
              <w:rPr>
                <w:lang w:val="fr-FR"/>
              </w:rPr>
              <w:t>Contributions</w:t>
            </w:r>
          </w:p>
        </w:tc>
        <w:tc>
          <w:tcPr>
            <w:tcW w:w="1674" w:type="dxa"/>
            <w:tcBorders>
              <w:top w:val="single" w:sz="12" w:space="0" w:color="auto"/>
              <w:bottom w:val="single" w:sz="12" w:space="0" w:color="auto"/>
            </w:tcBorders>
          </w:tcPr>
          <w:p w14:paraId="3B8BF920" w14:textId="77777777" w:rsidR="00490157" w:rsidRPr="00EF1CC7" w:rsidRDefault="006D704E" w:rsidP="00E31B2B">
            <w:pPr>
              <w:pStyle w:val="Tablehead"/>
              <w:rPr>
                <w:lang w:val="fr-FR"/>
              </w:rPr>
            </w:pPr>
            <w:r w:rsidRPr="00EF1CC7">
              <w:rPr>
                <w:lang w:val="fr-FR"/>
              </w:rPr>
              <w:t>Documents temporaires</w:t>
            </w:r>
          </w:p>
        </w:tc>
      </w:tr>
      <w:tr w:rsidR="00490157" w:rsidRPr="00EF1CC7" w14:paraId="68BC28A1" w14:textId="77777777" w:rsidTr="00500DB0">
        <w:trPr>
          <w:cantSplit/>
          <w:jc w:val="center"/>
        </w:trPr>
        <w:tc>
          <w:tcPr>
            <w:tcW w:w="3529" w:type="dxa"/>
            <w:tcBorders>
              <w:top w:val="single" w:sz="12" w:space="0" w:color="auto"/>
            </w:tcBorders>
          </w:tcPr>
          <w:p w14:paraId="6E4552F3" w14:textId="77777777" w:rsidR="00490157" w:rsidRPr="00EF1CC7" w:rsidRDefault="00490157" w:rsidP="00E31B2B">
            <w:pPr>
              <w:pStyle w:val="Tabletext"/>
              <w:rPr>
                <w:lang w:val="fr-FR"/>
              </w:rPr>
            </w:pPr>
            <w:r w:rsidRPr="00EF1CC7">
              <w:rPr>
                <w:lang w:val="fr-FR"/>
              </w:rPr>
              <w:t>1</w:t>
            </w:r>
            <w:r w:rsidR="006D704E" w:rsidRPr="00EF1CC7">
              <w:rPr>
                <w:lang w:val="fr-FR"/>
              </w:rPr>
              <w:t>er</w:t>
            </w:r>
            <w:r w:rsidRPr="00EF1CC7">
              <w:rPr>
                <w:lang w:val="fr-FR"/>
              </w:rPr>
              <w:t>-4 mai 2017</w:t>
            </w:r>
          </w:p>
        </w:tc>
        <w:tc>
          <w:tcPr>
            <w:tcW w:w="3347" w:type="dxa"/>
            <w:tcBorders>
              <w:top w:val="single" w:sz="12" w:space="0" w:color="auto"/>
            </w:tcBorders>
          </w:tcPr>
          <w:p w14:paraId="748C3646" w14:textId="77777777" w:rsidR="00490157" w:rsidRPr="00EF1CC7" w:rsidRDefault="00E31B2B" w:rsidP="00E31B2B">
            <w:pPr>
              <w:pStyle w:val="Tabletext"/>
              <w:jc w:val="center"/>
              <w:rPr>
                <w:lang w:val="fr-FR"/>
              </w:rPr>
            </w:pPr>
            <w:hyperlink r:id="rId10" w:history="1">
              <w:r w:rsidR="00490157" w:rsidRPr="00EF1CC7">
                <w:rPr>
                  <w:rStyle w:val="Hyperlink"/>
                  <w:lang w:val="fr-FR"/>
                </w:rPr>
                <w:t>TSAG-R 1</w:t>
              </w:r>
            </w:hyperlink>
          </w:p>
        </w:tc>
        <w:tc>
          <w:tcPr>
            <w:tcW w:w="1673" w:type="dxa"/>
            <w:tcBorders>
              <w:top w:val="single" w:sz="12" w:space="0" w:color="auto"/>
            </w:tcBorders>
          </w:tcPr>
          <w:p w14:paraId="420B2154" w14:textId="77777777" w:rsidR="00490157" w:rsidRPr="00EF1CC7" w:rsidRDefault="00490157" w:rsidP="00E31B2B">
            <w:pPr>
              <w:pStyle w:val="Tabletext"/>
              <w:jc w:val="center"/>
              <w:rPr>
                <w:lang w:val="fr-FR"/>
              </w:rPr>
            </w:pPr>
            <w:r w:rsidRPr="00EF1CC7">
              <w:rPr>
                <w:lang w:val="fr-FR"/>
              </w:rPr>
              <w:t>24</w:t>
            </w:r>
          </w:p>
        </w:tc>
        <w:tc>
          <w:tcPr>
            <w:tcW w:w="1674" w:type="dxa"/>
            <w:tcBorders>
              <w:top w:val="single" w:sz="12" w:space="0" w:color="auto"/>
            </w:tcBorders>
          </w:tcPr>
          <w:p w14:paraId="400A5DC5" w14:textId="77777777" w:rsidR="00490157" w:rsidRPr="00EF1CC7" w:rsidRDefault="00490157" w:rsidP="00E31B2B">
            <w:pPr>
              <w:pStyle w:val="Tabletext"/>
              <w:jc w:val="center"/>
              <w:rPr>
                <w:lang w:val="fr-FR"/>
              </w:rPr>
            </w:pPr>
            <w:r w:rsidRPr="00EF1CC7">
              <w:rPr>
                <w:lang w:val="fr-FR"/>
              </w:rPr>
              <w:t>121</w:t>
            </w:r>
          </w:p>
        </w:tc>
      </w:tr>
      <w:tr w:rsidR="00490157" w:rsidRPr="00EF1CC7" w14:paraId="391F65E0" w14:textId="77777777" w:rsidTr="00500DB0">
        <w:trPr>
          <w:cantSplit/>
          <w:jc w:val="center"/>
        </w:trPr>
        <w:tc>
          <w:tcPr>
            <w:tcW w:w="3529" w:type="dxa"/>
          </w:tcPr>
          <w:p w14:paraId="156F8F11" w14:textId="77777777" w:rsidR="00490157" w:rsidRPr="00EF1CC7" w:rsidRDefault="00490157" w:rsidP="00E31B2B">
            <w:pPr>
              <w:pStyle w:val="Tabletext"/>
              <w:rPr>
                <w:lang w:val="fr-FR"/>
              </w:rPr>
            </w:pPr>
            <w:r w:rsidRPr="00EF1CC7">
              <w:rPr>
                <w:lang w:val="fr-FR"/>
              </w:rPr>
              <w:t>26 février – 2 mars 2018</w:t>
            </w:r>
          </w:p>
        </w:tc>
        <w:tc>
          <w:tcPr>
            <w:tcW w:w="3347" w:type="dxa"/>
          </w:tcPr>
          <w:p w14:paraId="73D04C33" w14:textId="77777777" w:rsidR="00490157" w:rsidRPr="00EF1CC7" w:rsidRDefault="00E31B2B" w:rsidP="00E31B2B">
            <w:pPr>
              <w:pStyle w:val="Tabletext"/>
              <w:jc w:val="center"/>
              <w:rPr>
                <w:lang w:val="fr-FR"/>
              </w:rPr>
            </w:pPr>
            <w:hyperlink r:id="rId11" w:history="1">
              <w:r w:rsidR="00490157" w:rsidRPr="00EF1CC7">
                <w:rPr>
                  <w:rStyle w:val="Hyperlink"/>
                  <w:lang w:val="fr-FR"/>
                </w:rPr>
                <w:t>TSAG-R 2</w:t>
              </w:r>
            </w:hyperlink>
          </w:p>
        </w:tc>
        <w:tc>
          <w:tcPr>
            <w:tcW w:w="1673" w:type="dxa"/>
          </w:tcPr>
          <w:p w14:paraId="1908363E" w14:textId="77777777" w:rsidR="00490157" w:rsidRPr="00EF1CC7" w:rsidRDefault="00490157" w:rsidP="00E31B2B">
            <w:pPr>
              <w:pStyle w:val="Tabletext"/>
              <w:jc w:val="center"/>
              <w:rPr>
                <w:lang w:val="fr-FR"/>
              </w:rPr>
            </w:pPr>
            <w:r w:rsidRPr="00EF1CC7">
              <w:rPr>
                <w:lang w:val="fr-FR"/>
              </w:rPr>
              <w:t>22</w:t>
            </w:r>
          </w:p>
        </w:tc>
        <w:tc>
          <w:tcPr>
            <w:tcW w:w="1674" w:type="dxa"/>
          </w:tcPr>
          <w:p w14:paraId="6B15A9C9" w14:textId="77777777" w:rsidR="00490157" w:rsidRPr="00EF1CC7" w:rsidRDefault="00490157" w:rsidP="00E31B2B">
            <w:pPr>
              <w:pStyle w:val="Tabletext"/>
              <w:jc w:val="center"/>
              <w:rPr>
                <w:lang w:val="fr-FR"/>
              </w:rPr>
            </w:pPr>
            <w:r w:rsidRPr="00EF1CC7">
              <w:rPr>
                <w:lang w:val="fr-FR"/>
              </w:rPr>
              <w:t>150</w:t>
            </w:r>
          </w:p>
        </w:tc>
      </w:tr>
      <w:tr w:rsidR="00490157" w:rsidRPr="00EF1CC7" w14:paraId="3FDB0F67" w14:textId="77777777" w:rsidTr="00500DB0">
        <w:trPr>
          <w:cantSplit/>
          <w:jc w:val="center"/>
        </w:trPr>
        <w:tc>
          <w:tcPr>
            <w:tcW w:w="3529" w:type="dxa"/>
          </w:tcPr>
          <w:p w14:paraId="049424E9" w14:textId="77777777" w:rsidR="00490157" w:rsidRPr="00EF1CC7" w:rsidRDefault="00490157" w:rsidP="00E31B2B">
            <w:pPr>
              <w:pStyle w:val="Tabletext"/>
              <w:rPr>
                <w:lang w:val="fr-FR"/>
              </w:rPr>
            </w:pPr>
            <w:r w:rsidRPr="00EF1CC7">
              <w:rPr>
                <w:lang w:val="fr-FR"/>
              </w:rPr>
              <w:t>10-14 décembre 2018</w:t>
            </w:r>
          </w:p>
        </w:tc>
        <w:tc>
          <w:tcPr>
            <w:tcW w:w="3347" w:type="dxa"/>
          </w:tcPr>
          <w:p w14:paraId="4258ACA7" w14:textId="77777777" w:rsidR="00490157" w:rsidRPr="00EF1CC7" w:rsidRDefault="00E31B2B" w:rsidP="00E31B2B">
            <w:pPr>
              <w:pStyle w:val="Tabletext"/>
              <w:jc w:val="center"/>
              <w:rPr>
                <w:lang w:val="fr-FR"/>
              </w:rPr>
            </w:pPr>
            <w:hyperlink r:id="rId12" w:history="1">
              <w:r w:rsidR="00490157" w:rsidRPr="00EF1CC7">
                <w:rPr>
                  <w:rStyle w:val="Hyperlink"/>
                  <w:lang w:val="fr-FR"/>
                </w:rPr>
                <w:t>TSAG-R 3</w:t>
              </w:r>
            </w:hyperlink>
            <w:r w:rsidR="00490157" w:rsidRPr="00EF1CC7">
              <w:rPr>
                <w:lang w:val="fr-FR"/>
              </w:rPr>
              <w:t xml:space="preserve"> </w:t>
            </w:r>
            <w:r w:rsidR="008F1ECF" w:rsidRPr="00EF1CC7">
              <w:rPr>
                <w:lang w:val="fr-FR"/>
              </w:rPr>
              <w:t xml:space="preserve">à </w:t>
            </w:r>
            <w:hyperlink r:id="rId13" w:history="1">
              <w:r w:rsidR="00490157" w:rsidRPr="00EF1CC7">
                <w:rPr>
                  <w:rStyle w:val="Hyperlink"/>
                  <w:lang w:val="fr-FR"/>
                </w:rPr>
                <w:t>TSAG-R 7</w:t>
              </w:r>
            </w:hyperlink>
          </w:p>
        </w:tc>
        <w:tc>
          <w:tcPr>
            <w:tcW w:w="1673" w:type="dxa"/>
          </w:tcPr>
          <w:p w14:paraId="5EE44A5F" w14:textId="77777777" w:rsidR="00490157" w:rsidRPr="00EF1CC7" w:rsidRDefault="00490157" w:rsidP="00E31B2B">
            <w:pPr>
              <w:pStyle w:val="Tabletext"/>
              <w:jc w:val="center"/>
              <w:rPr>
                <w:lang w:val="fr-FR"/>
              </w:rPr>
            </w:pPr>
            <w:r w:rsidRPr="00EF1CC7">
              <w:rPr>
                <w:lang w:val="fr-FR"/>
              </w:rPr>
              <w:t>15</w:t>
            </w:r>
          </w:p>
        </w:tc>
        <w:tc>
          <w:tcPr>
            <w:tcW w:w="1674" w:type="dxa"/>
          </w:tcPr>
          <w:p w14:paraId="77061831" w14:textId="77777777" w:rsidR="00490157" w:rsidRPr="00EF1CC7" w:rsidRDefault="00490157" w:rsidP="00E31B2B">
            <w:pPr>
              <w:pStyle w:val="Tabletext"/>
              <w:jc w:val="center"/>
              <w:rPr>
                <w:lang w:val="fr-FR"/>
              </w:rPr>
            </w:pPr>
            <w:r w:rsidRPr="00EF1CC7">
              <w:rPr>
                <w:lang w:val="fr-FR"/>
              </w:rPr>
              <w:t>172</w:t>
            </w:r>
          </w:p>
        </w:tc>
      </w:tr>
      <w:tr w:rsidR="00490157" w:rsidRPr="00EF1CC7" w14:paraId="4007420C" w14:textId="77777777" w:rsidTr="00500DB0">
        <w:trPr>
          <w:cantSplit/>
          <w:jc w:val="center"/>
        </w:trPr>
        <w:tc>
          <w:tcPr>
            <w:tcW w:w="3529" w:type="dxa"/>
          </w:tcPr>
          <w:p w14:paraId="51EAC925" w14:textId="77777777" w:rsidR="00490157" w:rsidRPr="00EF1CC7" w:rsidRDefault="00490157" w:rsidP="00E31B2B">
            <w:pPr>
              <w:pStyle w:val="Tabletext"/>
              <w:rPr>
                <w:lang w:val="fr-FR"/>
              </w:rPr>
            </w:pPr>
            <w:r w:rsidRPr="00EF1CC7">
              <w:rPr>
                <w:lang w:val="fr-FR"/>
              </w:rPr>
              <w:t>23-27 septembre 2019</w:t>
            </w:r>
          </w:p>
        </w:tc>
        <w:tc>
          <w:tcPr>
            <w:tcW w:w="3347" w:type="dxa"/>
          </w:tcPr>
          <w:p w14:paraId="37336B68" w14:textId="77777777" w:rsidR="00490157" w:rsidRPr="00EF1CC7" w:rsidRDefault="00E31B2B" w:rsidP="00E31B2B">
            <w:pPr>
              <w:pStyle w:val="Tabletext"/>
              <w:jc w:val="center"/>
              <w:rPr>
                <w:lang w:val="fr-FR"/>
              </w:rPr>
            </w:pPr>
            <w:hyperlink r:id="rId14" w:history="1">
              <w:r w:rsidR="00490157" w:rsidRPr="00EF1CC7">
                <w:rPr>
                  <w:rStyle w:val="Hyperlink"/>
                  <w:lang w:val="fr-FR"/>
                </w:rPr>
                <w:t>TSAG-R 8</w:t>
              </w:r>
            </w:hyperlink>
          </w:p>
        </w:tc>
        <w:tc>
          <w:tcPr>
            <w:tcW w:w="1673" w:type="dxa"/>
          </w:tcPr>
          <w:p w14:paraId="4AAC3BE3" w14:textId="77777777" w:rsidR="00490157" w:rsidRPr="00EF1CC7" w:rsidRDefault="00490157" w:rsidP="00E31B2B">
            <w:pPr>
              <w:pStyle w:val="Tabletext"/>
              <w:jc w:val="center"/>
              <w:rPr>
                <w:lang w:val="fr-FR"/>
              </w:rPr>
            </w:pPr>
            <w:r w:rsidRPr="00EF1CC7">
              <w:rPr>
                <w:lang w:val="fr-FR"/>
              </w:rPr>
              <w:t>38</w:t>
            </w:r>
          </w:p>
        </w:tc>
        <w:tc>
          <w:tcPr>
            <w:tcW w:w="1674" w:type="dxa"/>
          </w:tcPr>
          <w:p w14:paraId="4C825BC4" w14:textId="77777777" w:rsidR="00490157" w:rsidRPr="00EF1CC7" w:rsidRDefault="00490157" w:rsidP="00E31B2B">
            <w:pPr>
              <w:pStyle w:val="Tabletext"/>
              <w:jc w:val="center"/>
              <w:rPr>
                <w:lang w:val="fr-FR"/>
              </w:rPr>
            </w:pPr>
            <w:r w:rsidRPr="00EF1CC7">
              <w:rPr>
                <w:lang w:val="fr-FR"/>
              </w:rPr>
              <w:t>191</w:t>
            </w:r>
          </w:p>
        </w:tc>
      </w:tr>
      <w:tr w:rsidR="00490157" w:rsidRPr="00EF1CC7" w14:paraId="0DD01C70" w14:textId="77777777" w:rsidTr="00500DB0">
        <w:trPr>
          <w:cantSplit/>
          <w:jc w:val="center"/>
        </w:trPr>
        <w:tc>
          <w:tcPr>
            <w:tcW w:w="3529" w:type="dxa"/>
          </w:tcPr>
          <w:p w14:paraId="717DAA03" w14:textId="77777777" w:rsidR="00490157" w:rsidRPr="00EF1CC7" w:rsidRDefault="00490157" w:rsidP="00E31B2B">
            <w:pPr>
              <w:pStyle w:val="Tabletext"/>
              <w:rPr>
                <w:lang w:val="fr-FR"/>
              </w:rPr>
            </w:pPr>
            <w:r w:rsidRPr="00EF1CC7">
              <w:rPr>
                <w:lang w:val="fr-FR"/>
              </w:rPr>
              <w:t>10-14 février 2020</w:t>
            </w:r>
          </w:p>
        </w:tc>
        <w:tc>
          <w:tcPr>
            <w:tcW w:w="3347" w:type="dxa"/>
          </w:tcPr>
          <w:p w14:paraId="7CF02541" w14:textId="77777777" w:rsidR="00490157" w:rsidRPr="00EF1CC7" w:rsidRDefault="00E31B2B" w:rsidP="00E31B2B">
            <w:pPr>
              <w:pStyle w:val="Tabletext"/>
              <w:jc w:val="center"/>
              <w:rPr>
                <w:lang w:val="fr-FR"/>
              </w:rPr>
            </w:pPr>
            <w:hyperlink r:id="rId15" w:history="1">
              <w:r w:rsidR="00490157" w:rsidRPr="00EF1CC7">
                <w:rPr>
                  <w:rStyle w:val="Hyperlink"/>
                  <w:lang w:val="fr-FR"/>
                </w:rPr>
                <w:t>TSAG-R 9</w:t>
              </w:r>
            </w:hyperlink>
          </w:p>
        </w:tc>
        <w:tc>
          <w:tcPr>
            <w:tcW w:w="1673" w:type="dxa"/>
          </w:tcPr>
          <w:p w14:paraId="23D22BAC" w14:textId="77777777" w:rsidR="00490157" w:rsidRPr="00EF1CC7" w:rsidRDefault="00490157" w:rsidP="00E31B2B">
            <w:pPr>
              <w:pStyle w:val="Tabletext"/>
              <w:jc w:val="center"/>
              <w:rPr>
                <w:lang w:val="fr-FR"/>
              </w:rPr>
            </w:pPr>
            <w:r w:rsidRPr="00EF1CC7">
              <w:rPr>
                <w:lang w:val="fr-FR"/>
              </w:rPr>
              <w:t>36</w:t>
            </w:r>
          </w:p>
        </w:tc>
        <w:tc>
          <w:tcPr>
            <w:tcW w:w="1674" w:type="dxa"/>
          </w:tcPr>
          <w:p w14:paraId="50E21F1B" w14:textId="77777777" w:rsidR="00490157" w:rsidRPr="00EF1CC7" w:rsidRDefault="00490157" w:rsidP="00E31B2B">
            <w:pPr>
              <w:pStyle w:val="Tabletext"/>
              <w:jc w:val="center"/>
              <w:rPr>
                <w:lang w:val="fr-FR"/>
              </w:rPr>
            </w:pPr>
            <w:r w:rsidRPr="00EF1CC7">
              <w:rPr>
                <w:lang w:val="fr-FR"/>
              </w:rPr>
              <w:t>132</w:t>
            </w:r>
          </w:p>
        </w:tc>
      </w:tr>
      <w:tr w:rsidR="00490157" w:rsidRPr="00EF1CC7" w14:paraId="32A2E4F0" w14:textId="77777777" w:rsidTr="00500DB0">
        <w:trPr>
          <w:cantSplit/>
          <w:jc w:val="center"/>
        </w:trPr>
        <w:tc>
          <w:tcPr>
            <w:tcW w:w="3529" w:type="dxa"/>
          </w:tcPr>
          <w:p w14:paraId="03DFAF10" w14:textId="77777777" w:rsidR="00490157" w:rsidRPr="00EF1CC7" w:rsidRDefault="00490157" w:rsidP="00E31B2B">
            <w:pPr>
              <w:pStyle w:val="Tabletext"/>
              <w:rPr>
                <w:lang w:val="fr-FR"/>
              </w:rPr>
            </w:pPr>
            <w:r w:rsidRPr="00EF1CC7">
              <w:rPr>
                <w:lang w:val="fr-FR"/>
              </w:rPr>
              <w:t>21-25 septembre 2020</w:t>
            </w:r>
            <w:r w:rsidRPr="00EF1CC7">
              <w:rPr>
                <w:vertAlign w:val="superscript"/>
                <w:lang w:val="fr-FR"/>
              </w:rPr>
              <w:t>(*)</w:t>
            </w:r>
          </w:p>
        </w:tc>
        <w:tc>
          <w:tcPr>
            <w:tcW w:w="3347" w:type="dxa"/>
          </w:tcPr>
          <w:p w14:paraId="374B9908" w14:textId="77777777" w:rsidR="00490157" w:rsidRPr="00EF1CC7" w:rsidRDefault="00E31B2B" w:rsidP="00E31B2B">
            <w:pPr>
              <w:pStyle w:val="Tabletext"/>
              <w:jc w:val="center"/>
              <w:rPr>
                <w:lang w:val="fr-FR"/>
              </w:rPr>
            </w:pPr>
            <w:hyperlink r:id="rId16" w:history="1">
              <w:r w:rsidR="00490157" w:rsidRPr="00EF1CC7">
                <w:rPr>
                  <w:rStyle w:val="Hyperlink"/>
                  <w:lang w:val="fr-FR"/>
                </w:rPr>
                <w:t>TSAG-R 10</w:t>
              </w:r>
            </w:hyperlink>
          </w:p>
        </w:tc>
        <w:tc>
          <w:tcPr>
            <w:tcW w:w="1673" w:type="dxa"/>
          </w:tcPr>
          <w:p w14:paraId="6A3AA5CA" w14:textId="77777777" w:rsidR="00490157" w:rsidRPr="00EF1CC7" w:rsidRDefault="00490157" w:rsidP="00E31B2B">
            <w:pPr>
              <w:pStyle w:val="Tabletext"/>
              <w:jc w:val="center"/>
              <w:rPr>
                <w:lang w:val="fr-FR"/>
              </w:rPr>
            </w:pPr>
            <w:r w:rsidRPr="00EF1CC7">
              <w:rPr>
                <w:lang w:val="fr-FR"/>
              </w:rPr>
              <w:t>21</w:t>
            </w:r>
          </w:p>
        </w:tc>
        <w:tc>
          <w:tcPr>
            <w:tcW w:w="1674" w:type="dxa"/>
          </w:tcPr>
          <w:p w14:paraId="66F72713" w14:textId="77777777" w:rsidR="00490157" w:rsidRPr="00EF1CC7" w:rsidRDefault="00490157" w:rsidP="00E31B2B">
            <w:pPr>
              <w:pStyle w:val="Tabletext"/>
              <w:jc w:val="center"/>
              <w:rPr>
                <w:lang w:val="fr-FR"/>
              </w:rPr>
            </w:pPr>
            <w:r w:rsidRPr="00EF1CC7">
              <w:rPr>
                <w:lang w:val="fr-FR"/>
              </w:rPr>
              <w:t>121</w:t>
            </w:r>
          </w:p>
        </w:tc>
      </w:tr>
      <w:tr w:rsidR="00490157" w:rsidRPr="00EF1CC7" w14:paraId="7477DCFE" w14:textId="77777777" w:rsidTr="00500DB0">
        <w:trPr>
          <w:cantSplit/>
          <w:jc w:val="center"/>
        </w:trPr>
        <w:tc>
          <w:tcPr>
            <w:tcW w:w="3529" w:type="dxa"/>
          </w:tcPr>
          <w:p w14:paraId="2E358748" w14:textId="77777777" w:rsidR="00490157" w:rsidRPr="00EF1CC7" w:rsidRDefault="00490157" w:rsidP="00E31B2B">
            <w:pPr>
              <w:pStyle w:val="Tabletext"/>
              <w:rPr>
                <w:lang w:val="fr-FR"/>
              </w:rPr>
            </w:pPr>
            <w:r w:rsidRPr="00EF1CC7">
              <w:rPr>
                <w:lang w:val="fr-FR"/>
              </w:rPr>
              <w:t>11-18 janvier 2021</w:t>
            </w:r>
            <w:r w:rsidRPr="00EF1CC7">
              <w:rPr>
                <w:vertAlign w:val="superscript"/>
                <w:lang w:val="fr-FR"/>
              </w:rPr>
              <w:t>(*)</w:t>
            </w:r>
          </w:p>
        </w:tc>
        <w:tc>
          <w:tcPr>
            <w:tcW w:w="3347" w:type="dxa"/>
          </w:tcPr>
          <w:p w14:paraId="5693A28E" w14:textId="77777777" w:rsidR="00490157" w:rsidRPr="00EF1CC7" w:rsidRDefault="00E31B2B" w:rsidP="00E31B2B">
            <w:pPr>
              <w:pStyle w:val="Tabletext"/>
              <w:jc w:val="center"/>
              <w:rPr>
                <w:lang w:val="fr-FR"/>
              </w:rPr>
            </w:pPr>
            <w:hyperlink r:id="rId17" w:history="1">
              <w:r w:rsidR="00490157" w:rsidRPr="00EF1CC7">
                <w:rPr>
                  <w:rStyle w:val="Hyperlink"/>
                  <w:lang w:val="fr-FR"/>
                </w:rPr>
                <w:t>TSAG-R 11-R1</w:t>
              </w:r>
            </w:hyperlink>
            <w:r w:rsidR="00490157" w:rsidRPr="00EF1CC7">
              <w:rPr>
                <w:lang w:val="fr-FR"/>
              </w:rPr>
              <w:t xml:space="preserve"> </w:t>
            </w:r>
            <w:r w:rsidR="008F1ECF" w:rsidRPr="00EF1CC7">
              <w:rPr>
                <w:lang w:val="fr-FR"/>
              </w:rPr>
              <w:t xml:space="preserve">à </w:t>
            </w:r>
            <w:hyperlink r:id="rId18" w:history="1">
              <w:r w:rsidR="00490157" w:rsidRPr="00EF1CC7">
                <w:rPr>
                  <w:rStyle w:val="Hyperlink"/>
                  <w:lang w:val="fr-FR"/>
                </w:rPr>
                <w:t>TSAG-R 22</w:t>
              </w:r>
            </w:hyperlink>
          </w:p>
        </w:tc>
        <w:tc>
          <w:tcPr>
            <w:tcW w:w="1673" w:type="dxa"/>
          </w:tcPr>
          <w:p w14:paraId="78D013C6" w14:textId="77777777" w:rsidR="00490157" w:rsidRPr="00EF1CC7" w:rsidRDefault="00490157" w:rsidP="00E31B2B">
            <w:pPr>
              <w:pStyle w:val="Tabletext"/>
              <w:jc w:val="center"/>
              <w:rPr>
                <w:lang w:val="fr-FR"/>
              </w:rPr>
            </w:pPr>
            <w:r w:rsidRPr="00EF1CC7">
              <w:rPr>
                <w:lang w:val="fr-FR"/>
              </w:rPr>
              <w:t>7</w:t>
            </w:r>
          </w:p>
        </w:tc>
        <w:tc>
          <w:tcPr>
            <w:tcW w:w="1674" w:type="dxa"/>
          </w:tcPr>
          <w:p w14:paraId="61938C3D" w14:textId="77777777" w:rsidR="00490157" w:rsidRPr="00EF1CC7" w:rsidRDefault="00490157" w:rsidP="00E31B2B">
            <w:pPr>
              <w:pStyle w:val="Tabletext"/>
              <w:jc w:val="center"/>
              <w:rPr>
                <w:lang w:val="fr-FR"/>
              </w:rPr>
            </w:pPr>
            <w:r w:rsidRPr="00EF1CC7">
              <w:rPr>
                <w:lang w:val="fr-FR"/>
              </w:rPr>
              <w:t>93</w:t>
            </w:r>
          </w:p>
        </w:tc>
      </w:tr>
      <w:tr w:rsidR="00490157" w:rsidRPr="00EF1CC7" w14:paraId="36FBDBBE" w14:textId="77777777" w:rsidTr="00500DB0">
        <w:trPr>
          <w:cantSplit/>
          <w:jc w:val="center"/>
        </w:trPr>
        <w:tc>
          <w:tcPr>
            <w:tcW w:w="3529" w:type="dxa"/>
          </w:tcPr>
          <w:p w14:paraId="3565FE80" w14:textId="77777777" w:rsidR="00490157" w:rsidRPr="00EF1CC7" w:rsidRDefault="00490157" w:rsidP="00E31B2B">
            <w:pPr>
              <w:pStyle w:val="Tabletext"/>
              <w:rPr>
                <w:lang w:val="fr-FR"/>
              </w:rPr>
            </w:pPr>
            <w:r w:rsidRPr="00EF1CC7">
              <w:rPr>
                <w:lang w:val="fr-FR"/>
              </w:rPr>
              <w:t>25-29 octobre 2021</w:t>
            </w:r>
            <w:r w:rsidRPr="00EF1CC7">
              <w:rPr>
                <w:vertAlign w:val="superscript"/>
                <w:lang w:val="fr-FR"/>
              </w:rPr>
              <w:t>(*)</w:t>
            </w:r>
          </w:p>
        </w:tc>
        <w:tc>
          <w:tcPr>
            <w:tcW w:w="3347" w:type="dxa"/>
          </w:tcPr>
          <w:p w14:paraId="24E142A7" w14:textId="77777777" w:rsidR="00490157" w:rsidRPr="00EF1CC7" w:rsidRDefault="00E31B2B" w:rsidP="00E31B2B">
            <w:pPr>
              <w:pStyle w:val="Tabletext"/>
              <w:jc w:val="center"/>
              <w:rPr>
                <w:lang w:val="fr-FR"/>
              </w:rPr>
            </w:pPr>
            <w:hyperlink r:id="rId19" w:history="1">
              <w:r w:rsidR="00490157" w:rsidRPr="00EF1CC7">
                <w:rPr>
                  <w:rStyle w:val="Hyperlink"/>
                  <w:lang w:val="fr-FR"/>
                </w:rPr>
                <w:t>TSAG-R 23</w:t>
              </w:r>
            </w:hyperlink>
          </w:p>
        </w:tc>
        <w:tc>
          <w:tcPr>
            <w:tcW w:w="1673" w:type="dxa"/>
          </w:tcPr>
          <w:p w14:paraId="70C6C573" w14:textId="77777777" w:rsidR="00490157" w:rsidRPr="00EF1CC7" w:rsidRDefault="00490157" w:rsidP="00E31B2B">
            <w:pPr>
              <w:pStyle w:val="Tabletext"/>
              <w:jc w:val="center"/>
              <w:rPr>
                <w:lang w:val="fr-FR"/>
              </w:rPr>
            </w:pPr>
            <w:r w:rsidRPr="00EF1CC7">
              <w:rPr>
                <w:lang w:val="fr-FR"/>
              </w:rPr>
              <w:t>17</w:t>
            </w:r>
          </w:p>
        </w:tc>
        <w:tc>
          <w:tcPr>
            <w:tcW w:w="1674" w:type="dxa"/>
          </w:tcPr>
          <w:p w14:paraId="1491C33E" w14:textId="77777777" w:rsidR="00490157" w:rsidRPr="00EF1CC7" w:rsidRDefault="00490157" w:rsidP="00E31B2B">
            <w:pPr>
              <w:pStyle w:val="Tabletext"/>
              <w:jc w:val="center"/>
              <w:rPr>
                <w:lang w:val="fr-FR"/>
              </w:rPr>
            </w:pPr>
            <w:r w:rsidRPr="00EF1CC7">
              <w:rPr>
                <w:lang w:val="fr-FR"/>
              </w:rPr>
              <w:t>143</w:t>
            </w:r>
          </w:p>
        </w:tc>
      </w:tr>
      <w:tr w:rsidR="00490157" w:rsidRPr="00EF1CC7" w14:paraId="5D261579" w14:textId="77777777" w:rsidTr="00500DB0">
        <w:trPr>
          <w:cantSplit/>
          <w:jc w:val="center"/>
        </w:trPr>
        <w:tc>
          <w:tcPr>
            <w:tcW w:w="3529" w:type="dxa"/>
          </w:tcPr>
          <w:p w14:paraId="7729E708" w14:textId="77777777" w:rsidR="00490157" w:rsidRPr="00EF1CC7" w:rsidRDefault="00490157" w:rsidP="00E31B2B">
            <w:pPr>
              <w:pStyle w:val="Tabletext"/>
              <w:rPr>
                <w:lang w:val="fr-FR"/>
              </w:rPr>
            </w:pPr>
            <w:r w:rsidRPr="00EF1CC7">
              <w:rPr>
                <w:lang w:val="fr-FR"/>
              </w:rPr>
              <w:t>10-17 janvier 2022</w:t>
            </w:r>
            <w:r w:rsidRPr="00EF1CC7">
              <w:rPr>
                <w:vertAlign w:val="superscript"/>
                <w:lang w:val="fr-FR"/>
              </w:rPr>
              <w:t>(*)</w:t>
            </w:r>
          </w:p>
        </w:tc>
        <w:tc>
          <w:tcPr>
            <w:tcW w:w="3347" w:type="dxa"/>
          </w:tcPr>
          <w:p w14:paraId="1D910409" w14:textId="77777777" w:rsidR="00490157" w:rsidRPr="00EF1CC7" w:rsidRDefault="00E31B2B" w:rsidP="00E31B2B">
            <w:pPr>
              <w:pStyle w:val="Tabletext"/>
              <w:jc w:val="center"/>
              <w:rPr>
                <w:lang w:val="fr-FR"/>
              </w:rPr>
            </w:pPr>
            <w:hyperlink r:id="rId20" w:history="1">
              <w:r w:rsidR="00490157" w:rsidRPr="00EF1CC7">
                <w:rPr>
                  <w:rStyle w:val="Hyperlink"/>
                  <w:lang w:val="fr-FR"/>
                </w:rPr>
                <w:t>TSAG-R 24</w:t>
              </w:r>
            </w:hyperlink>
          </w:p>
        </w:tc>
        <w:tc>
          <w:tcPr>
            <w:tcW w:w="1673" w:type="dxa"/>
          </w:tcPr>
          <w:p w14:paraId="5F5496EC" w14:textId="77777777" w:rsidR="00490157" w:rsidRPr="00EF1CC7" w:rsidRDefault="00490157" w:rsidP="00E31B2B">
            <w:pPr>
              <w:pStyle w:val="Tabletext"/>
              <w:jc w:val="center"/>
              <w:rPr>
                <w:lang w:val="fr-FR"/>
              </w:rPr>
            </w:pPr>
            <w:r w:rsidRPr="00EF1CC7">
              <w:rPr>
                <w:lang w:val="fr-FR"/>
              </w:rPr>
              <w:t>5</w:t>
            </w:r>
          </w:p>
        </w:tc>
        <w:tc>
          <w:tcPr>
            <w:tcW w:w="1674" w:type="dxa"/>
          </w:tcPr>
          <w:p w14:paraId="4B2ECAC7" w14:textId="77777777" w:rsidR="00490157" w:rsidRPr="00EF1CC7" w:rsidRDefault="00490157" w:rsidP="00E31B2B">
            <w:pPr>
              <w:pStyle w:val="Tabletext"/>
              <w:jc w:val="center"/>
              <w:rPr>
                <w:lang w:val="fr-FR"/>
              </w:rPr>
            </w:pPr>
            <w:r w:rsidRPr="00EF1CC7">
              <w:rPr>
                <w:lang w:val="fr-FR"/>
              </w:rPr>
              <w:t>152</w:t>
            </w:r>
          </w:p>
        </w:tc>
      </w:tr>
    </w:tbl>
    <w:p w14:paraId="1912B35A" w14:textId="77777777" w:rsidR="00490157" w:rsidRPr="00EF1CC7" w:rsidRDefault="00490157" w:rsidP="00E31B2B">
      <w:pPr>
        <w:pStyle w:val="Tablelegend"/>
        <w:rPr>
          <w:lang w:val="fr-FR"/>
        </w:rPr>
      </w:pPr>
      <w:r w:rsidRPr="00EF1CC7">
        <w:rPr>
          <w:vertAlign w:val="superscript"/>
          <w:lang w:val="fr-FR"/>
        </w:rPr>
        <w:t>(*)</w:t>
      </w:r>
      <w:r w:rsidRPr="00EF1CC7">
        <w:rPr>
          <w:lang w:val="fr-FR"/>
        </w:rPr>
        <w:t xml:space="preserve"> – </w:t>
      </w:r>
      <w:r w:rsidR="008F1ECF" w:rsidRPr="00EF1CC7">
        <w:rPr>
          <w:lang w:val="fr-FR"/>
        </w:rPr>
        <w:t>réunion virtuelle</w:t>
      </w:r>
      <w:r w:rsidRPr="00EF1CC7">
        <w:rPr>
          <w:lang w:val="fr-FR"/>
        </w:rPr>
        <w:t>.</w:t>
      </w:r>
    </w:p>
    <w:p w14:paraId="7D7748DA" w14:textId="77777777" w:rsidR="0031613F" w:rsidRPr="00EF1CC7" w:rsidRDefault="0031613F" w:rsidP="00E31B2B">
      <w:pPr>
        <w:rPr>
          <w:lang w:val="fr-FR"/>
        </w:rPr>
      </w:pPr>
      <w:r w:rsidRPr="00EF1CC7">
        <w:rPr>
          <w:lang w:val="fr-FR"/>
        </w:rPr>
        <w:br w:type="page"/>
      </w:r>
    </w:p>
    <w:p w14:paraId="6432C622" w14:textId="77777777" w:rsidR="00490157" w:rsidRPr="00EF1CC7" w:rsidRDefault="00490157" w:rsidP="00E31B2B">
      <w:pPr>
        <w:rPr>
          <w:lang w:val="fr-FR"/>
        </w:rPr>
      </w:pPr>
      <w:r w:rsidRPr="00EF1CC7">
        <w:rPr>
          <w:lang w:val="fr-FR"/>
        </w:rPr>
        <w:lastRenderedPageBreak/>
        <w:t>Le GCNT a proposé des services de participation à distance pour toutes ses réunions</w:t>
      </w:r>
      <w:r w:rsidR="00C00209" w:rsidRPr="00EF1CC7">
        <w:rPr>
          <w:lang w:val="fr-FR"/>
        </w:rPr>
        <w:t xml:space="preserve"> (y compris les réunions de ses Groupes du Rapporteur)</w:t>
      </w:r>
      <w:r w:rsidRPr="00EF1CC7">
        <w:rPr>
          <w:lang w:val="fr-FR"/>
        </w:rPr>
        <w:t>:</w:t>
      </w:r>
    </w:p>
    <w:p w14:paraId="0AE7F8C5" w14:textId="77777777" w:rsidR="00490157" w:rsidRPr="00EF1CC7" w:rsidRDefault="00490157" w:rsidP="00E31B2B">
      <w:pPr>
        <w:pStyle w:val="enumlev1"/>
        <w:rPr>
          <w:lang w:val="fr-FR"/>
        </w:rPr>
      </w:pPr>
      <w:r w:rsidRPr="00EF1CC7">
        <w:rPr>
          <w:lang w:val="fr-FR"/>
        </w:rPr>
        <w:t>–</w:t>
      </w:r>
      <w:r w:rsidRPr="00EF1CC7">
        <w:rPr>
          <w:lang w:val="fr-FR"/>
        </w:rPr>
        <w:tab/>
        <w:t>diffusion sur le web (écoute passive);</w:t>
      </w:r>
    </w:p>
    <w:p w14:paraId="003F5F0F" w14:textId="77777777" w:rsidR="00490157" w:rsidRPr="00EF1CC7" w:rsidRDefault="00490157" w:rsidP="00E31B2B">
      <w:pPr>
        <w:pStyle w:val="enumlev1"/>
        <w:rPr>
          <w:lang w:val="fr-FR"/>
        </w:rPr>
      </w:pPr>
      <w:r w:rsidRPr="00EF1CC7">
        <w:rPr>
          <w:lang w:val="fr-FR"/>
        </w:rPr>
        <w:t>–</w:t>
      </w:r>
      <w:r w:rsidRPr="00EF1CC7">
        <w:rPr>
          <w:lang w:val="fr-FR"/>
        </w:rPr>
        <w:tab/>
        <w:t>un essai de participation à distance (écoute/visionnage et interventions actives) dans les six langues des Nations Unies; et</w:t>
      </w:r>
    </w:p>
    <w:p w14:paraId="1A2E6C7D" w14:textId="77777777" w:rsidR="00490157" w:rsidRPr="00EF1CC7" w:rsidRDefault="00490157" w:rsidP="00E31B2B">
      <w:pPr>
        <w:pStyle w:val="enumlev1"/>
        <w:rPr>
          <w:lang w:val="fr-FR"/>
        </w:rPr>
      </w:pPr>
      <w:r w:rsidRPr="00EF1CC7">
        <w:rPr>
          <w:lang w:val="fr-FR"/>
        </w:rPr>
        <w:t>–</w:t>
      </w:r>
      <w:r w:rsidRPr="00EF1CC7">
        <w:rPr>
          <w:lang w:val="fr-FR"/>
        </w:rPr>
        <w:tab/>
        <w:t>sous-titrage (transcription de la transmission audio en temps réel).</w:t>
      </w:r>
    </w:p>
    <w:p w14:paraId="0204A712" w14:textId="25BD3F45" w:rsidR="00490157" w:rsidRPr="00EF1CC7" w:rsidRDefault="00490157" w:rsidP="00E31B2B">
      <w:pPr>
        <w:rPr>
          <w:lang w:val="fr-FR"/>
        </w:rPr>
      </w:pPr>
      <w:r w:rsidRPr="00EF1CC7">
        <w:rPr>
          <w:lang w:val="fr-FR"/>
        </w:rPr>
        <w:t xml:space="preserve">Avant chacune des réunions du GCNT, des réunions de direction ont eu lieu avec le Président, les Vice-Présidents, le </w:t>
      </w:r>
      <w:r w:rsidR="002D2B20" w:rsidRPr="00EF1CC7">
        <w:rPr>
          <w:lang w:val="fr-FR"/>
        </w:rPr>
        <w:t xml:space="preserve">Conseiller </w:t>
      </w:r>
      <w:r w:rsidRPr="00EF1CC7">
        <w:rPr>
          <w:lang w:val="fr-FR"/>
        </w:rPr>
        <w:t>et d</w:t>
      </w:r>
      <w:r w:rsidR="00E31B2B">
        <w:rPr>
          <w:lang w:val="fr-FR"/>
        </w:rPr>
        <w:t>'</w:t>
      </w:r>
      <w:r w:rsidRPr="00EF1CC7">
        <w:rPr>
          <w:lang w:val="fr-FR"/>
        </w:rPr>
        <w:t>autres fonctionnaires du TSB. Le TSB avait organisé à l</w:t>
      </w:r>
      <w:r w:rsidR="00E31B2B">
        <w:rPr>
          <w:lang w:val="fr-FR"/>
        </w:rPr>
        <w:t>'</w:t>
      </w:r>
      <w:r w:rsidRPr="00EF1CC7">
        <w:rPr>
          <w:lang w:val="fr-FR"/>
        </w:rPr>
        <w:t>intention des nouveaux venus des séances d</w:t>
      </w:r>
      <w:r w:rsidR="00E31B2B">
        <w:rPr>
          <w:lang w:val="fr-FR"/>
        </w:rPr>
        <w:t>'</w:t>
      </w:r>
      <w:r w:rsidRPr="00EF1CC7">
        <w:rPr>
          <w:lang w:val="fr-FR"/>
        </w:rPr>
        <w:t>introduction et une visite guidée.</w:t>
      </w:r>
    </w:p>
    <w:p w14:paraId="078A0D1B" w14:textId="047E0ED1" w:rsidR="00490157" w:rsidRPr="00EF1CC7" w:rsidRDefault="00490157" w:rsidP="00E31B2B">
      <w:pPr>
        <w:rPr>
          <w:lang w:val="fr-FR"/>
        </w:rPr>
      </w:pPr>
      <w:r w:rsidRPr="00EF1CC7">
        <w:rPr>
          <w:lang w:val="fr-FR"/>
        </w:rPr>
        <w:t>Au cours de la période d</w:t>
      </w:r>
      <w:r w:rsidR="00E31B2B">
        <w:rPr>
          <w:lang w:val="fr-FR"/>
        </w:rPr>
        <w:t>'</w:t>
      </w:r>
      <w:r w:rsidRPr="00EF1CC7">
        <w:rPr>
          <w:lang w:val="fr-FR"/>
        </w:rPr>
        <w:t xml:space="preserve">études </w:t>
      </w:r>
      <w:r w:rsidR="003522B7" w:rsidRPr="00EF1CC7">
        <w:rPr>
          <w:lang w:val="fr-FR"/>
        </w:rPr>
        <w:t>2017-2020</w:t>
      </w:r>
      <w:r w:rsidRPr="00EF1CC7">
        <w:rPr>
          <w:lang w:val="fr-FR"/>
        </w:rPr>
        <w:t>, le GCNT a examiné 1</w:t>
      </w:r>
      <w:r w:rsidR="003522B7" w:rsidRPr="00EF1CC7">
        <w:rPr>
          <w:lang w:val="fr-FR"/>
        </w:rPr>
        <w:t>83</w:t>
      </w:r>
      <w:r w:rsidRPr="00EF1CC7">
        <w:rPr>
          <w:lang w:val="fr-FR"/>
        </w:rPr>
        <w:t xml:space="preserve"> contributions (</w:t>
      </w:r>
      <w:r w:rsidR="0036105F" w:rsidRPr="00EF1CC7">
        <w:rPr>
          <w:lang w:val="fr-FR"/>
        </w:rPr>
        <w:t>122</w:t>
      </w:r>
      <w:r w:rsidR="0031613F" w:rsidRPr="00EF1CC7">
        <w:rPr>
          <w:lang w:val="fr-FR"/>
        </w:rPr>
        <w:t> </w:t>
      </w:r>
      <w:r w:rsidR="0036105F" w:rsidRPr="00EF1CC7">
        <w:rPr>
          <w:lang w:val="fr-FR"/>
        </w:rPr>
        <w:t>contributions au cours de la période d</w:t>
      </w:r>
      <w:r w:rsidR="00E31B2B">
        <w:rPr>
          <w:lang w:val="fr-FR"/>
        </w:rPr>
        <w:t>'</w:t>
      </w:r>
      <w:r w:rsidR="0036105F" w:rsidRPr="00EF1CC7">
        <w:rPr>
          <w:lang w:val="fr-FR"/>
        </w:rPr>
        <w:t xml:space="preserve">études 2013-2016; </w:t>
      </w:r>
      <w:r w:rsidRPr="00EF1CC7">
        <w:rPr>
          <w:lang w:val="fr-FR"/>
        </w:rPr>
        <w:t>123 contributions au cours de la période d</w:t>
      </w:r>
      <w:r w:rsidR="00E31B2B">
        <w:rPr>
          <w:lang w:val="fr-FR"/>
        </w:rPr>
        <w:t>'</w:t>
      </w:r>
      <w:r w:rsidRPr="00EF1CC7">
        <w:rPr>
          <w:lang w:val="fr-FR"/>
        </w:rPr>
        <w:t>études 2009-2012; 146 contributions au cours de la période d</w:t>
      </w:r>
      <w:r w:rsidR="00E31B2B">
        <w:rPr>
          <w:lang w:val="fr-FR"/>
        </w:rPr>
        <w:t>'</w:t>
      </w:r>
      <w:r w:rsidRPr="00EF1CC7">
        <w:rPr>
          <w:lang w:val="fr-FR"/>
        </w:rPr>
        <w:t xml:space="preserve">études 2005-2008) et </w:t>
      </w:r>
      <w:r w:rsidR="00257850" w:rsidRPr="00EF1CC7">
        <w:rPr>
          <w:lang w:val="fr-FR"/>
        </w:rPr>
        <w:t>1</w:t>
      </w:r>
      <w:r w:rsidR="004B39CD" w:rsidRPr="00EF1CC7">
        <w:rPr>
          <w:lang w:val="fr-FR"/>
        </w:rPr>
        <w:t> </w:t>
      </w:r>
      <w:r w:rsidR="00257850" w:rsidRPr="00EF1CC7">
        <w:rPr>
          <w:lang w:val="fr-FR"/>
        </w:rPr>
        <w:t>275</w:t>
      </w:r>
      <w:r w:rsidR="0031613F" w:rsidRPr="00EF1CC7">
        <w:rPr>
          <w:lang w:val="fr-FR"/>
        </w:rPr>
        <w:t> </w:t>
      </w:r>
      <w:r w:rsidR="00257850" w:rsidRPr="00EF1CC7">
        <w:rPr>
          <w:lang w:val="fr-FR"/>
        </w:rPr>
        <w:t>documents temporaires (</w:t>
      </w:r>
      <w:r w:rsidRPr="00EF1CC7">
        <w:rPr>
          <w:lang w:val="fr-FR"/>
        </w:rPr>
        <w:t xml:space="preserve">622 documents temporaires </w:t>
      </w:r>
      <w:r w:rsidR="00257850" w:rsidRPr="00EF1CC7">
        <w:rPr>
          <w:lang w:val="fr-FR"/>
        </w:rPr>
        <w:t xml:space="preserve">entre 2013 et 2016, </w:t>
      </w:r>
      <w:r w:rsidRPr="00EF1CC7">
        <w:rPr>
          <w:lang w:val="fr-FR"/>
        </w:rPr>
        <w:t>463 documents temporaires entre 2009 et 2012; 685 documents temporaires entre 2005 et 2008).</w:t>
      </w:r>
    </w:p>
    <w:p w14:paraId="562566E2" w14:textId="77777777" w:rsidR="00F77EAD" w:rsidRPr="00EF1CC7" w:rsidRDefault="00F77EAD" w:rsidP="00E31B2B">
      <w:pPr>
        <w:rPr>
          <w:lang w:val="fr-FR"/>
        </w:rPr>
      </w:pPr>
      <w:r w:rsidRPr="00EF1CC7">
        <w:rPr>
          <w:lang w:val="fr-FR"/>
        </w:rPr>
        <w:t xml:space="preserve">Plusieurs Groupes du Rapporteur du GCNT ont </w:t>
      </w:r>
      <w:r w:rsidR="002D2B20" w:rsidRPr="00EF1CC7">
        <w:rPr>
          <w:lang w:val="fr-FR"/>
        </w:rPr>
        <w:t>tenu</w:t>
      </w:r>
      <w:r w:rsidR="009A02B7" w:rsidRPr="00EF1CC7">
        <w:rPr>
          <w:lang w:val="fr-FR"/>
        </w:rPr>
        <w:t xml:space="preserve"> </w:t>
      </w:r>
      <w:r w:rsidRPr="00EF1CC7">
        <w:rPr>
          <w:lang w:val="fr-FR"/>
        </w:rPr>
        <w:t xml:space="preserve">des réunions </w:t>
      </w:r>
      <w:r w:rsidR="00961C4E" w:rsidRPr="00EF1CC7">
        <w:rPr>
          <w:lang w:val="fr-FR"/>
        </w:rPr>
        <w:t>électroniques</w:t>
      </w:r>
      <w:r w:rsidRPr="00EF1CC7">
        <w:rPr>
          <w:lang w:val="fr-FR"/>
        </w:rPr>
        <w:t xml:space="preserve"> pendant la période </w:t>
      </w:r>
      <w:r w:rsidR="00612990" w:rsidRPr="00EF1CC7">
        <w:rPr>
          <w:lang w:val="fr-FR"/>
        </w:rPr>
        <w:t>intérimaire</w:t>
      </w:r>
      <w:r w:rsidR="002D2B20" w:rsidRPr="00EF1CC7">
        <w:rPr>
          <w:lang w:val="fr-FR"/>
        </w:rPr>
        <w:t xml:space="preserve"> écoulée </w:t>
      </w:r>
      <w:r w:rsidR="00612990" w:rsidRPr="00EF1CC7">
        <w:rPr>
          <w:lang w:val="fr-FR"/>
        </w:rPr>
        <w:t>entre les réunions du GCNT (voir le Tableau 1-bis</w:t>
      </w:r>
      <w:r w:rsidR="002D2B20" w:rsidRPr="00EF1CC7">
        <w:rPr>
          <w:lang w:val="fr-FR"/>
        </w:rPr>
        <w:t xml:space="preserve"> ci-dessous</w:t>
      </w:r>
      <w:r w:rsidR="00612990" w:rsidRPr="00EF1CC7">
        <w:rPr>
          <w:lang w:val="fr-FR"/>
        </w:rPr>
        <w:t>).</w:t>
      </w:r>
    </w:p>
    <w:p w14:paraId="73E8D738" w14:textId="77777777" w:rsidR="00776C16" w:rsidRPr="00EF1CC7" w:rsidRDefault="00776C16" w:rsidP="00E31B2B">
      <w:pPr>
        <w:pStyle w:val="TableNo"/>
        <w:rPr>
          <w:sz w:val="24"/>
          <w:szCs w:val="24"/>
          <w:lang w:val="fr-FR"/>
        </w:rPr>
      </w:pPr>
      <w:r w:rsidRPr="00EF1CC7">
        <w:rPr>
          <w:sz w:val="24"/>
          <w:szCs w:val="24"/>
          <w:lang w:val="fr-FR"/>
        </w:rPr>
        <w:t>TABLEAU 1-</w:t>
      </w:r>
      <w:r w:rsidRPr="00EF1CC7">
        <w:rPr>
          <w:caps w:val="0"/>
          <w:sz w:val="24"/>
          <w:szCs w:val="24"/>
          <w:lang w:val="fr-FR"/>
        </w:rPr>
        <w:t>bis</w:t>
      </w:r>
    </w:p>
    <w:p w14:paraId="46956E63" w14:textId="0DDBFC70" w:rsidR="00776C16" w:rsidRPr="00EF1CC7" w:rsidRDefault="00776C16" w:rsidP="00E31B2B">
      <w:pPr>
        <w:pStyle w:val="Tabletitle"/>
        <w:rPr>
          <w:sz w:val="24"/>
          <w:szCs w:val="24"/>
          <w:lang w:val="fr-FR"/>
        </w:rPr>
      </w:pPr>
      <w:r w:rsidRPr="00EF1CC7">
        <w:rPr>
          <w:sz w:val="24"/>
          <w:szCs w:val="24"/>
          <w:lang w:val="fr-FR"/>
        </w:rPr>
        <w:t xml:space="preserve">Réunions de Groupes du Rapporteur relevant </w:t>
      </w:r>
      <w:r w:rsidR="00CE4B57" w:rsidRPr="00EF1CC7">
        <w:rPr>
          <w:sz w:val="24"/>
          <w:szCs w:val="24"/>
          <w:lang w:val="fr-FR"/>
        </w:rPr>
        <w:t>du GCNT</w:t>
      </w:r>
      <w:r w:rsidRPr="00EF1CC7">
        <w:rPr>
          <w:sz w:val="24"/>
          <w:szCs w:val="24"/>
          <w:lang w:val="fr-FR"/>
        </w:rPr>
        <w:t xml:space="preserve"> organisées</w:t>
      </w:r>
      <w:r w:rsidR="0031613F" w:rsidRPr="00EF1CC7">
        <w:rPr>
          <w:sz w:val="24"/>
          <w:szCs w:val="24"/>
          <w:lang w:val="fr-FR"/>
        </w:rPr>
        <w:br/>
      </w:r>
      <w:r w:rsidRPr="00EF1CC7">
        <w:rPr>
          <w:sz w:val="24"/>
          <w:szCs w:val="24"/>
          <w:lang w:val="fr-FR"/>
        </w:rPr>
        <w:t>pendant la période d</w:t>
      </w:r>
      <w:r w:rsidR="00E31B2B">
        <w:rPr>
          <w:sz w:val="24"/>
          <w:szCs w:val="24"/>
          <w:lang w:val="fr-FR"/>
        </w:rPr>
        <w:t>'</w:t>
      </w:r>
      <w:r w:rsidRPr="00EF1CC7">
        <w:rPr>
          <w:sz w:val="24"/>
          <w:szCs w:val="24"/>
          <w:lang w:val="fr-FR"/>
        </w:rPr>
        <w:t>études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
      <w:tr w:rsidR="00776C16" w:rsidRPr="00EF1CC7" w14:paraId="62EA828E" w14:textId="77777777" w:rsidTr="00500DB0">
        <w:trPr>
          <w:tblHeader/>
          <w:jc w:val="center"/>
        </w:trPr>
        <w:tc>
          <w:tcPr>
            <w:tcW w:w="1167" w:type="pct"/>
            <w:tcBorders>
              <w:top w:val="single" w:sz="12" w:space="0" w:color="auto"/>
              <w:bottom w:val="single" w:sz="12" w:space="0" w:color="auto"/>
            </w:tcBorders>
            <w:shd w:val="clear" w:color="auto" w:fill="auto"/>
            <w:hideMark/>
          </w:tcPr>
          <w:p w14:paraId="6DB8AD4B" w14:textId="77777777" w:rsidR="00776C16" w:rsidRPr="00EF1CC7" w:rsidRDefault="00311A54" w:rsidP="00E31B2B">
            <w:pPr>
              <w:pStyle w:val="Tablehead"/>
              <w:rPr>
                <w:lang w:val="fr-FR"/>
              </w:rPr>
            </w:pPr>
            <w:r w:rsidRPr="00EF1CC7">
              <w:rPr>
                <w:lang w:val="fr-FR"/>
              </w:rPr>
              <w:t>D</w:t>
            </w:r>
            <w:r w:rsidR="00776C16" w:rsidRPr="00EF1CC7">
              <w:rPr>
                <w:lang w:val="fr-FR"/>
              </w:rPr>
              <w:t>ates</w:t>
            </w:r>
          </w:p>
        </w:tc>
        <w:tc>
          <w:tcPr>
            <w:tcW w:w="1167" w:type="pct"/>
            <w:tcBorders>
              <w:top w:val="single" w:sz="12" w:space="0" w:color="auto"/>
              <w:bottom w:val="single" w:sz="12" w:space="0" w:color="auto"/>
            </w:tcBorders>
            <w:shd w:val="clear" w:color="auto" w:fill="auto"/>
            <w:vAlign w:val="center"/>
            <w:hideMark/>
          </w:tcPr>
          <w:p w14:paraId="60DD1493" w14:textId="77777777" w:rsidR="00776C16" w:rsidRPr="00EF1CC7" w:rsidRDefault="00776C16" w:rsidP="00E31B2B">
            <w:pPr>
              <w:pStyle w:val="Tablehead"/>
              <w:rPr>
                <w:lang w:val="fr-FR"/>
              </w:rPr>
            </w:pPr>
            <w:r w:rsidRPr="00EF1CC7">
              <w:rPr>
                <w:lang w:val="fr-FR"/>
              </w:rPr>
              <w:t>Lieu/hôte</w:t>
            </w:r>
          </w:p>
        </w:tc>
        <w:tc>
          <w:tcPr>
            <w:tcW w:w="800" w:type="pct"/>
            <w:tcBorders>
              <w:top w:val="single" w:sz="12" w:space="0" w:color="auto"/>
              <w:bottom w:val="single" w:sz="12" w:space="0" w:color="auto"/>
            </w:tcBorders>
            <w:shd w:val="clear" w:color="auto" w:fill="auto"/>
            <w:hideMark/>
          </w:tcPr>
          <w:p w14:paraId="1C6B2ED6" w14:textId="77777777" w:rsidR="00776C16" w:rsidRPr="00EF1CC7" w:rsidRDefault="005F0F2A" w:rsidP="00E31B2B">
            <w:pPr>
              <w:pStyle w:val="Tablehead"/>
              <w:rPr>
                <w:lang w:val="fr-FR"/>
              </w:rPr>
            </w:pPr>
            <w:r w:rsidRPr="00EF1CC7">
              <w:rPr>
                <w:lang w:val="fr-FR"/>
              </w:rPr>
              <w:t>Groupe(s) du Rapporteur</w:t>
            </w:r>
          </w:p>
        </w:tc>
        <w:tc>
          <w:tcPr>
            <w:tcW w:w="1866" w:type="pct"/>
            <w:tcBorders>
              <w:top w:val="single" w:sz="12" w:space="0" w:color="auto"/>
              <w:bottom w:val="single" w:sz="12" w:space="0" w:color="auto"/>
            </w:tcBorders>
            <w:shd w:val="clear" w:color="auto" w:fill="auto"/>
            <w:hideMark/>
          </w:tcPr>
          <w:p w14:paraId="56F07CA4" w14:textId="77777777" w:rsidR="00776C16" w:rsidRPr="00EF1CC7" w:rsidRDefault="00776C16" w:rsidP="00E31B2B">
            <w:pPr>
              <w:pStyle w:val="Tablehead"/>
              <w:rPr>
                <w:lang w:val="fr-FR"/>
              </w:rPr>
            </w:pPr>
            <w:r w:rsidRPr="00EF1CC7">
              <w:rPr>
                <w:lang w:val="fr-FR"/>
              </w:rPr>
              <w:t xml:space="preserve">Titre de </w:t>
            </w:r>
            <w:r w:rsidR="005F0F2A" w:rsidRPr="00EF1CC7">
              <w:rPr>
                <w:lang w:val="fr-FR"/>
              </w:rPr>
              <w:t>la manifestation</w:t>
            </w:r>
          </w:p>
        </w:tc>
      </w:tr>
      <w:tr w:rsidR="00776C16" w:rsidRPr="00EF1CC7" w14:paraId="540ED3A6" w14:textId="77777777" w:rsidTr="00500DB0">
        <w:trPr>
          <w:jc w:val="center"/>
        </w:trPr>
        <w:tc>
          <w:tcPr>
            <w:tcW w:w="1167" w:type="pct"/>
            <w:tcBorders>
              <w:top w:val="single" w:sz="12" w:space="0" w:color="auto"/>
            </w:tcBorders>
            <w:shd w:val="clear" w:color="auto" w:fill="auto"/>
          </w:tcPr>
          <w:p w14:paraId="599F7FC4" w14:textId="77777777" w:rsidR="00776C16" w:rsidRPr="00EF1CC7" w:rsidRDefault="00776C16" w:rsidP="00E31B2B">
            <w:pPr>
              <w:pStyle w:val="Tabletext"/>
              <w:rPr>
                <w:lang w:val="fr-FR"/>
              </w:rPr>
            </w:pPr>
            <w:r w:rsidRPr="00EF1CC7">
              <w:rPr>
                <w:rFonts w:asciiTheme="majorBidi" w:hAnsiTheme="majorBidi" w:cstheme="majorBidi"/>
                <w:lang w:val="fr-FR" w:eastAsia="ja-JP"/>
              </w:rPr>
              <w:t>1er-4 mai 2017</w:t>
            </w:r>
          </w:p>
        </w:tc>
        <w:tc>
          <w:tcPr>
            <w:tcW w:w="1167" w:type="pct"/>
            <w:tcBorders>
              <w:top w:val="single" w:sz="12" w:space="0" w:color="auto"/>
            </w:tcBorders>
            <w:shd w:val="clear" w:color="auto" w:fill="auto"/>
          </w:tcPr>
          <w:p w14:paraId="56F5578C" w14:textId="77777777" w:rsidR="00776C16" w:rsidRPr="00EF1CC7" w:rsidRDefault="005F0F2A" w:rsidP="00E31B2B">
            <w:pPr>
              <w:pStyle w:val="Tabletext"/>
              <w:rPr>
                <w:lang w:val="fr-FR"/>
              </w:rPr>
            </w:pPr>
            <w:r w:rsidRPr="00EF1CC7">
              <w:rPr>
                <w:rFonts w:asciiTheme="majorBidi" w:hAnsiTheme="majorBidi" w:cstheme="majorBidi"/>
                <w:lang w:val="fr-FR" w:eastAsia="ja-JP"/>
              </w:rPr>
              <w:t>Genève, Suisse/UIT-T</w:t>
            </w:r>
          </w:p>
        </w:tc>
        <w:tc>
          <w:tcPr>
            <w:tcW w:w="800" w:type="pct"/>
            <w:tcBorders>
              <w:top w:val="single" w:sz="12" w:space="0" w:color="auto"/>
            </w:tcBorders>
            <w:shd w:val="clear" w:color="auto" w:fill="auto"/>
          </w:tcPr>
          <w:p w14:paraId="1D2C6B6E" w14:textId="77777777" w:rsidR="00776C16" w:rsidRPr="00EF1CC7" w:rsidRDefault="00776C16" w:rsidP="00E31B2B">
            <w:pPr>
              <w:pStyle w:val="Tabletext"/>
              <w:rPr>
                <w:lang w:val="fr-FR"/>
              </w:rPr>
            </w:pPr>
            <w:r w:rsidRPr="00EF1CC7">
              <w:rPr>
                <w:lang w:val="fr-FR"/>
              </w:rPr>
              <w:t>RG-SC,</w:t>
            </w:r>
            <w:r w:rsidRPr="00EF1CC7">
              <w:rPr>
                <w:lang w:val="fr-FR"/>
              </w:rPr>
              <w:br/>
              <w:t>RG-SOP,</w:t>
            </w:r>
            <w:r w:rsidRPr="00EF1CC7">
              <w:rPr>
                <w:lang w:val="fr-FR"/>
              </w:rPr>
              <w:br/>
              <w:t>RG-StdsStrat,</w:t>
            </w:r>
            <w:r w:rsidRPr="00EF1CC7">
              <w:rPr>
                <w:lang w:val="fr-FR"/>
              </w:rPr>
              <w:br/>
              <w:t>RG-WP,</w:t>
            </w:r>
            <w:r w:rsidRPr="00EF1CC7">
              <w:rPr>
                <w:lang w:val="fr-FR"/>
              </w:rPr>
              <w:br/>
              <w:t>RG-WM</w:t>
            </w:r>
          </w:p>
        </w:tc>
        <w:tc>
          <w:tcPr>
            <w:tcW w:w="1866" w:type="pct"/>
            <w:tcBorders>
              <w:top w:val="single" w:sz="12" w:space="0" w:color="auto"/>
            </w:tcBorders>
            <w:shd w:val="clear" w:color="auto" w:fill="auto"/>
          </w:tcPr>
          <w:p w14:paraId="4C221F12" w14:textId="77777777" w:rsidR="00776C16" w:rsidRPr="00EF1CC7" w:rsidRDefault="004B3570" w:rsidP="00E31B2B">
            <w:pPr>
              <w:pStyle w:val="Tabletext"/>
              <w:rPr>
                <w:lang w:val="fr-FR"/>
              </w:rPr>
            </w:pPr>
            <w:r w:rsidRPr="00EF1CC7">
              <w:rPr>
                <w:lang w:val="fr-FR"/>
              </w:rPr>
              <w:t>Première réunion du GCNT</w:t>
            </w:r>
          </w:p>
        </w:tc>
      </w:tr>
      <w:tr w:rsidR="00776C16" w:rsidRPr="00E31B2B" w14:paraId="4312F358" w14:textId="77777777" w:rsidTr="00500DB0">
        <w:trPr>
          <w:jc w:val="center"/>
        </w:trPr>
        <w:tc>
          <w:tcPr>
            <w:tcW w:w="1167" w:type="pct"/>
            <w:shd w:val="clear" w:color="auto" w:fill="auto"/>
          </w:tcPr>
          <w:p w14:paraId="57DA668A" w14:textId="77777777" w:rsidR="00776C16" w:rsidRPr="00EF1CC7" w:rsidRDefault="00776C16" w:rsidP="00E31B2B">
            <w:pPr>
              <w:pStyle w:val="Tabletext"/>
              <w:rPr>
                <w:lang w:val="fr-FR"/>
              </w:rPr>
            </w:pPr>
            <w:r w:rsidRPr="00EF1CC7">
              <w:rPr>
                <w:lang w:val="fr-FR"/>
              </w:rPr>
              <w:t>7 juillet 2017</w:t>
            </w:r>
          </w:p>
        </w:tc>
        <w:tc>
          <w:tcPr>
            <w:tcW w:w="1167" w:type="pct"/>
            <w:shd w:val="clear" w:color="auto" w:fill="auto"/>
          </w:tcPr>
          <w:p w14:paraId="709C90CD" w14:textId="77777777" w:rsidR="00776C16"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416BEC0D" w14:textId="77777777" w:rsidR="00776C16" w:rsidRPr="00EF1CC7" w:rsidRDefault="00776C16" w:rsidP="00E31B2B">
            <w:pPr>
              <w:pStyle w:val="Tabletext"/>
              <w:rPr>
                <w:lang w:val="fr-FR"/>
              </w:rPr>
            </w:pPr>
            <w:r w:rsidRPr="00EF1CC7">
              <w:rPr>
                <w:lang w:val="fr-FR"/>
              </w:rPr>
              <w:t>RG-StdsStrat</w:t>
            </w:r>
          </w:p>
        </w:tc>
        <w:tc>
          <w:tcPr>
            <w:tcW w:w="1866" w:type="pct"/>
            <w:shd w:val="clear" w:color="auto" w:fill="auto"/>
          </w:tcPr>
          <w:p w14:paraId="644B97FF" w14:textId="77777777" w:rsidR="00776C16" w:rsidRPr="00EF1CC7" w:rsidRDefault="004B3570" w:rsidP="00E31B2B">
            <w:pPr>
              <w:pStyle w:val="Tabletext"/>
              <w:rPr>
                <w:lang w:val="fr-FR"/>
              </w:rPr>
            </w:pPr>
            <w:r w:rsidRPr="00EF1CC7">
              <w:rPr>
                <w:lang w:val="fr-FR"/>
              </w:rPr>
              <w:t xml:space="preserve">Réunion électronique du Groupe </w:t>
            </w:r>
            <w:r w:rsidR="00776C16" w:rsidRPr="00EF1CC7">
              <w:rPr>
                <w:lang w:val="fr-FR"/>
              </w:rPr>
              <w:t>RG</w:t>
            </w:r>
            <w:r w:rsidR="0031613F" w:rsidRPr="00EF1CC7">
              <w:rPr>
                <w:lang w:val="fr-FR"/>
              </w:rPr>
              <w:noBreakHyphen/>
            </w:r>
            <w:r w:rsidR="00776C16" w:rsidRPr="00EF1CC7">
              <w:rPr>
                <w:lang w:val="fr-FR"/>
              </w:rPr>
              <w:t xml:space="preserve">StdsStrat </w:t>
            </w:r>
            <w:r w:rsidRPr="00EF1CC7">
              <w:rPr>
                <w:lang w:val="fr-FR"/>
              </w:rPr>
              <w:t>du GCNT</w:t>
            </w:r>
          </w:p>
        </w:tc>
      </w:tr>
      <w:tr w:rsidR="005F0F2A" w:rsidRPr="00E31B2B" w14:paraId="13AAFE21" w14:textId="77777777" w:rsidTr="00500DB0">
        <w:trPr>
          <w:jc w:val="center"/>
        </w:trPr>
        <w:tc>
          <w:tcPr>
            <w:tcW w:w="1167" w:type="pct"/>
            <w:shd w:val="clear" w:color="auto" w:fill="auto"/>
          </w:tcPr>
          <w:p w14:paraId="490E4B6A" w14:textId="77777777" w:rsidR="005F0F2A" w:rsidRPr="00EF1CC7" w:rsidRDefault="005F0F2A" w:rsidP="00E31B2B">
            <w:pPr>
              <w:pStyle w:val="Tabletext"/>
              <w:rPr>
                <w:lang w:val="fr-FR"/>
              </w:rPr>
            </w:pPr>
            <w:r w:rsidRPr="00EF1CC7">
              <w:rPr>
                <w:lang w:val="fr-FR"/>
              </w:rPr>
              <w:t>12 octobre 2017</w:t>
            </w:r>
          </w:p>
        </w:tc>
        <w:tc>
          <w:tcPr>
            <w:tcW w:w="1167" w:type="pct"/>
            <w:shd w:val="clear" w:color="auto" w:fill="auto"/>
          </w:tcPr>
          <w:p w14:paraId="446FF02F"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155E0A47"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53BCF90B" w14:textId="77777777" w:rsidR="005F0F2A" w:rsidRPr="00EF1CC7" w:rsidRDefault="00E65267" w:rsidP="00E31B2B">
            <w:pPr>
              <w:pStyle w:val="Tabletext"/>
              <w:rPr>
                <w:lang w:val="fr-FR"/>
              </w:rPr>
            </w:pPr>
            <w:r w:rsidRPr="00EF1CC7">
              <w:rPr>
                <w:lang w:val="fr-FR"/>
              </w:rPr>
              <w:t xml:space="preserve">Réunion électronique du Groupe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6F6A2F85" w14:textId="77777777" w:rsidTr="00500DB0">
        <w:trPr>
          <w:jc w:val="center"/>
        </w:trPr>
        <w:tc>
          <w:tcPr>
            <w:tcW w:w="1167" w:type="pct"/>
            <w:shd w:val="clear" w:color="auto" w:fill="auto"/>
          </w:tcPr>
          <w:p w14:paraId="21E3F761" w14:textId="77777777" w:rsidR="005F0F2A" w:rsidRPr="00EF1CC7" w:rsidRDefault="005F0F2A" w:rsidP="00E31B2B">
            <w:pPr>
              <w:pStyle w:val="Tabletext"/>
              <w:rPr>
                <w:lang w:val="fr-FR"/>
              </w:rPr>
            </w:pPr>
            <w:r w:rsidRPr="00EF1CC7">
              <w:rPr>
                <w:lang w:val="fr-FR"/>
              </w:rPr>
              <w:t>27 octobre 2017</w:t>
            </w:r>
          </w:p>
        </w:tc>
        <w:tc>
          <w:tcPr>
            <w:tcW w:w="1167" w:type="pct"/>
            <w:shd w:val="clear" w:color="auto" w:fill="auto"/>
          </w:tcPr>
          <w:p w14:paraId="41961157"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5240CED"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43109D2A" w14:textId="77777777" w:rsidR="005F0F2A" w:rsidRPr="00EF1CC7" w:rsidRDefault="006520FC"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0D644594" w14:textId="77777777" w:rsidTr="00500DB0">
        <w:trPr>
          <w:jc w:val="center"/>
        </w:trPr>
        <w:tc>
          <w:tcPr>
            <w:tcW w:w="1167" w:type="pct"/>
            <w:shd w:val="clear" w:color="auto" w:fill="auto"/>
          </w:tcPr>
          <w:p w14:paraId="57ADE44C" w14:textId="77777777" w:rsidR="005F0F2A" w:rsidRPr="00EF1CC7" w:rsidRDefault="005F0F2A" w:rsidP="00E31B2B">
            <w:pPr>
              <w:pStyle w:val="Tabletext"/>
              <w:rPr>
                <w:lang w:val="fr-FR"/>
              </w:rPr>
            </w:pPr>
            <w:r w:rsidRPr="00EF1CC7">
              <w:rPr>
                <w:lang w:val="fr-FR"/>
              </w:rPr>
              <w:t>14 novembre 2017</w:t>
            </w:r>
          </w:p>
        </w:tc>
        <w:tc>
          <w:tcPr>
            <w:tcW w:w="1167" w:type="pct"/>
            <w:shd w:val="clear" w:color="auto" w:fill="auto"/>
          </w:tcPr>
          <w:p w14:paraId="451C0F80"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08B7DCF"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62666602" w14:textId="77777777" w:rsidR="005F0F2A" w:rsidRPr="00EF1CC7" w:rsidRDefault="00354507"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WM </w:t>
            </w:r>
            <w:r w:rsidRPr="00EF1CC7">
              <w:rPr>
                <w:lang w:val="fr-FR"/>
              </w:rPr>
              <w:t>du GCNT</w:t>
            </w:r>
          </w:p>
        </w:tc>
      </w:tr>
      <w:tr w:rsidR="005F0F2A" w:rsidRPr="00EF1CC7" w14:paraId="17F66F28" w14:textId="77777777" w:rsidTr="00500DB0">
        <w:trPr>
          <w:jc w:val="center"/>
        </w:trPr>
        <w:tc>
          <w:tcPr>
            <w:tcW w:w="1167" w:type="pct"/>
            <w:shd w:val="clear" w:color="auto" w:fill="auto"/>
          </w:tcPr>
          <w:p w14:paraId="5ACDF2FD" w14:textId="77777777" w:rsidR="005F0F2A" w:rsidRPr="00EF1CC7" w:rsidRDefault="005F0F2A" w:rsidP="00E31B2B">
            <w:pPr>
              <w:pStyle w:val="Tabletext"/>
              <w:rPr>
                <w:lang w:val="fr-FR"/>
              </w:rPr>
            </w:pPr>
            <w:r w:rsidRPr="00EF1CC7">
              <w:rPr>
                <w:lang w:val="fr-FR"/>
              </w:rPr>
              <w:t>26 février – 2 mars 2018</w:t>
            </w:r>
          </w:p>
        </w:tc>
        <w:tc>
          <w:tcPr>
            <w:tcW w:w="1167" w:type="pct"/>
            <w:shd w:val="clear" w:color="auto" w:fill="auto"/>
          </w:tcPr>
          <w:p w14:paraId="29EFC4E7" w14:textId="77777777" w:rsidR="005F0F2A" w:rsidRPr="00EF1CC7" w:rsidRDefault="005F0F2A" w:rsidP="00E31B2B">
            <w:pPr>
              <w:pStyle w:val="Tabletext"/>
              <w:rPr>
                <w:lang w:val="fr-FR"/>
              </w:rPr>
            </w:pPr>
            <w:r w:rsidRPr="00EF1CC7">
              <w:rPr>
                <w:rFonts w:asciiTheme="majorBidi" w:hAnsiTheme="majorBidi" w:cstheme="majorBidi"/>
                <w:lang w:val="fr-FR" w:eastAsia="ja-JP"/>
              </w:rPr>
              <w:t>Genève, Suisse/UIT-T</w:t>
            </w:r>
          </w:p>
        </w:tc>
        <w:tc>
          <w:tcPr>
            <w:tcW w:w="800" w:type="pct"/>
            <w:shd w:val="clear" w:color="auto" w:fill="auto"/>
          </w:tcPr>
          <w:p w14:paraId="6E61A875" w14:textId="77777777" w:rsidR="005F0F2A" w:rsidRPr="00CF3B78" w:rsidRDefault="005F0F2A" w:rsidP="00E31B2B">
            <w:pPr>
              <w:pStyle w:val="Tabletext"/>
              <w:rPr>
                <w:lang w:val="en-US"/>
              </w:rPr>
            </w:pPr>
            <w:r w:rsidRPr="00CF3B78">
              <w:rPr>
                <w:lang w:val="en-US"/>
              </w:rPr>
              <w:t>RG-ResReview,</w:t>
            </w:r>
            <w:r w:rsidRPr="00CF3B78">
              <w:rPr>
                <w:lang w:val="en-US"/>
              </w:rPr>
              <w:br/>
              <w:t>RG-SC,</w:t>
            </w:r>
            <w:r w:rsidRPr="00CF3B78">
              <w:rPr>
                <w:lang w:val="en-US"/>
              </w:rPr>
              <w:br/>
              <w:t>RG-SOP,</w:t>
            </w:r>
            <w:r w:rsidRPr="00CF3B78">
              <w:rPr>
                <w:lang w:val="en-US"/>
              </w:rPr>
              <w:br/>
              <w:t>RG-StdsStrat,</w:t>
            </w:r>
            <w:r w:rsidRPr="00CF3B78">
              <w:rPr>
                <w:lang w:val="en-US"/>
              </w:rPr>
              <w:br/>
              <w:t>RG-WP,</w:t>
            </w:r>
            <w:r w:rsidRPr="00CF3B78">
              <w:rPr>
                <w:lang w:val="en-US"/>
              </w:rPr>
              <w:br/>
              <w:t>RG-WM</w:t>
            </w:r>
          </w:p>
        </w:tc>
        <w:tc>
          <w:tcPr>
            <w:tcW w:w="1866" w:type="pct"/>
            <w:shd w:val="clear" w:color="auto" w:fill="auto"/>
          </w:tcPr>
          <w:p w14:paraId="338888D7" w14:textId="77777777" w:rsidR="005F0F2A" w:rsidRPr="00EF1CC7" w:rsidRDefault="003D0A33" w:rsidP="00E31B2B">
            <w:pPr>
              <w:pStyle w:val="Tabletext"/>
              <w:rPr>
                <w:lang w:val="fr-FR"/>
              </w:rPr>
            </w:pPr>
            <w:r w:rsidRPr="00EF1CC7">
              <w:rPr>
                <w:lang w:val="fr-FR"/>
              </w:rPr>
              <w:t>Deuxième réunion du GCNT</w:t>
            </w:r>
          </w:p>
        </w:tc>
      </w:tr>
      <w:tr w:rsidR="005F0F2A" w:rsidRPr="00E31B2B" w14:paraId="290EEF85" w14:textId="77777777" w:rsidTr="00500DB0">
        <w:trPr>
          <w:jc w:val="center"/>
        </w:trPr>
        <w:tc>
          <w:tcPr>
            <w:tcW w:w="1167" w:type="pct"/>
            <w:shd w:val="clear" w:color="auto" w:fill="auto"/>
          </w:tcPr>
          <w:p w14:paraId="64131D35" w14:textId="77777777" w:rsidR="005F0F2A" w:rsidRPr="00EF1CC7" w:rsidRDefault="005F0F2A" w:rsidP="00E31B2B">
            <w:pPr>
              <w:pStyle w:val="Tabletext"/>
              <w:rPr>
                <w:lang w:val="fr-FR"/>
              </w:rPr>
            </w:pPr>
            <w:r w:rsidRPr="00EF1CC7">
              <w:rPr>
                <w:lang w:val="fr-FR"/>
              </w:rPr>
              <w:t>31 mai 2018</w:t>
            </w:r>
          </w:p>
        </w:tc>
        <w:tc>
          <w:tcPr>
            <w:tcW w:w="1167" w:type="pct"/>
            <w:shd w:val="clear" w:color="auto" w:fill="auto"/>
          </w:tcPr>
          <w:p w14:paraId="4C5465A0"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5CCB9020" w14:textId="77777777" w:rsidR="005F0F2A" w:rsidRPr="00EF1CC7" w:rsidRDefault="005F0F2A" w:rsidP="00E31B2B">
            <w:pPr>
              <w:pStyle w:val="Tabletext"/>
              <w:rPr>
                <w:lang w:val="fr-FR"/>
              </w:rPr>
            </w:pPr>
            <w:r w:rsidRPr="00EF1CC7">
              <w:rPr>
                <w:lang w:val="fr-FR"/>
              </w:rPr>
              <w:t>RG-SC,</w:t>
            </w:r>
            <w:r w:rsidRPr="00EF1CC7">
              <w:rPr>
                <w:lang w:val="fr-FR"/>
              </w:rPr>
              <w:br/>
              <w:t>RG-WM</w:t>
            </w:r>
          </w:p>
        </w:tc>
        <w:tc>
          <w:tcPr>
            <w:tcW w:w="1866" w:type="pct"/>
            <w:shd w:val="clear" w:color="auto" w:fill="auto"/>
          </w:tcPr>
          <w:p w14:paraId="08651623" w14:textId="77777777" w:rsidR="005F0F2A" w:rsidRPr="00EF1CC7" w:rsidRDefault="003D0A33" w:rsidP="00E31B2B">
            <w:pPr>
              <w:pStyle w:val="Tabletext"/>
              <w:rPr>
                <w:lang w:val="fr-FR"/>
              </w:rPr>
            </w:pPr>
            <w:r w:rsidRPr="00EF1CC7">
              <w:rPr>
                <w:lang w:val="fr-FR"/>
              </w:rPr>
              <w:t xml:space="preserve">Réunion électronique commune des Groupes </w:t>
            </w:r>
            <w:r w:rsidR="005F0F2A" w:rsidRPr="00EF1CC7">
              <w:rPr>
                <w:lang w:val="fr-FR"/>
              </w:rPr>
              <w:t xml:space="preserve">RG-SC </w:t>
            </w:r>
            <w:r w:rsidRPr="00EF1CC7">
              <w:rPr>
                <w:lang w:val="fr-FR"/>
              </w:rPr>
              <w:t xml:space="preserve">et </w:t>
            </w:r>
            <w:r w:rsidR="005F0F2A" w:rsidRPr="00EF1CC7">
              <w:rPr>
                <w:lang w:val="fr-FR"/>
              </w:rPr>
              <w:t xml:space="preserve">RG-WM </w:t>
            </w:r>
            <w:r w:rsidRPr="00EF1CC7">
              <w:rPr>
                <w:lang w:val="fr-FR"/>
              </w:rPr>
              <w:t>du GCNT</w:t>
            </w:r>
          </w:p>
        </w:tc>
      </w:tr>
      <w:tr w:rsidR="005F0F2A" w:rsidRPr="00E31B2B" w14:paraId="7F49F45B" w14:textId="77777777" w:rsidTr="00500DB0">
        <w:trPr>
          <w:jc w:val="center"/>
        </w:trPr>
        <w:tc>
          <w:tcPr>
            <w:tcW w:w="1167" w:type="pct"/>
            <w:shd w:val="clear" w:color="auto" w:fill="auto"/>
          </w:tcPr>
          <w:p w14:paraId="3D077AA3" w14:textId="77777777" w:rsidR="005F0F2A" w:rsidRPr="00EF1CC7" w:rsidRDefault="005F0F2A" w:rsidP="00E31B2B">
            <w:pPr>
              <w:pStyle w:val="Tabletext"/>
              <w:rPr>
                <w:lang w:val="fr-FR"/>
              </w:rPr>
            </w:pPr>
            <w:r w:rsidRPr="00EF1CC7">
              <w:rPr>
                <w:lang w:val="fr-FR"/>
              </w:rPr>
              <w:t>29 juin 2018</w:t>
            </w:r>
          </w:p>
        </w:tc>
        <w:tc>
          <w:tcPr>
            <w:tcW w:w="1167" w:type="pct"/>
            <w:shd w:val="clear" w:color="auto" w:fill="auto"/>
          </w:tcPr>
          <w:p w14:paraId="62F89754"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75D262BB"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23228B62" w14:textId="77777777" w:rsidR="005F0F2A" w:rsidRPr="00EF1CC7" w:rsidRDefault="00F35C96"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3C7716EA" w14:textId="77777777" w:rsidTr="00500DB0">
        <w:trPr>
          <w:jc w:val="center"/>
        </w:trPr>
        <w:tc>
          <w:tcPr>
            <w:tcW w:w="1167" w:type="pct"/>
            <w:shd w:val="clear" w:color="auto" w:fill="auto"/>
          </w:tcPr>
          <w:p w14:paraId="53304B62" w14:textId="77777777" w:rsidR="005F0F2A" w:rsidRPr="00EF1CC7" w:rsidRDefault="005F0F2A" w:rsidP="00E31B2B">
            <w:pPr>
              <w:pStyle w:val="Tabletext"/>
              <w:rPr>
                <w:lang w:val="fr-FR"/>
              </w:rPr>
            </w:pPr>
            <w:r w:rsidRPr="00EF1CC7">
              <w:rPr>
                <w:lang w:val="fr-FR"/>
              </w:rPr>
              <w:t>31 août 2018</w:t>
            </w:r>
          </w:p>
        </w:tc>
        <w:tc>
          <w:tcPr>
            <w:tcW w:w="1167" w:type="pct"/>
            <w:shd w:val="clear" w:color="auto" w:fill="auto"/>
          </w:tcPr>
          <w:p w14:paraId="7EC8C00C"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767C7734"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1FF606FF" w14:textId="77777777" w:rsidR="005F0F2A" w:rsidRPr="00EF1CC7" w:rsidRDefault="00F35C96"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07A4655A" w14:textId="77777777" w:rsidTr="00500DB0">
        <w:trPr>
          <w:jc w:val="center"/>
        </w:trPr>
        <w:tc>
          <w:tcPr>
            <w:tcW w:w="1167" w:type="pct"/>
            <w:shd w:val="clear" w:color="auto" w:fill="auto"/>
          </w:tcPr>
          <w:p w14:paraId="3FB6E447" w14:textId="77777777" w:rsidR="005F0F2A" w:rsidRPr="00EF1CC7" w:rsidRDefault="005F0F2A" w:rsidP="00E31B2B">
            <w:pPr>
              <w:pStyle w:val="Tabletext"/>
              <w:rPr>
                <w:lang w:val="fr-FR"/>
              </w:rPr>
            </w:pPr>
            <w:r w:rsidRPr="00EF1CC7">
              <w:rPr>
                <w:lang w:val="fr-FR"/>
              </w:rPr>
              <w:t>18 septembre 2018</w:t>
            </w:r>
          </w:p>
        </w:tc>
        <w:tc>
          <w:tcPr>
            <w:tcW w:w="1167" w:type="pct"/>
            <w:shd w:val="clear" w:color="auto" w:fill="auto"/>
          </w:tcPr>
          <w:p w14:paraId="66604664"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167958ED"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48553378" w14:textId="77777777" w:rsidR="005F0F2A" w:rsidRPr="00EF1CC7" w:rsidRDefault="0002032E"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4E6225A2" w14:textId="77777777" w:rsidTr="00500DB0">
        <w:trPr>
          <w:jc w:val="center"/>
        </w:trPr>
        <w:tc>
          <w:tcPr>
            <w:tcW w:w="1167" w:type="pct"/>
            <w:shd w:val="clear" w:color="auto" w:fill="auto"/>
          </w:tcPr>
          <w:p w14:paraId="48D0F09B" w14:textId="77777777" w:rsidR="005F0F2A" w:rsidRPr="00EF1CC7" w:rsidRDefault="005F0F2A" w:rsidP="00E31B2B">
            <w:pPr>
              <w:pStyle w:val="Tabletext"/>
              <w:rPr>
                <w:lang w:val="fr-FR"/>
              </w:rPr>
            </w:pPr>
            <w:r w:rsidRPr="00EF1CC7">
              <w:rPr>
                <w:lang w:val="fr-FR"/>
              </w:rPr>
              <w:lastRenderedPageBreak/>
              <w:t>24 septembre 2018</w:t>
            </w:r>
          </w:p>
        </w:tc>
        <w:tc>
          <w:tcPr>
            <w:tcW w:w="1167" w:type="pct"/>
            <w:shd w:val="clear" w:color="auto" w:fill="auto"/>
          </w:tcPr>
          <w:p w14:paraId="12AB4C05"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509009E6" w14:textId="77777777" w:rsidR="005F0F2A" w:rsidRPr="00EF1CC7" w:rsidRDefault="005F0F2A" w:rsidP="00E31B2B">
            <w:pPr>
              <w:pStyle w:val="Tabletext"/>
              <w:rPr>
                <w:lang w:val="fr-FR"/>
              </w:rPr>
            </w:pPr>
            <w:r w:rsidRPr="00EF1CC7">
              <w:rPr>
                <w:lang w:val="fr-FR"/>
              </w:rPr>
              <w:t>RG-SC</w:t>
            </w:r>
          </w:p>
        </w:tc>
        <w:tc>
          <w:tcPr>
            <w:tcW w:w="1866" w:type="pct"/>
            <w:shd w:val="clear" w:color="auto" w:fill="auto"/>
          </w:tcPr>
          <w:p w14:paraId="40D88B3B" w14:textId="77777777" w:rsidR="005F0F2A" w:rsidRPr="00EF1CC7" w:rsidRDefault="0002032E" w:rsidP="00E31B2B">
            <w:pPr>
              <w:pStyle w:val="Tabletext"/>
              <w:rPr>
                <w:lang w:val="fr-FR"/>
              </w:rPr>
            </w:pPr>
            <w:r w:rsidRPr="00EF1CC7">
              <w:rPr>
                <w:lang w:val="fr-FR"/>
              </w:rPr>
              <w:t>Réunion électronique du Groupe</w:t>
            </w:r>
            <w:r w:rsidR="005F0F2A" w:rsidRPr="00EF1CC7">
              <w:rPr>
                <w:lang w:val="fr-FR"/>
              </w:rPr>
              <w:t xml:space="preserve"> RG-SC </w:t>
            </w:r>
            <w:r w:rsidRPr="00EF1CC7">
              <w:rPr>
                <w:lang w:val="fr-FR"/>
              </w:rPr>
              <w:t>du GCNT</w:t>
            </w:r>
          </w:p>
        </w:tc>
      </w:tr>
      <w:tr w:rsidR="005F0F2A" w:rsidRPr="00E31B2B" w14:paraId="7690F117" w14:textId="77777777" w:rsidTr="00500DB0">
        <w:trPr>
          <w:jc w:val="center"/>
        </w:trPr>
        <w:tc>
          <w:tcPr>
            <w:tcW w:w="1167" w:type="pct"/>
            <w:shd w:val="clear" w:color="auto" w:fill="auto"/>
          </w:tcPr>
          <w:p w14:paraId="264A9178" w14:textId="77777777" w:rsidR="005F0F2A" w:rsidRPr="00EF1CC7" w:rsidRDefault="005F0F2A" w:rsidP="00E31B2B">
            <w:pPr>
              <w:pStyle w:val="Tabletext"/>
              <w:rPr>
                <w:lang w:val="fr-FR"/>
              </w:rPr>
            </w:pPr>
            <w:r w:rsidRPr="00EF1CC7">
              <w:rPr>
                <w:lang w:val="fr-FR"/>
              </w:rPr>
              <w:t>28 septembre 2018</w:t>
            </w:r>
          </w:p>
        </w:tc>
        <w:tc>
          <w:tcPr>
            <w:tcW w:w="1167" w:type="pct"/>
            <w:shd w:val="clear" w:color="auto" w:fill="auto"/>
          </w:tcPr>
          <w:p w14:paraId="15BB655D"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512C602C"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2E726B73" w14:textId="77777777" w:rsidR="005F0F2A" w:rsidRPr="00EF1CC7" w:rsidRDefault="00DD0C1A"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2F1C7AE1" w14:textId="77777777" w:rsidTr="00500DB0">
        <w:trPr>
          <w:jc w:val="center"/>
        </w:trPr>
        <w:tc>
          <w:tcPr>
            <w:tcW w:w="1167" w:type="pct"/>
            <w:shd w:val="clear" w:color="auto" w:fill="auto"/>
          </w:tcPr>
          <w:p w14:paraId="317E0926" w14:textId="77777777" w:rsidR="005F0F2A" w:rsidRPr="00EF1CC7" w:rsidRDefault="005F0F2A" w:rsidP="00E31B2B">
            <w:pPr>
              <w:pStyle w:val="Tabletext"/>
              <w:rPr>
                <w:lang w:val="fr-FR"/>
              </w:rPr>
            </w:pPr>
            <w:r w:rsidRPr="00EF1CC7">
              <w:rPr>
                <w:lang w:val="fr-FR"/>
              </w:rPr>
              <w:t>30 novembre 2018</w:t>
            </w:r>
          </w:p>
        </w:tc>
        <w:tc>
          <w:tcPr>
            <w:tcW w:w="1167" w:type="pct"/>
            <w:shd w:val="clear" w:color="auto" w:fill="auto"/>
          </w:tcPr>
          <w:p w14:paraId="4B31D224"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51579907"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2896753D" w14:textId="77777777" w:rsidR="005F0F2A" w:rsidRPr="00EF1CC7" w:rsidRDefault="00046582"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F1CC7" w14:paraId="0898DBE2" w14:textId="77777777" w:rsidTr="00500DB0">
        <w:trPr>
          <w:jc w:val="center"/>
        </w:trPr>
        <w:tc>
          <w:tcPr>
            <w:tcW w:w="1167" w:type="pct"/>
            <w:shd w:val="clear" w:color="auto" w:fill="auto"/>
          </w:tcPr>
          <w:p w14:paraId="72A2DBC8" w14:textId="77777777" w:rsidR="005F0F2A" w:rsidRPr="00EF1CC7" w:rsidRDefault="005F0F2A" w:rsidP="00E31B2B">
            <w:pPr>
              <w:pStyle w:val="Tabletext"/>
              <w:rPr>
                <w:lang w:val="fr-FR"/>
              </w:rPr>
            </w:pPr>
            <w:r w:rsidRPr="00EF1CC7">
              <w:rPr>
                <w:lang w:val="fr-FR"/>
              </w:rPr>
              <w:t>10-14 décembre 2018</w:t>
            </w:r>
          </w:p>
        </w:tc>
        <w:tc>
          <w:tcPr>
            <w:tcW w:w="1167" w:type="pct"/>
            <w:shd w:val="clear" w:color="auto" w:fill="auto"/>
          </w:tcPr>
          <w:p w14:paraId="6CD683E3"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Genève, Suisse/UIT-T</w:t>
            </w:r>
          </w:p>
        </w:tc>
        <w:tc>
          <w:tcPr>
            <w:tcW w:w="800" w:type="pct"/>
            <w:shd w:val="clear" w:color="auto" w:fill="auto"/>
          </w:tcPr>
          <w:p w14:paraId="7C8E7B98" w14:textId="77777777" w:rsidR="005F0F2A" w:rsidRPr="00EF1CC7" w:rsidRDefault="005F0F2A" w:rsidP="00E31B2B">
            <w:pPr>
              <w:pStyle w:val="Tabletext"/>
              <w:rPr>
                <w:lang w:val="fr-FR"/>
              </w:rPr>
            </w:pPr>
            <w:r w:rsidRPr="00EF1CC7">
              <w:rPr>
                <w:lang w:val="fr-FR"/>
              </w:rPr>
              <w:t>RG-CPTRG,</w:t>
            </w:r>
            <w:r w:rsidRPr="00EF1CC7">
              <w:rPr>
                <w:lang w:val="fr-FR"/>
              </w:rPr>
              <w:br/>
              <w:t>RG-ResReview,</w:t>
            </w:r>
            <w:r w:rsidRPr="00EF1CC7">
              <w:rPr>
                <w:lang w:val="fr-FR"/>
              </w:rPr>
              <w:br/>
              <w:t>RG-SC,</w:t>
            </w:r>
            <w:r w:rsidRPr="00EF1CC7">
              <w:rPr>
                <w:lang w:val="fr-FR"/>
              </w:rPr>
              <w:br/>
              <w:t>RG-StdsStrat,</w:t>
            </w:r>
            <w:r w:rsidRPr="00EF1CC7">
              <w:rPr>
                <w:lang w:val="fr-FR"/>
              </w:rPr>
              <w:br/>
              <w:t>RG-WP,</w:t>
            </w:r>
            <w:r w:rsidRPr="00EF1CC7">
              <w:rPr>
                <w:lang w:val="fr-FR"/>
              </w:rPr>
              <w:br/>
              <w:t>RG-WM</w:t>
            </w:r>
          </w:p>
        </w:tc>
        <w:tc>
          <w:tcPr>
            <w:tcW w:w="1866" w:type="pct"/>
            <w:shd w:val="clear" w:color="auto" w:fill="auto"/>
          </w:tcPr>
          <w:p w14:paraId="01287839" w14:textId="77777777" w:rsidR="005F0F2A" w:rsidRPr="00EF1CC7" w:rsidRDefault="00793C2E" w:rsidP="00E31B2B">
            <w:pPr>
              <w:pStyle w:val="Tabletext"/>
              <w:rPr>
                <w:lang w:val="fr-FR"/>
              </w:rPr>
            </w:pPr>
            <w:r w:rsidRPr="00EF1CC7">
              <w:rPr>
                <w:lang w:val="fr-FR"/>
              </w:rPr>
              <w:t>Troisième réunion du GCNT</w:t>
            </w:r>
          </w:p>
        </w:tc>
      </w:tr>
      <w:tr w:rsidR="005F0F2A" w:rsidRPr="00E31B2B" w14:paraId="711E555D" w14:textId="77777777" w:rsidTr="00500DB0">
        <w:trPr>
          <w:jc w:val="center"/>
        </w:trPr>
        <w:tc>
          <w:tcPr>
            <w:tcW w:w="1167" w:type="pct"/>
            <w:shd w:val="clear" w:color="auto" w:fill="auto"/>
          </w:tcPr>
          <w:p w14:paraId="6B3810EB" w14:textId="77777777" w:rsidR="005F0F2A" w:rsidRPr="00EF1CC7" w:rsidRDefault="005F0F2A" w:rsidP="00E31B2B">
            <w:pPr>
              <w:pStyle w:val="Tabletext"/>
              <w:rPr>
                <w:lang w:val="fr-FR"/>
              </w:rPr>
            </w:pPr>
            <w:r w:rsidRPr="00EF1CC7">
              <w:rPr>
                <w:lang w:val="fr-FR"/>
              </w:rPr>
              <w:t>28 février 2019</w:t>
            </w:r>
          </w:p>
        </w:tc>
        <w:tc>
          <w:tcPr>
            <w:tcW w:w="1167" w:type="pct"/>
            <w:shd w:val="clear" w:color="auto" w:fill="auto"/>
          </w:tcPr>
          <w:p w14:paraId="60EDE5F7"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219C2E31"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7FA4D222" w14:textId="77777777" w:rsidR="005F0F2A" w:rsidRPr="00EF1CC7" w:rsidRDefault="00B02EB9"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3500A281" w14:textId="77777777" w:rsidTr="00500DB0">
        <w:trPr>
          <w:jc w:val="center"/>
        </w:trPr>
        <w:tc>
          <w:tcPr>
            <w:tcW w:w="1167" w:type="pct"/>
            <w:shd w:val="clear" w:color="auto" w:fill="auto"/>
          </w:tcPr>
          <w:p w14:paraId="33BDCA18" w14:textId="77777777" w:rsidR="005F0F2A" w:rsidRPr="00EF1CC7" w:rsidRDefault="005F0F2A" w:rsidP="00E31B2B">
            <w:pPr>
              <w:pStyle w:val="Tabletext"/>
              <w:rPr>
                <w:lang w:val="fr-FR"/>
              </w:rPr>
            </w:pPr>
            <w:r w:rsidRPr="00EF1CC7">
              <w:rPr>
                <w:lang w:val="fr-FR"/>
              </w:rPr>
              <w:t>20 juin 2019</w:t>
            </w:r>
          </w:p>
        </w:tc>
        <w:tc>
          <w:tcPr>
            <w:tcW w:w="1167" w:type="pct"/>
            <w:shd w:val="clear" w:color="auto" w:fill="auto"/>
          </w:tcPr>
          <w:p w14:paraId="12FED78F"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55A03E72"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7F888FC6" w14:textId="77777777" w:rsidR="005F0F2A" w:rsidRPr="00EF1CC7" w:rsidRDefault="00B02EB9"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456ED60D" w14:textId="77777777" w:rsidTr="00500DB0">
        <w:trPr>
          <w:jc w:val="center"/>
        </w:trPr>
        <w:tc>
          <w:tcPr>
            <w:tcW w:w="1167" w:type="pct"/>
            <w:shd w:val="clear" w:color="auto" w:fill="auto"/>
          </w:tcPr>
          <w:p w14:paraId="74670733" w14:textId="77777777" w:rsidR="005F0F2A" w:rsidRPr="00EF1CC7" w:rsidRDefault="005F0F2A" w:rsidP="00E31B2B">
            <w:pPr>
              <w:pStyle w:val="Tabletext"/>
              <w:rPr>
                <w:lang w:val="fr-FR"/>
              </w:rPr>
            </w:pPr>
            <w:r w:rsidRPr="00EF1CC7">
              <w:rPr>
                <w:lang w:val="fr-FR"/>
              </w:rPr>
              <w:t>27 juin 2019</w:t>
            </w:r>
          </w:p>
        </w:tc>
        <w:tc>
          <w:tcPr>
            <w:tcW w:w="1167" w:type="pct"/>
            <w:shd w:val="clear" w:color="auto" w:fill="auto"/>
          </w:tcPr>
          <w:p w14:paraId="2F8C35A6"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0F3008A"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756882CD" w14:textId="77777777" w:rsidR="005F0F2A" w:rsidRPr="00EF1CC7" w:rsidRDefault="00AB73AE" w:rsidP="00E31B2B">
            <w:pPr>
              <w:pStyle w:val="Tabletext"/>
              <w:rPr>
                <w:lang w:val="fr-FR"/>
              </w:rPr>
            </w:pPr>
            <w:r w:rsidRPr="00EF1CC7">
              <w:rPr>
                <w:lang w:val="fr-FR"/>
              </w:rPr>
              <w:t xml:space="preserve">Réunion électronique du Groupe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7BE8AC46" w14:textId="77777777" w:rsidTr="00500DB0">
        <w:trPr>
          <w:jc w:val="center"/>
        </w:trPr>
        <w:tc>
          <w:tcPr>
            <w:tcW w:w="1167" w:type="pct"/>
            <w:shd w:val="clear" w:color="auto" w:fill="auto"/>
          </w:tcPr>
          <w:p w14:paraId="481699FF" w14:textId="77777777" w:rsidR="005F0F2A" w:rsidRPr="00EF1CC7" w:rsidRDefault="005F0F2A" w:rsidP="00E31B2B">
            <w:pPr>
              <w:pStyle w:val="Tabletext"/>
              <w:rPr>
                <w:lang w:val="fr-FR"/>
              </w:rPr>
            </w:pPr>
            <w:r w:rsidRPr="00EF1CC7">
              <w:rPr>
                <w:lang w:val="fr-FR"/>
              </w:rPr>
              <w:t>5 juillet 2019</w:t>
            </w:r>
          </w:p>
        </w:tc>
        <w:tc>
          <w:tcPr>
            <w:tcW w:w="1167" w:type="pct"/>
            <w:shd w:val="clear" w:color="auto" w:fill="auto"/>
          </w:tcPr>
          <w:p w14:paraId="261EAD58"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01ECDD6B"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76F6FA2E" w14:textId="77777777" w:rsidR="005F0F2A" w:rsidRPr="00EF1CC7" w:rsidRDefault="00AB73AE" w:rsidP="00E31B2B">
            <w:pPr>
              <w:pStyle w:val="Tabletext"/>
              <w:rPr>
                <w:lang w:val="fr-FR"/>
              </w:rPr>
            </w:pPr>
            <w:r w:rsidRPr="00EF1CC7">
              <w:rPr>
                <w:lang w:val="fr-FR"/>
              </w:rPr>
              <w:t>Réunion électronique du Groupe</w:t>
            </w:r>
            <w:r w:rsidRPr="00EF1CC7" w:rsidDel="00AB73AE">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04A29D69" w14:textId="77777777" w:rsidTr="00500DB0">
        <w:trPr>
          <w:jc w:val="center"/>
        </w:trPr>
        <w:tc>
          <w:tcPr>
            <w:tcW w:w="1167" w:type="pct"/>
            <w:shd w:val="clear" w:color="auto" w:fill="auto"/>
          </w:tcPr>
          <w:p w14:paraId="2825EA0C" w14:textId="77777777" w:rsidR="005F0F2A" w:rsidRPr="00EF1CC7" w:rsidRDefault="005F0F2A" w:rsidP="00E31B2B">
            <w:pPr>
              <w:pStyle w:val="Tabletext"/>
              <w:rPr>
                <w:lang w:val="fr-FR"/>
              </w:rPr>
            </w:pPr>
            <w:r w:rsidRPr="00EF1CC7">
              <w:rPr>
                <w:lang w:val="fr-FR"/>
              </w:rPr>
              <w:t>29 août 2019</w:t>
            </w:r>
          </w:p>
        </w:tc>
        <w:tc>
          <w:tcPr>
            <w:tcW w:w="1167" w:type="pct"/>
            <w:shd w:val="clear" w:color="auto" w:fill="auto"/>
          </w:tcPr>
          <w:p w14:paraId="5190A87F"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59CFDAF"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62BCEB7A" w14:textId="77777777" w:rsidR="005F0F2A" w:rsidRPr="00EF1CC7" w:rsidRDefault="00BC061D" w:rsidP="00E31B2B">
            <w:pPr>
              <w:pStyle w:val="Tabletext"/>
              <w:rPr>
                <w:lang w:val="fr-FR"/>
              </w:rPr>
            </w:pPr>
            <w:r w:rsidRPr="00EF1CC7">
              <w:rPr>
                <w:lang w:val="fr-FR"/>
              </w:rPr>
              <w:t>Réunion électronique du Groupe</w:t>
            </w:r>
            <w:r w:rsidRPr="00EF1CC7" w:rsidDel="00BC061D">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F1CC7" w14:paraId="2CAB167A" w14:textId="77777777" w:rsidTr="00500DB0">
        <w:trPr>
          <w:jc w:val="center"/>
        </w:trPr>
        <w:tc>
          <w:tcPr>
            <w:tcW w:w="1167" w:type="pct"/>
            <w:shd w:val="clear" w:color="auto" w:fill="auto"/>
          </w:tcPr>
          <w:p w14:paraId="6D7D82CF" w14:textId="77777777" w:rsidR="005F0F2A" w:rsidRPr="00EF1CC7" w:rsidRDefault="005F0F2A" w:rsidP="00E31B2B">
            <w:pPr>
              <w:pStyle w:val="Tabletext"/>
              <w:rPr>
                <w:lang w:val="fr-FR"/>
              </w:rPr>
            </w:pPr>
            <w:r w:rsidRPr="00EF1CC7">
              <w:rPr>
                <w:lang w:val="fr-FR"/>
              </w:rPr>
              <w:t>23-27 septembre 2019</w:t>
            </w:r>
          </w:p>
        </w:tc>
        <w:tc>
          <w:tcPr>
            <w:tcW w:w="1167" w:type="pct"/>
            <w:shd w:val="clear" w:color="auto" w:fill="auto"/>
          </w:tcPr>
          <w:p w14:paraId="03102BD9"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Genève, Suisse/UIT-T</w:t>
            </w:r>
          </w:p>
        </w:tc>
        <w:tc>
          <w:tcPr>
            <w:tcW w:w="800" w:type="pct"/>
            <w:shd w:val="clear" w:color="auto" w:fill="auto"/>
          </w:tcPr>
          <w:p w14:paraId="1E6EE5FF" w14:textId="77777777" w:rsidR="005F0F2A" w:rsidRPr="00EF1CC7" w:rsidRDefault="005F0F2A" w:rsidP="00E31B2B">
            <w:pPr>
              <w:pStyle w:val="Tabletext"/>
              <w:rPr>
                <w:lang w:val="fr-FR"/>
              </w:rPr>
            </w:pPr>
            <w:r w:rsidRPr="00EF1CC7">
              <w:rPr>
                <w:lang w:val="fr-FR"/>
              </w:rPr>
              <w:t>RG-CPTRG,</w:t>
            </w:r>
            <w:r w:rsidRPr="00EF1CC7">
              <w:rPr>
                <w:lang w:val="fr-FR"/>
              </w:rPr>
              <w:br/>
              <w:t>RG-ResReview,</w:t>
            </w:r>
            <w:r w:rsidRPr="00EF1CC7">
              <w:rPr>
                <w:lang w:val="fr-FR"/>
              </w:rPr>
              <w:br/>
              <w:t>RG-SC,</w:t>
            </w:r>
            <w:r w:rsidRPr="00EF1CC7">
              <w:rPr>
                <w:lang w:val="fr-FR"/>
              </w:rPr>
              <w:br/>
              <w:t>RG-StdsStrat,</w:t>
            </w:r>
            <w:r w:rsidRPr="00EF1CC7">
              <w:rPr>
                <w:lang w:val="fr-FR"/>
              </w:rPr>
              <w:br/>
              <w:t>RG-WM,</w:t>
            </w:r>
            <w:r w:rsidRPr="00EF1CC7">
              <w:rPr>
                <w:lang w:val="fr-FR"/>
              </w:rPr>
              <w:br/>
              <w:t>RG-WP</w:t>
            </w:r>
          </w:p>
        </w:tc>
        <w:tc>
          <w:tcPr>
            <w:tcW w:w="1866" w:type="pct"/>
            <w:shd w:val="clear" w:color="auto" w:fill="auto"/>
          </w:tcPr>
          <w:p w14:paraId="1F7A2A07" w14:textId="77777777" w:rsidR="005F0F2A" w:rsidRPr="00EF1CC7" w:rsidRDefault="00AF2649" w:rsidP="00E31B2B">
            <w:pPr>
              <w:pStyle w:val="Tabletext"/>
              <w:rPr>
                <w:lang w:val="fr-FR"/>
              </w:rPr>
            </w:pPr>
            <w:r w:rsidRPr="00EF1CC7">
              <w:rPr>
                <w:lang w:val="fr-FR"/>
              </w:rPr>
              <w:t>Quatrième réunion du GCNT</w:t>
            </w:r>
          </w:p>
        </w:tc>
      </w:tr>
      <w:tr w:rsidR="005F0F2A" w:rsidRPr="00E31B2B" w14:paraId="269BD918" w14:textId="77777777" w:rsidTr="00500DB0">
        <w:trPr>
          <w:jc w:val="center"/>
        </w:trPr>
        <w:tc>
          <w:tcPr>
            <w:tcW w:w="1167" w:type="pct"/>
            <w:shd w:val="clear" w:color="auto" w:fill="auto"/>
          </w:tcPr>
          <w:p w14:paraId="3A8A082F" w14:textId="77777777" w:rsidR="005F0F2A" w:rsidRPr="00EF1CC7" w:rsidRDefault="005F0F2A" w:rsidP="00E31B2B">
            <w:pPr>
              <w:pStyle w:val="Tabletext"/>
              <w:rPr>
                <w:lang w:val="fr-FR"/>
              </w:rPr>
            </w:pPr>
            <w:r w:rsidRPr="00EF1CC7">
              <w:rPr>
                <w:lang w:val="fr-FR"/>
              </w:rPr>
              <w:t>1er novembre 2019</w:t>
            </w:r>
          </w:p>
        </w:tc>
        <w:tc>
          <w:tcPr>
            <w:tcW w:w="1167" w:type="pct"/>
            <w:shd w:val="clear" w:color="auto" w:fill="auto"/>
          </w:tcPr>
          <w:p w14:paraId="5C68BFF3"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998B50E"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3266A384" w14:textId="77777777" w:rsidR="005F0F2A" w:rsidRPr="00EF1CC7" w:rsidRDefault="00AF2649" w:rsidP="00E31B2B">
            <w:pPr>
              <w:pStyle w:val="Tabletext"/>
              <w:rPr>
                <w:lang w:val="fr-FR"/>
              </w:rPr>
            </w:pPr>
            <w:r w:rsidRPr="00EF1CC7">
              <w:rPr>
                <w:lang w:val="fr-FR"/>
              </w:rPr>
              <w:t>Réunion électronique du Groupe</w:t>
            </w:r>
            <w:r w:rsidRPr="00EF1CC7" w:rsidDel="00AF2649">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156BC891" w14:textId="77777777" w:rsidTr="00500DB0">
        <w:trPr>
          <w:jc w:val="center"/>
        </w:trPr>
        <w:tc>
          <w:tcPr>
            <w:tcW w:w="1167" w:type="pct"/>
            <w:shd w:val="clear" w:color="auto" w:fill="auto"/>
          </w:tcPr>
          <w:p w14:paraId="43E434E7" w14:textId="77777777" w:rsidR="005F0F2A" w:rsidRPr="00EF1CC7" w:rsidRDefault="005F0F2A" w:rsidP="00E31B2B">
            <w:pPr>
              <w:pStyle w:val="Tabletext"/>
              <w:rPr>
                <w:lang w:val="fr-FR"/>
              </w:rPr>
            </w:pPr>
            <w:r w:rsidRPr="00EF1CC7">
              <w:rPr>
                <w:lang w:val="fr-FR"/>
              </w:rPr>
              <w:t>6 décembre 2019</w:t>
            </w:r>
          </w:p>
        </w:tc>
        <w:tc>
          <w:tcPr>
            <w:tcW w:w="1167" w:type="pct"/>
            <w:shd w:val="clear" w:color="auto" w:fill="auto"/>
          </w:tcPr>
          <w:p w14:paraId="24CE4AD3"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19195061"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7B2D56E7" w14:textId="77777777" w:rsidR="005F0F2A" w:rsidRPr="00EF1CC7" w:rsidRDefault="00AF2649" w:rsidP="00E31B2B">
            <w:pPr>
              <w:pStyle w:val="Tabletext"/>
              <w:rPr>
                <w:lang w:val="fr-FR"/>
              </w:rPr>
            </w:pPr>
            <w:r w:rsidRPr="00EF1CC7">
              <w:rPr>
                <w:lang w:val="fr-FR"/>
              </w:rPr>
              <w:t>Réunion électronique du Groupe</w:t>
            </w:r>
            <w:r w:rsidRPr="00EF1CC7" w:rsidDel="00AF2649">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20EEF9DD" w14:textId="77777777" w:rsidTr="00500DB0">
        <w:trPr>
          <w:jc w:val="center"/>
        </w:trPr>
        <w:tc>
          <w:tcPr>
            <w:tcW w:w="1167" w:type="pct"/>
            <w:shd w:val="clear" w:color="auto" w:fill="auto"/>
          </w:tcPr>
          <w:p w14:paraId="62FA24D6" w14:textId="77777777" w:rsidR="005F0F2A" w:rsidRPr="00EF1CC7" w:rsidRDefault="005F0F2A" w:rsidP="00E31B2B">
            <w:pPr>
              <w:pStyle w:val="Tabletext"/>
              <w:rPr>
                <w:lang w:val="fr-FR"/>
              </w:rPr>
            </w:pPr>
            <w:r w:rsidRPr="00EF1CC7">
              <w:rPr>
                <w:lang w:val="fr-FR"/>
              </w:rPr>
              <w:t>18-19 décembre 2019</w:t>
            </w:r>
          </w:p>
        </w:tc>
        <w:tc>
          <w:tcPr>
            <w:tcW w:w="1167" w:type="pct"/>
            <w:shd w:val="clear" w:color="auto" w:fill="auto"/>
          </w:tcPr>
          <w:p w14:paraId="31640E7E"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68CCF10"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42F08A1B" w14:textId="77777777" w:rsidR="005F0F2A" w:rsidRPr="00EF1CC7" w:rsidRDefault="00A97F0D" w:rsidP="00E31B2B">
            <w:pPr>
              <w:pStyle w:val="Tabletext"/>
              <w:rPr>
                <w:lang w:val="fr-FR"/>
              </w:rPr>
            </w:pPr>
            <w:r w:rsidRPr="00EF1CC7">
              <w:rPr>
                <w:lang w:val="fr-FR"/>
              </w:rPr>
              <w:t>Réunions électroniques du Groupe</w:t>
            </w:r>
            <w:r w:rsidRPr="00EF1CC7" w:rsidDel="00A97F0D">
              <w:rPr>
                <w:lang w:val="fr-FR"/>
              </w:rPr>
              <w:t xml:space="preserv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3397DAFA" w14:textId="77777777" w:rsidTr="00500DB0">
        <w:trPr>
          <w:jc w:val="center"/>
        </w:trPr>
        <w:tc>
          <w:tcPr>
            <w:tcW w:w="1167" w:type="pct"/>
            <w:shd w:val="clear" w:color="auto" w:fill="auto"/>
          </w:tcPr>
          <w:p w14:paraId="0AF454C7" w14:textId="77777777" w:rsidR="005F0F2A" w:rsidRPr="00EF1CC7" w:rsidRDefault="005F0F2A" w:rsidP="00E31B2B">
            <w:pPr>
              <w:pStyle w:val="Tabletext"/>
              <w:rPr>
                <w:lang w:val="fr-FR"/>
              </w:rPr>
            </w:pPr>
            <w:r w:rsidRPr="00EF1CC7">
              <w:rPr>
                <w:lang w:val="fr-FR"/>
              </w:rPr>
              <w:t>20 janvier 2020</w:t>
            </w:r>
          </w:p>
        </w:tc>
        <w:tc>
          <w:tcPr>
            <w:tcW w:w="1167" w:type="pct"/>
            <w:shd w:val="clear" w:color="auto" w:fill="auto"/>
          </w:tcPr>
          <w:p w14:paraId="5A650054"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FCA6C88"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43B28B53" w14:textId="77777777" w:rsidR="005F0F2A" w:rsidRPr="00EF1CC7" w:rsidRDefault="00A53497" w:rsidP="00E31B2B">
            <w:pPr>
              <w:pStyle w:val="Tabletext"/>
              <w:rPr>
                <w:lang w:val="fr-FR"/>
              </w:rPr>
            </w:pPr>
            <w:r w:rsidRPr="00EF1CC7">
              <w:rPr>
                <w:lang w:val="fr-FR"/>
              </w:rPr>
              <w:t>Réunion électronique du Groupe</w:t>
            </w:r>
            <w:r w:rsidRPr="00EF1CC7" w:rsidDel="00A53497">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F1CC7" w14:paraId="12FE49B4" w14:textId="77777777" w:rsidTr="00500DB0">
        <w:trPr>
          <w:jc w:val="center"/>
        </w:trPr>
        <w:tc>
          <w:tcPr>
            <w:tcW w:w="1167" w:type="pct"/>
            <w:shd w:val="clear" w:color="auto" w:fill="auto"/>
          </w:tcPr>
          <w:p w14:paraId="63B86AE8" w14:textId="77777777" w:rsidR="005F0F2A" w:rsidRPr="00EF1CC7" w:rsidRDefault="005F0F2A" w:rsidP="00E31B2B">
            <w:pPr>
              <w:pStyle w:val="Tabletext"/>
              <w:rPr>
                <w:lang w:val="fr-FR"/>
              </w:rPr>
            </w:pPr>
            <w:r w:rsidRPr="00EF1CC7">
              <w:rPr>
                <w:lang w:val="fr-FR"/>
              </w:rPr>
              <w:t>10-14 février 2020</w:t>
            </w:r>
          </w:p>
        </w:tc>
        <w:tc>
          <w:tcPr>
            <w:tcW w:w="1167" w:type="pct"/>
            <w:shd w:val="clear" w:color="auto" w:fill="auto"/>
          </w:tcPr>
          <w:p w14:paraId="34EA2810"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Genève, Suisse/UIT-T</w:t>
            </w:r>
          </w:p>
        </w:tc>
        <w:tc>
          <w:tcPr>
            <w:tcW w:w="800" w:type="pct"/>
            <w:shd w:val="clear" w:color="auto" w:fill="auto"/>
          </w:tcPr>
          <w:p w14:paraId="160FC93A" w14:textId="77777777" w:rsidR="005F0F2A" w:rsidRPr="00EF1CC7" w:rsidRDefault="005F0F2A" w:rsidP="00E31B2B">
            <w:pPr>
              <w:pStyle w:val="Tabletext"/>
              <w:rPr>
                <w:lang w:val="fr-FR"/>
              </w:rPr>
            </w:pPr>
            <w:r w:rsidRPr="00EF1CC7">
              <w:rPr>
                <w:lang w:val="fr-FR"/>
              </w:rPr>
              <w:t>RG-CPTRG,</w:t>
            </w:r>
            <w:r w:rsidRPr="00EF1CC7">
              <w:rPr>
                <w:lang w:val="fr-FR"/>
              </w:rPr>
              <w:br/>
              <w:t>RG-ResReview,</w:t>
            </w:r>
            <w:r w:rsidRPr="00EF1CC7">
              <w:rPr>
                <w:lang w:val="fr-FR"/>
              </w:rPr>
              <w:br/>
              <w:t>RG-SC,</w:t>
            </w:r>
            <w:r w:rsidRPr="00EF1CC7">
              <w:rPr>
                <w:lang w:val="fr-FR"/>
              </w:rPr>
              <w:br/>
              <w:t>RG-StdsStrat,</w:t>
            </w:r>
            <w:r w:rsidRPr="00EF1CC7">
              <w:rPr>
                <w:lang w:val="fr-FR"/>
              </w:rPr>
              <w:br/>
              <w:t>RG-WM,</w:t>
            </w:r>
            <w:r w:rsidRPr="00EF1CC7">
              <w:rPr>
                <w:lang w:val="fr-FR"/>
              </w:rPr>
              <w:br/>
              <w:t>RG-WP</w:t>
            </w:r>
          </w:p>
        </w:tc>
        <w:tc>
          <w:tcPr>
            <w:tcW w:w="1866" w:type="pct"/>
            <w:shd w:val="clear" w:color="auto" w:fill="auto"/>
          </w:tcPr>
          <w:p w14:paraId="76A7809F" w14:textId="77777777" w:rsidR="005F0F2A" w:rsidRPr="00EF1CC7" w:rsidRDefault="00A53497" w:rsidP="00E31B2B">
            <w:pPr>
              <w:pStyle w:val="Tabletext"/>
              <w:rPr>
                <w:lang w:val="fr-FR"/>
              </w:rPr>
            </w:pPr>
            <w:r w:rsidRPr="00EF1CC7">
              <w:rPr>
                <w:lang w:val="fr-FR"/>
              </w:rPr>
              <w:t>Cinquième réunion du GCNT</w:t>
            </w:r>
          </w:p>
        </w:tc>
      </w:tr>
      <w:tr w:rsidR="005F0F2A" w:rsidRPr="00E31B2B" w14:paraId="4FE5D519" w14:textId="77777777" w:rsidTr="00500DB0">
        <w:trPr>
          <w:jc w:val="center"/>
        </w:trPr>
        <w:tc>
          <w:tcPr>
            <w:tcW w:w="1167" w:type="pct"/>
            <w:shd w:val="clear" w:color="auto" w:fill="auto"/>
          </w:tcPr>
          <w:p w14:paraId="405E2E45" w14:textId="77777777" w:rsidR="005F0F2A" w:rsidRPr="00EF1CC7" w:rsidRDefault="005F0F2A" w:rsidP="00E31B2B">
            <w:pPr>
              <w:pStyle w:val="Tabletext"/>
              <w:rPr>
                <w:lang w:val="fr-FR"/>
              </w:rPr>
            </w:pPr>
            <w:r w:rsidRPr="00EF1CC7">
              <w:rPr>
                <w:lang w:val="fr-FR"/>
              </w:rPr>
              <w:t>30 avril 2020</w:t>
            </w:r>
          </w:p>
        </w:tc>
        <w:tc>
          <w:tcPr>
            <w:tcW w:w="1167" w:type="pct"/>
            <w:shd w:val="clear" w:color="auto" w:fill="auto"/>
          </w:tcPr>
          <w:p w14:paraId="7821E986"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4808BF6D"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12A49B48" w14:textId="77777777" w:rsidR="005F0F2A" w:rsidRPr="00EF1CC7" w:rsidRDefault="000907C3" w:rsidP="00E31B2B">
            <w:pPr>
              <w:pStyle w:val="Tabletext"/>
              <w:rPr>
                <w:lang w:val="fr-FR"/>
              </w:rPr>
            </w:pPr>
            <w:r w:rsidRPr="00EF1CC7">
              <w:rPr>
                <w:lang w:val="fr-FR"/>
              </w:rPr>
              <w:t>Réunion électronique du Groupe</w:t>
            </w:r>
            <w:r w:rsidRPr="00EF1CC7" w:rsidDel="000907C3">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44A0E769" w14:textId="77777777" w:rsidTr="00500DB0">
        <w:trPr>
          <w:jc w:val="center"/>
        </w:trPr>
        <w:tc>
          <w:tcPr>
            <w:tcW w:w="1167" w:type="pct"/>
            <w:shd w:val="clear" w:color="auto" w:fill="auto"/>
          </w:tcPr>
          <w:p w14:paraId="3F2D05E9" w14:textId="77777777" w:rsidR="005F0F2A" w:rsidRPr="00EF1CC7" w:rsidRDefault="005F0F2A" w:rsidP="00E31B2B">
            <w:pPr>
              <w:pStyle w:val="Tabletext"/>
              <w:rPr>
                <w:lang w:val="fr-FR"/>
              </w:rPr>
            </w:pPr>
            <w:r w:rsidRPr="00EF1CC7">
              <w:rPr>
                <w:lang w:val="fr-FR"/>
              </w:rPr>
              <w:t>2 juillet 2020</w:t>
            </w:r>
          </w:p>
        </w:tc>
        <w:tc>
          <w:tcPr>
            <w:tcW w:w="1167" w:type="pct"/>
            <w:shd w:val="clear" w:color="auto" w:fill="auto"/>
          </w:tcPr>
          <w:p w14:paraId="3D488FB7"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23BE31AE"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52849DA7" w14:textId="77777777" w:rsidR="005F0F2A" w:rsidRPr="00EF1CC7" w:rsidRDefault="00493382" w:rsidP="00E31B2B">
            <w:pPr>
              <w:pStyle w:val="Tabletext"/>
              <w:rPr>
                <w:lang w:val="fr-FR"/>
              </w:rPr>
            </w:pPr>
            <w:r w:rsidRPr="00EF1CC7">
              <w:rPr>
                <w:lang w:val="fr-FR"/>
              </w:rPr>
              <w:t>Réunion électronique du Groupe</w:t>
            </w:r>
            <w:r w:rsidRPr="00EF1CC7" w:rsidDel="00493382">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4D42B2DE" w14:textId="77777777" w:rsidTr="00500DB0">
        <w:trPr>
          <w:jc w:val="center"/>
        </w:trPr>
        <w:tc>
          <w:tcPr>
            <w:tcW w:w="1167" w:type="pct"/>
            <w:shd w:val="clear" w:color="auto" w:fill="auto"/>
          </w:tcPr>
          <w:p w14:paraId="6BDA7584" w14:textId="77777777" w:rsidR="005F0F2A" w:rsidRPr="00EF1CC7" w:rsidRDefault="005F0F2A" w:rsidP="00E31B2B">
            <w:pPr>
              <w:pStyle w:val="Tabletext"/>
              <w:rPr>
                <w:lang w:val="fr-FR"/>
              </w:rPr>
            </w:pPr>
            <w:r w:rsidRPr="00EF1CC7">
              <w:rPr>
                <w:lang w:val="fr-FR"/>
              </w:rPr>
              <w:t>28-29 juillet 2020</w:t>
            </w:r>
          </w:p>
        </w:tc>
        <w:tc>
          <w:tcPr>
            <w:tcW w:w="1167" w:type="pct"/>
            <w:shd w:val="clear" w:color="auto" w:fill="auto"/>
          </w:tcPr>
          <w:p w14:paraId="36DB4902"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158C958A"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4D51915E" w14:textId="77777777" w:rsidR="005F0F2A" w:rsidRPr="00EF1CC7" w:rsidRDefault="004176F9" w:rsidP="00E31B2B">
            <w:pPr>
              <w:pStyle w:val="Tabletext"/>
              <w:rPr>
                <w:lang w:val="fr-FR"/>
              </w:rPr>
            </w:pPr>
            <w:r w:rsidRPr="00EF1CC7">
              <w:rPr>
                <w:lang w:val="fr-FR"/>
              </w:rPr>
              <w:t>Réunion électronique du Groupe</w:t>
            </w:r>
            <w:r w:rsidRPr="00EF1CC7" w:rsidDel="004176F9">
              <w:rPr>
                <w:lang w:val="fr-FR"/>
              </w:rPr>
              <w:t xml:space="preserv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54EB67E8" w14:textId="77777777" w:rsidTr="00500DB0">
        <w:trPr>
          <w:jc w:val="center"/>
        </w:trPr>
        <w:tc>
          <w:tcPr>
            <w:tcW w:w="1167" w:type="pct"/>
            <w:shd w:val="clear" w:color="auto" w:fill="auto"/>
          </w:tcPr>
          <w:p w14:paraId="12D4C1D2" w14:textId="77777777" w:rsidR="005F0F2A" w:rsidRPr="00EF1CC7" w:rsidRDefault="005F0F2A" w:rsidP="00E31B2B">
            <w:pPr>
              <w:pStyle w:val="Tabletext"/>
              <w:rPr>
                <w:lang w:val="fr-FR"/>
              </w:rPr>
            </w:pPr>
            <w:r w:rsidRPr="00EF1CC7">
              <w:rPr>
                <w:lang w:val="fr-FR"/>
              </w:rPr>
              <w:t>5-7 août 2020</w:t>
            </w:r>
          </w:p>
        </w:tc>
        <w:tc>
          <w:tcPr>
            <w:tcW w:w="1167" w:type="pct"/>
            <w:shd w:val="clear" w:color="auto" w:fill="auto"/>
          </w:tcPr>
          <w:p w14:paraId="071C6099"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6B26FBF" w14:textId="77777777" w:rsidR="005F0F2A" w:rsidRPr="00EF1CC7" w:rsidRDefault="005F0F2A" w:rsidP="00E31B2B">
            <w:pPr>
              <w:pStyle w:val="Tabletext"/>
              <w:rPr>
                <w:lang w:val="fr-FR"/>
              </w:rPr>
            </w:pPr>
            <w:r w:rsidRPr="00EF1CC7">
              <w:rPr>
                <w:lang w:val="fr-FR"/>
              </w:rPr>
              <w:t>RG-WP</w:t>
            </w:r>
          </w:p>
        </w:tc>
        <w:tc>
          <w:tcPr>
            <w:tcW w:w="1866" w:type="pct"/>
            <w:shd w:val="clear" w:color="auto" w:fill="auto"/>
          </w:tcPr>
          <w:p w14:paraId="6675EBFE" w14:textId="77777777" w:rsidR="005F0F2A" w:rsidRPr="00EF1CC7" w:rsidRDefault="0047125B" w:rsidP="00E31B2B">
            <w:pPr>
              <w:pStyle w:val="Tabletext"/>
              <w:rPr>
                <w:lang w:val="fr-FR"/>
              </w:rPr>
            </w:pPr>
            <w:r w:rsidRPr="00EF1CC7">
              <w:rPr>
                <w:lang w:val="fr-FR"/>
              </w:rPr>
              <w:t>Réunion électronique du Groupe</w:t>
            </w:r>
            <w:r w:rsidRPr="00EF1CC7" w:rsidDel="0047125B">
              <w:rPr>
                <w:lang w:val="fr-FR"/>
              </w:rPr>
              <w:t xml:space="preserve"> </w:t>
            </w:r>
            <w:r w:rsidR="005F0F2A" w:rsidRPr="00EF1CC7">
              <w:rPr>
                <w:lang w:val="fr-FR"/>
              </w:rPr>
              <w:t xml:space="preserve">RG-WP </w:t>
            </w:r>
            <w:r w:rsidRPr="00EF1CC7">
              <w:rPr>
                <w:lang w:val="fr-FR"/>
              </w:rPr>
              <w:t>du GCNT</w:t>
            </w:r>
          </w:p>
        </w:tc>
      </w:tr>
      <w:tr w:rsidR="005F0F2A" w:rsidRPr="00E31B2B" w14:paraId="0FC35B67" w14:textId="77777777" w:rsidTr="00500DB0">
        <w:trPr>
          <w:jc w:val="center"/>
        </w:trPr>
        <w:tc>
          <w:tcPr>
            <w:tcW w:w="1167" w:type="pct"/>
            <w:shd w:val="clear" w:color="auto" w:fill="auto"/>
          </w:tcPr>
          <w:p w14:paraId="65FE1A0D" w14:textId="77777777" w:rsidR="005F0F2A" w:rsidRPr="00EF1CC7" w:rsidRDefault="005F0F2A" w:rsidP="00E31B2B">
            <w:pPr>
              <w:pStyle w:val="Tabletext"/>
              <w:rPr>
                <w:lang w:val="fr-FR"/>
              </w:rPr>
            </w:pPr>
            <w:r w:rsidRPr="00EF1CC7">
              <w:rPr>
                <w:lang w:val="fr-FR"/>
              </w:rPr>
              <w:t>31 août 2020</w:t>
            </w:r>
          </w:p>
        </w:tc>
        <w:tc>
          <w:tcPr>
            <w:tcW w:w="1167" w:type="pct"/>
            <w:shd w:val="clear" w:color="auto" w:fill="auto"/>
          </w:tcPr>
          <w:p w14:paraId="603A5EB4"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A501481" w14:textId="77777777" w:rsidR="005F0F2A" w:rsidRPr="00EF1CC7" w:rsidRDefault="005F0F2A" w:rsidP="00E31B2B">
            <w:pPr>
              <w:pStyle w:val="Tabletext"/>
              <w:rPr>
                <w:lang w:val="fr-FR"/>
              </w:rPr>
            </w:pPr>
            <w:r w:rsidRPr="00EF1CC7">
              <w:rPr>
                <w:lang w:val="fr-FR"/>
              </w:rPr>
              <w:t>RG-ResReview</w:t>
            </w:r>
          </w:p>
        </w:tc>
        <w:tc>
          <w:tcPr>
            <w:tcW w:w="1866" w:type="pct"/>
            <w:shd w:val="clear" w:color="auto" w:fill="auto"/>
          </w:tcPr>
          <w:p w14:paraId="2D2F6F08" w14:textId="77777777" w:rsidR="005F0F2A" w:rsidRPr="00EF1CC7" w:rsidRDefault="0047125B" w:rsidP="00E31B2B">
            <w:pPr>
              <w:pStyle w:val="Tabletext"/>
              <w:rPr>
                <w:lang w:val="fr-FR"/>
              </w:rPr>
            </w:pPr>
            <w:r w:rsidRPr="00EF1CC7">
              <w:rPr>
                <w:lang w:val="fr-FR"/>
              </w:rPr>
              <w:t>Réunion électronique du Groupe</w:t>
            </w:r>
            <w:r w:rsidRPr="00EF1CC7" w:rsidDel="0047125B">
              <w:rPr>
                <w:lang w:val="fr-FR"/>
              </w:rPr>
              <w:t xml:space="preserve"> </w:t>
            </w:r>
            <w:r w:rsidR="005F0F2A" w:rsidRPr="00EF1CC7">
              <w:rPr>
                <w:lang w:val="fr-FR"/>
              </w:rPr>
              <w:t>RG</w:t>
            </w:r>
            <w:r w:rsidR="0031613F" w:rsidRPr="00EF1CC7">
              <w:rPr>
                <w:lang w:val="fr-FR"/>
              </w:rPr>
              <w:noBreakHyphen/>
            </w:r>
            <w:r w:rsidR="005F0F2A" w:rsidRPr="00EF1CC7">
              <w:rPr>
                <w:lang w:val="fr-FR"/>
              </w:rPr>
              <w:t xml:space="preserve">ResReview </w:t>
            </w:r>
            <w:r w:rsidRPr="00EF1CC7">
              <w:rPr>
                <w:lang w:val="fr-FR"/>
              </w:rPr>
              <w:t>du GCNT</w:t>
            </w:r>
          </w:p>
        </w:tc>
      </w:tr>
      <w:tr w:rsidR="005F0F2A" w:rsidRPr="00E31B2B" w14:paraId="1B32B442" w14:textId="77777777" w:rsidTr="00500DB0">
        <w:trPr>
          <w:jc w:val="center"/>
        </w:trPr>
        <w:tc>
          <w:tcPr>
            <w:tcW w:w="1167" w:type="pct"/>
            <w:shd w:val="clear" w:color="auto" w:fill="auto"/>
          </w:tcPr>
          <w:p w14:paraId="54963B8F" w14:textId="77777777" w:rsidR="005F0F2A" w:rsidRPr="00EF1CC7" w:rsidRDefault="005F0F2A" w:rsidP="00E31B2B">
            <w:pPr>
              <w:pStyle w:val="Tabletext"/>
              <w:rPr>
                <w:lang w:val="fr-FR"/>
              </w:rPr>
            </w:pPr>
            <w:r w:rsidRPr="00EF1CC7">
              <w:rPr>
                <w:lang w:val="fr-FR"/>
              </w:rPr>
              <w:lastRenderedPageBreak/>
              <w:t>4 septembre 2020</w:t>
            </w:r>
          </w:p>
        </w:tc>
        <w:tc>
          <w:tcPr>
            <w:tcW w:w="1167" w:type="pct"/>
            <w:shd w:val="clear" w:color="auto" w:fill="auto"/>
          </w:tcPr>
          <w:p w14:paraId="2277BF2F"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6EE2691"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594A873A" w14:textId="77777777" w:rsidR="005F0F2A" w:rsidRPr="00EF1CC7" w:rsidRDefault="00E57C40"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4BE02B1E" w14:textId="77777777" w:rsidTr="00500DB0">
        <w:trPr>
          <w:jc w:val="center"/>
        </w:trPr>
        <w:tc>
          <w:tcPr>
            <w:tcW w:w="1167" w:type="pct"/>
            <w:shd w:val="clear" w:color="auto" w:fill="auto"/>
          </w:tcPr>
          <w:p w14:paraId="033A08F2" w14:textId="77777777" w:rsidR="005F0F2A" w:rsidRPr="00EF1CC7" w:rsidRDefault="005F0F2A" w:rsidP="00E31B2B">
            <w:pPr>
              <w:pStyle w:val="Tabletext"/>
              <w:rPr>
                <w:lang w:val="fr-FR"/>
              </w:rPr>
            </w:pPr>
            <w:r w:rsidRPr="00EF1CC7">
              <w:rPr>
                <w:lang w:val="fr-FR"/>
              </w:rPr>
              <w:t>18 septembre 2020</w:t>
            </w:r>
          </w:p>
        </w:tc>
        <w:tc>
          <w:tcPr>
            <w:tcW w:w="1167" w:type="pct"/>
            <w:shd w:val="clear" w:color="auto" w:fill="auto"/>
          </w:tcPr>
          <w:p w14:paraId="6475CB88"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160E1347" w14:textId="77777777" w:rsidR="005F0F2A" w:rsidRPr="00EF1CC7" w:rsidRDefault="005F0F2A" w:rsidP="00E31B2B">
            <w:pPr>
              <w:pStyle w:val="Tabletext"/>
              <w:rPr>
                <w:lang w:val="fr-FR"/>
              </w:rPr>
            </w:pPr>
            <w:r w:rsidRPr="00EF1CC7">
              <w:rPr>
                <w:lang w:val="fr-FR"/>
              </w:rPr>
              <w:t>---</w:t>
            </w:r>
          </w:p>
        </w:tc>
        <w:tc>
          <w:tcPr>
            <w:tcW w:w="1866" w:type="pct"/>
            <w:shd w:val="clear" w:color="auto" w:fill="auto"/>
          </w:tcPr>
          <w:p w14:paraId="3506405E" w14:textId="22079B2D" w:rsidR="00E57C40" w:rsidRPr="00EF1CC7" w:rsidRDefault="00E57C40" w:rsidP="00E31B2B">
            <w:pPr>
              <w:pStyle w:val="Tabletext"/>
              <w:rPr>
                <w:lang w:val="fr-FR"/>
              </w:rPr>
            </w:pPr>
            <w:r w:rsidRPr="00EF1CC7">
              <w:rPr>
                <w:lang w:val="fr-FR"/>
              </w:rPr>
              <w:t>Réunion électronique interrégionale de préparation en vue de l</w:t>
            </w:r>
            <w:r w:rsidR="00E31B2B">
              <w:rPr>
                <w:lang w:val="fr-FR"/>
              </w:rPr>
              <w:t>'</w:t>
            </w:r>
            <w:r w:rsidRPr="00EF1CC7">
              <w:rPr>
                <w:lang w:val="fr-FR"/>
              </w:rPr>
              <w:t>AMNT-20</w:t>
            </w:r>
          </w:p>
        </w:tc>
      </w:tr>
      <w:tr w:rsidR="005F0F2A" w:rsidRPr="00E31B2B" w14:paraId="3825314F" w14:textId="77777777" w:rsidTr="00500DB0">
        <w:trPr>
          <w:jc w:val="center"/>
        </w:trPr>
        <w:tc>
          <w:tcPr>
            <w:tcW w:w="1167" w:type="pct"/>
            <w:shd w:val="clear" w:color="auto" w:fill="auto"/>
          </w:tcPr>
          <w:p w14:paraId="71E2F6FC" w14:textId="77777777" w:rsidR="005F0F2A" w:rsidRPr="00EF1CC7" w:rsidRDefault="005F0F2A" w:rsidP="00E31B2B">
            <w:pPr>
              <w:pStyle w:val="Tabletext"/>
              <w:rPr>
                <w:lang w:val="fr-FR"/>
              </w:rPr>
            </w:pPr>
            <w:r w:rsidRPr="00EF1CC7">
              <w:rPr>
                <w:lang w:val="fr-FR"/>
              </w:rPr>
              <w:t>21-25 septembre 2020</w:t>
            </w:r>
          </w:p>
        </w:tc>
        <w:tc>
          <w:tcPr>
            <w:tcW w:w="1167" w:type="pct"/>
            <w:shd w:val="clear" w:color="auto" w:fill="auto"/>
          </w:tcPr>
          <w:p w14:paraId="2B2A20A0"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0A32765E" w14:textId="77777777" w:rsidR="005F0F2A" w:rsidRPr="00EF1CC7" w:rsidRDefault="005F0F2A" w:rsidP="00E31B2B">
            <w:pPr>
              <w:pStyle w:val="Tabletext"/>
              <w:rPr>
                <w:lang w:val="fr-FR"/>
              </w:rPr>
            </w:pPr>
            <w:r w:rsidRPr="00EF1CC7">
              <w:rPr>
                <w:lang w:val="fr-FR"/>
              </w:rPr>
              <w:t>RG-SC,</w:t>
            </w:r>
            <w:r w:rsidRPr="00EF1CC7">
              <w:rPr>
                <w:lang w:val="fr-FR"/>
              </w:rPr>
              <w:br/>
              <w:t>RG-StdsStrat,</w:t>
            </w:r>
            <w:r w:rsidRPr="00EF1CC7">
              <w:rPr>
                <w:lang w:val="fr-FR"/>
              </w:rPr>
              <w:br/>
              <w:t>RG-WM,</w:t>
            </w:r>
            <w:r w:rsidRPr="00EF1CC7">
              <w:rPr>
                <w:lang w:val="fr-FR"/>
              </w:rPr>
              <w:br/>
              <w:t>RG-WP</w:t>
            </w:r>
          </w:p>
        </w:tc>
        <w:tc>
          <w:tcPr>
            <w:tcW w:w="1866" w:type="pct"/>
            <w:shd w:val="clear" w:color="auto" w:fill="auto"/>
          </w:tcPr>
          <w:p w14:paraId="4CF39843" w14:textId="77777777" w:rsidR="005F0F2A" w:rsidRPr="00EF1CC7" w:rsidRDefault="00E57C40" w:rsidP="00E31B2B">
            <w:pPr>
              <w:pStyle w:val="Tabletext"/>
              <w:rPr>
                <w:lang w:val="fr-FR"/>
              </w:rPr>
            </w:pPr>
            <w:r w:rsidRPr="00EF1CC7">
              <w:rPr>
                <w:lang w:val="fr-FR"/>
              </w:rPr>
              <w:t>Sixième réunion (électronique) du GCNT</w:t>
            </w:r>
          </w:p>
        </w:tc>
      </w:tr>
      <w:tr w:rsidR="005F0F2A" w:rsidRPr="00E31B2B" w14:paraId="2E528748" w14:textId="77777777" w:rsidTr="00500DB0">
        <w:trPr>
          <w:jc w:val="center"/>
        </w:trPr>
        <w:tc>
          <w:tcPr>
            <w:tcW w:w="1167" w:type="pct"/>
            <w:shd w:val="clear" w:color="auto" w:fill="auto"/>
          </w:tcPr>
          <w:p w14:paraId="05E17DEB" w14:textId="77777777" w:rsidR="005F0F2A" w:rsidRPr="00EF1CC7" w:rsidRDefault="005F0F2A" w:rsidP="00E31B2B">
            <w:pPr>
              <w:pStyle w:val="Tabletext"/>
              <w:rPr>
                <w:lang w:val="fr-FR"/>
              </w:rPr>
            </w:pPr>
            <w:r w:rsidRPr="00EF1CC7">
              <w:rPr>
                <w:lang w:val="fr-FR"/>
              </w:rPr>
              <w:t>20-21 octobre 2020</w:t>
            </w:r>
          </w:p>
        </w:tc>
        <w:tc>
          <w:tcPr>
            <w:tcW w:w="1167" w:type="pct"/>
            <w:shd w:val="clear" w:color="auto" w:fill="auto"/>
          </w:tcPr>
          <w:p w14:paraId="36A84829" w14:textId="77777777" w:rsidR="005F0F2A" w:rsidRPr="00EF1CC7" w:rsidDel="00587F9D"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70E511AD"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1EE41050" w14:textId="77777777" w:rsidR="005F0F2A" w:rsidRPr="00EF1CC7" w:rsidRDefault="009D01B0"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31E79216" w14:textId="77777777" w:rsidTr="00500DB0">
        <w:trPr>
          <w:jc w:val="center"/>
        </w:trPr>
        <w:tc>
          <w:tcPr>
            <w:tcW w:w="1167" w:type="pct"/>
            <w:shd w:val="clear" w:color="auto" w:fill="auto"/>
          </w:tcPr>
          <w:p w14:paraId="2F1CB42B" w14:textId="77777777" w:rsidR="005F0F2A" w:rsidRPr="00EF1CC7" w:rsidRDefault="005F0F2A" w:rsidP="00E31B2B">
            <w:pPr>
              <w:pStyle w:val="Tabletext"/>
              <w:rPr>
                <w:lang w:val="fr-FR"/>
              </w:rPr>
            </w:pPr>
            <w:r w:rsidRPr="00EF1CC7">
              <w:rPr>
                <w:lang w:val="fr-FR"/>
              </w:rPr>
              <w:t>26 octobre 2020</w:t>
            </w:r>
          </w:p>
        </w:tc>
        <w:tc>
          <w:tcPr>
            <w:tcW w:w="1167" w:type="pct"/>
            <w:shd w:val="clear" w:color="auto" w:fill="auto"/>
          </w:tcPr>
          <w:p w14:paraId="7B389562" w14:textId="77777777" w:rsidR="005F0F2A" w:rsidRPr="00EF1CC7" w:rsidDel="00587F9D"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44C7C08B" w14:textId="77777777" w:rsidR="005F0F2A" w:rsidRPr="00EF1CC7" w:rsidRDefault="005F0F2A" w:rsidP="00E31B2B">
            <w:pPr>
              <w:pStyle w:val="Tabletext"/>
              <w:rPr>
                <w:lang w:val="fr-FR"/>
              </w:rPr>
            </w:pPr>
            <w:r w:rsidRPr="00EF1CC7">
              <w:rPr>
                <w:lang w:val="fr-FR"/>
              </w:rPr>
              <w:t>RG-SC</w:t>
            </w:r>
          </w:p>
        </w:tc>
        <w:tc>
          <w:tcPr>
            <w:tcW w:w="1866" w:type="pct"/>
            <w:shd w:val="clear" w:color="auto" w:fill="auto"/>
          </w:tcPr>
          <w:p w14:paraId="3E327CB9" w14:textId="77777777" w:rsidR="005F0F2A" w:rsidRPr="00EF1CC7" w:rsidRDefault="00B91D4B"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RG-SC </w:t>
            </w:r>
            <w:r w:rsidRPr="00EF1CC7">
              <w:rPr>
                <w:lang w:val="fr-FR"/>
              </w:rPr>
              <w:t>du GC</w:t>
            </w:r>
            <w:r w:rsidR="00363DB9" w:rsidRPr="00EF1CC7">
              <w:rPr>
                <w:lang w:val="fr-FR"/>
              </w:rPr>
              <w:t>NT</w:t>
            </w:r>
          </w:p>
        </w:tc>
      </w:tr>
      <w:tr w:rsidR="005F0F2A" w:rsidRPr="00E31B2B" w14:paraId="62A3CC4C" w14:textId="77777777" w:rsidTr="00500DB0">
        <w:trPr>
          <w:jc w:val="center"/>
        </w:trPr>
        <w:tc>
          <w:tcPr>
            <w:tcW w:w="1167" w:type="pct"/>
            <w:shd w:val="clear" w:color="auto" w:fill="auto"/>
          </w:tcPr>
          <w:p w14:paraId="1BDC1768" w14:textId="77777777" w:rsidR="005F0F2A" w:rsidRPr="00EF1CC7" w:rsidRDefault="005F0F2A" w:rsidP="00E31B2B">
            <w:pPr>
              <w:pStyle w:val="Tabletext"/>
              <w:rPr>
                <w:lang w:val="fr-FR"/>
              </w:rPr>
            </w:pPr>
            <w:r w:rsidRPr="00EF1CC7">
              <w:rPr>
                <w:lang w:val="fr-FR"/>
              </w:rPr>
              <w:t>26 octobre 2020</w:t>
            </w:r>
          </w:p>
        </w:tc>
        <w:tc>
          <w:tcPr>
            <w:tcW w:w="1167" w:type="pct"/>
            <w:shd w:val="clear" w:color="auto" w:fill="auto"/>
          </w:tcPr>
          <w:p w14:paraId="657ABA36" w14:textId="77777777" w:rsidR="005F0F2A" w:rsidRPr="00EF1CC7" w:rsidDel="00587F9D"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04683C2"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1C3970A9" w14:textId="77777777" w:rsidR="005F0F2A" w:rsidRPr="00EF1CC7" w:rsidRDefault="00363DB9"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3608C4B2" w14:textId="77777777" w:rsidTr="00500DB0">
        <w:trPr>
          <w:jc w:val="center"/>
        </w:trPr>
        <w:tc>
          <w:tcPr>
            <w:tcW w:w="1167" w:type="pct"/>
            <w:shd w:val="clear" w:color="auto" w:fill="auto"/>
          </w:tcPr>
          <w:p w14:paraId="40E175B2" w14:textId="77777777" w:rsidR="005F0F2A" w:rsidRPr="00EF1CC7" w:rsidRDefault="005F0F2A" w:rsidP="00E31B2B">
            <w:pPr>
              <w:pStyle w:val="Tabletext"/>
              <w:rPr>
                <w:lang w:val="fr-FR"/>
              </w:rPr>
            </w:pPr>
            <w:r w:rsidRPr="00EF1CC7">
              <w:rPr>
                <w:lang w:val="fr-FR"/>
              </w:rPr>
              <w:t>3 novembre 2020</w:t>
            </w:r>
          </w:p>
        </w:tc>
        <w:tc>
          <w:tcPr>
            <w:tcW w:w="1167" w:type="pct"/>
            <w:shd w:val="clear" w:color="auto" w:fill="auto"/>
          </w:tcPr>
          <w:p w14:paraId="246D11B2"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074C9FF3" w14:textId="77777777" w:rsidR="005F0F2A" w:rsidRPr="00EF1CC7" w:rsidRDefault="005F0F2A" w:rsidP="00E31B2B">
            <w:pPr>
              <w:pStyle w:val="Tabletext"/>
              <w:rPr>
                <w:lang w:val="fr-FR"/>
              </w:rPr>
            </w:pPr>
            <w:r w:rsidRPr="00EF1CC7">
              <w:rPr>
                <w:lang w:val="fr-FR"/>
              </w:rPr>
              <w:t>RG-WP</w:t>
            </w:r>
          </w:p>
        </w:tc>
        <w:tc>
          <w:tcPr>
            <w:tcW w:w="1866" w:type="pct"/>
            <w:shd w:val="clear" w:color="auto" w:fill="auto"/>
          </w:tcPr>
          <w:p w14:paraId="21A0EF4B" w14:textId="77777777" w:rsidR="005F0F2A" w:rsidRPr="00EF1CC7" w:rsidRDefault="001A6610"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RG-WP </w:t>
            </w:r>
            <w:r w:rsidRPr="00EF1CC7">
              <w:rPr>
                <w:lang w:val="fr-FR"/>
              </w:rPr>
              <w:t>du GCNT</w:t>
            </w:r>
          </w:p>
        </w:tc>
      </w:tr>
      <w:tr w:rsidR="005F0F2A" w:rsidRPr="00E31B2B" w14:paraId="012748EF" w14:textId="77777777" w:rsidTr="00500DB0">
        <w:trPr>
          <w:jc w:val="center"/>
        </w:trPr>
        <w:tc>
          <w:tcPr>
            <w:tcW w:w="1167" w:type="pct"/>
            <w:shd w:val="clear" w:color="auto" w:fill="auto"/>
          </w:tcPr>
          <w:p w14:paraId="096EC034" w14:textId="77777777" w:rsidR="005F0F2A" w:rsidRPr="00EF1CC7" w:rsidRDefault="005F0F2A" w:rsidP="00E31B2B">
            <w:pPr>
              <w:pStyle w:val="Tabletext"/>
              <w:rPr>
                <w:lang w:val="fr-FR"/>
              </w:rPr>
            </w:pPr>
            <w:r w:rsidRPr="00EF1CC7">
              <w:rPr>
                <w:lang w:val="fr-FR"/>
              </w:rPr>
              <w:t>9 novembre 2020</w:t>
            </w:r>
          </w:p>
        </w:tc>
        <w:tc>
          <w:tcPr>
            <w:tcW w:w="1167" w:type="pct"/>
            <w:shd w:val="clear" w:color="auto" w:fill="auto"/>
          </w:tcPr>
          <w:p w14:paraId="78D02EB4" w14:textId="77777777" w:rsidR="005F0F2A" w:rsidRPr="00EF1CC7" w:rsidDel="00587F9D"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59CA8D9" w14:textId="77777777" w:rsidR="005F0F2A" w:rsidRPr="00EF1CC7" w:rsidRDefault="005F0F2A" w:rsidP="00E31B2B">
            <w:pPr>
              <w:pStyle w:val="Tabletext"/>
              <w:rPr>
                <w:lang w:val="fr-FR"/>
              </w:rPr>
            </w:pPr>
            <w:r w:rsidRPr="00EF1CC7">
              <w:rPr>
                <w:lang w:val="fr-FR"/>
              </w:rPr>
              <w:t>RG-SOP</w:t>
            </w:r>
          </w:p>
        </w:tc>
        <w:tc>
          <w:tcPr>
            <w:tcW w:w="1866" w:type="pct"/>
            <w:shd w:val="clear" w:color="auto" w:fill="auto"/>
          </w:tcPr>
          <w:p w14:paraId="4606779B" w14:textId="77777777" w:rsidR="005F0F2A" w:rsidRPr="00EF1CC7" w:rsidRDefault="001A6610"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SOP </w:t>
            </w:r>
            <w:r w:rsidRPr="00EF1CC7">
              <w:rPr>
                <w:lang w:val="fr-FR"/>
              </w:rPr>
              <w:t>du GCNT</w:t>
            </w:r>
          </w:p>
        </w:tc>
      </w:tr>
      <w:tr w:rsidR="005F0F2A" w:rsidRPr="00E31B2B" w14:paraId="2DA1BB39" w14:textId="77777777" w:rsidTr="00500DB0">
        <w:trPr>
          <w:jc w:val="center"/>
        </w:trPr>
        <w:tc>
          <w:tcPr>
            <w:tcW w:w="1167" w:type="pct"/>
            <w:shd w:val="clear" w:color="auto" w:fill="auto"/>
          </w:tcPr>
          <w:p w14:paraId="5B25A136" w14:textId="77777777" w:rsidR="005F0F2A" w:rsidRPr="00EF1CC7" w:rsidRDefault="005F0F2A" w:rsidP="00E31B2B">
            <w:pPr>
              <w:pStyle w:val="Tabletext"/>
              <w:rPr>
                <w:lang w:val="fr-FR"/>
              </w:rPr>
            </w:pPr>
            <w:r w:rsidRPr="00EF1CC7">
              <w:rPr>
                <w:lang w:val="fr-FR"/>
              </w:rPr>
              <w:t>23 novembre 2020</w:t>
            </w:r>
          </w:p>
        </w:tc>
        <w:tc>
          <w:tcPr>
            <w:tcW w:w="1167" w:type="pct"/>
            <w:shd w:val="clear" w:color="auto" w:fill="auto"/>
          </w:tcPr>
          <w:p w14:paraId="4DA66AC9" w14:textId="77777777" w:rsidR="005F0F2A" w:rsidRPr="00EF1CC7" w:rsidDel="00587F9D"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045B81FB" w14:textId="77777777" w:rsidR="005F0F2A" w:rsidRPr="00EF1CC7" w:rsidRDefault="005F0F2A" w:rsidP="00E31B2B">
            <w:pPr>
              <w:pStyle w:val="Tabletext"/>
              <w:rPr>
                <w:lang w:val="fr-FR"/>
              </w:rPr>
            </w:pPr>
            <w:r w:rsidRPr="00EF1CC7">
              <w:rPr>
                <w:lang w:val="fr-FR"/>
              </w:rPr>
              <w:t>RG-SC</w:t>
            </w:r>
          </w:p>
        </w:tc>
        <w:tc>
          <w:tcPr>
            <w:tcW w:w="1866" w:type="pct"/>
            <w:shd w:val="clear" w:color="auto" w:fill="auto"/>
          </w:tcPr>
          <w:p w14:paraId="45962F4F" w14:textId="77777777" w:rsidR="005F0F2A" w:rsidRPr="00EF1CC7" w:rsidRDefault="00AC6BAD"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RG-SC </w:t>
            </w:r>
            <w:r w:rsidRPr="00EF1CC7">
              <w:rPr>
                <w:lang w:val="fr-FR"/>
              </w:rPr>
              <w:t>du GCNT</w:t>
            </w:r>
          </w:p>
        </w:tc>
      </w:tr>
      <w:tr w:rsidR="005F0F2A" w:rsidRPr="00E31B2B" w14:paraId="752C5125" w14:textId="77777777" w:rsidTr="00500DB0">
        <w:trPr>
          <w:jc w:val="center"/>
        </w:trPr>
        <w:tc>
          <w:tcPr>
            <w:tcW w:w="1167" w:type="pct"/>
            <w:shd w:val="clear" w:color="auto" w:fill="auto"/>
          </w:tcPr>
          <w:p w14:paraId="30984529" w14:textId="77777777" w:rsidR="005F0F2A" w:rsidRPr="00EF1CC7" w:rsidRDefault="005F0F2A" w:rsidP="00E31B2B">
            <w:pPr>
              <w:pStyle w:val="Tabletext"/>
              <w:rPr>
                <w:lang w:val="fr-FR"/>
              </w:rPr>
            </w:pPr>
            <w:r w:rsidRPr="00EF1CC7">
              <w:rPr>
                <w:lang w:val="fr-FR"/>
              </w:rPr>
              <w:t xml:space="preserve">2 décembre 2020 </w:t>
            </w:r>
          </w:p>
        </w:tc>
        <w:tc>
          <w:tcPr>
            <w:tcW w:w="1167" w:type="pct"/>
            <w:shd w:val="clear" w:color="auto" w:fill="auto"/>
          </w:tcPr>
          <w:p w14:paraId="5CA20C5C"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4FC116CA"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3D941667" w14:textId="77777777" w:rsidR="005F0F2A" w:rsidRPr="00EF1CC7" w:rsidRDefault="00AC6BAD"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67DD8529" w14:textId="77777777" w:rsidTr="00500DB0">
        <w:trPr>
          <w:jc w:val="center"/>
        </w:trPr>
        <w:tc>
          <w:tcPr>
            <w:tcW w:w="1167" w:type="pct"/>
            <w:shd w:val="clear" w:color="auto" w:fill="auto"/>
          </w:tcPr>
          <w:p w14:paraId="4031EF94" w14:textId="77777777" w:rsidR="005F0F2A" w:rsidRPr="00EF1CC7" w:rsidRDefault="005F0F2A" w:rsidP="00E31B2B">
            <w:pPr>
              <w:pStyle w:val="Tabletext"/>
              <w:rPr>
                <w:lang w:val="fr-FR"/>
              </w:rPr>
            </w:pPr>
            <w:r w:rsidRPr="00EF1CC7">
              <w:rPr>
                <w:lang w:val="fr-FR"/>
              </w:rPr>
              <w:t>3 décembre 2020</w:t>
            </w:r>
          </w:p>
        </w:tc>
        <w:tc>
          <w:tcPr>
            <w:tcW w:w="1167" w:type="pct"/>
            <w:shd w:val="clear" w:color="auto" w:fill="auto"/>
          </w:tcPr>
          <w:p w14:paraId="56C0D369"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E7B4A65" w14:textId="77777777" w:rsidR="005F0F2A" w:rsidRPr="00EF1CC7" w:rsidRDefault="005F0F2A" w:rsidP="00E31B2B">
            <w:pPr>
              <w:pStyle w:val="Tabletext"/>
              <w:rPr>
                <w:lang w:val="fr-FR"/>
              </w:rPr>
            </w:pPr>
            <w:r w:rsidRPr="00EF1CC7">
              <w:rPr>
                <w:lang w:val="fr-FR"/>
              </w:rPr>
              <w:t>RG-ResReview</w:t>
            </w:r>
          </w:p>
        </w:tc>
        <w:tc>
          <w:tcPr>
            <w:tcW w:w="1866" w:type="pct"/>
            <w:shd w:val="clear" w:color="auto" w:fill="auto"/>
          </w:tcPr>
          <w:p w14:paraId="1AE1EA12" w14:textId="77777777" w:rsidR="005F0F2A" w:rsidRPr="00EF1CC7" w:rsidRDefault="00AC6BAD"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ResReview </w:t>
            </w:r>
            <w:r w:rsidRPr="00EF1CC7">
              <w:rPr>
                <w:lang w:val="fr-FR"/>
              </w:rPr>
              <w:t>du GCNT</w:t>
            </w:r>
          </w:p>
        </w:tc>
      </w:tr>
      <w:tr w:rsidR="005F0F2A" w:rsidRPr="00E31B2B" w14:paraId="57D3DB50" w14:textId="77777777" w:rsidTr="00500DB0">
        <w:trPr>
          <w:jc w:val="center"/>
        </w:trPr>
        <w:tc>
          <w:tcPr>
            <w:tcW w:w="1167" w:type="pct"/>
            <w:shd w:val="clear" w:color="auto" w:fill="auto"/>
          </w:tcPr>
          <w:p w14:paraId="384A60D1" w14:textId="77777777" w:rsidR="005F0F2A" w:rsidRPr="00EF1CC7" w:rsidRDefault="005F0F2A" w:rsidP="00E31B2B">
            <w:pPr>
              <w:pStyle w:val="Tabletext"/>
              <w:rPr>
                <w:lang w:val="fr-FR"/>
              </w:rPr>
            </w:pPr>
            <w:r w:rsidRPr="00EF1CC7">
              <w:rPr>
                <w:lang w:val="fr-FR"/>
              </w:rPr>
              <w:t>8 décembre 2020</w:t>
            </w:r>
          </w:p>
        </w:tc>
        <w:tc>
          <w:tcPr>
            <w:tcW w:w="1167" w:type="pct"/>
            <w:shd w:val="clear" w:color="auto" w:fill="auto"/>
          </w:tcPr>
          <w:p w14:paraId="1871137C"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4505428E" w14:textId="77777777" w:rsidR="005F0F2A" w:rsidRPr="00EF1CC7" w:rsidRDefault="005F0F2A" w:rsidP="00E31B2B">
            <w:pPr>
              <w:pStyle w:val="Tabletext"/>
              <w:rPr>
                <w:lang w:val="fr-FR"/>
              </w:rPr>
            </w:pPr>
            <w:r w:rsidRPr="00EF1CC7">
              <w:rPr>
                <w:lang w:val="fr-FR"/>
              </w:rPr>
              <w:t>RG-WP</w:t>
            </w:r>
          </w:p>
        </w:tc>
        <w:tc>
          <w:tcPr>
            <w:tcW w:w="1866" w:type="pct"/>
            <w:shd w:val="clear" w:color="auto" w:fill="auto"/>
          </w:tcPr>
          <w:p w14:paraId="75D71880" w14:textId="77777777" w:rsidR="005F0F2A" w:rsidRPr="00EF1CC7" w:rsidRDefault="00AC6BAD"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RG-WP </w:t>
            </w:r>
            <w:r w:rsidRPr="00EF1CC7">
              <w:rPr>
                <w:lang w:val="fr-FR"/>
              </w:rPr>
              <w:t>du GCNT</w:t>
            </w:r>
          </w:p>
        </w:tc>
      </w:tr>
      <w:tr w:rsidR="005F0F2A" w:rsidRPr="00E31B2B" w14:paraId="32C2AB05" w14:textId="77777777" w:rsidTr="00500DB0">
        <w:trPr>
          <w:jc w:val="center"/>
        </w:trPr>
        <w:tc>
          <w:tcPr>
            <w:tcW w:w="1167" w:type="pct"/>
            <w:shd w:val="clear" w:color="auto" w:fill="auto"/>
          </w:tcPr>
          <w:p w14:paraId="75916CCB" w14:textId="77777777" w:rsidR="005F0F2A" w:rsidRPr="00EF1CC7" w:rsidRDefault="005F0F2A" w:rsidP="00E31B2B">
            <w:pPr>
              <w:pStyle w:val="Tabletext"/>
              <w:rPr>
                <w:lang w:val="fr-FR"/>
              </w:rPr>
            </w:pPr>
            <w:r w:rsidRPr="00EF1CC7">
              <w:rPr>
                <w:lang w:val="fr-FR"/>
              </w:rPr>
              <w:t>8-9 décembre 2020</w:t>
            </w:r>
          </w:p>
        </w:tc>
        <w:tc>
          <w:tcPr>
            <w:tcW w:w="1167" w:type="pct"/>
            <w:shd w:val="clear" w:color="auto" w:fill="auto"/>
          </w:tcPr>
          <w:p w14:paraId="670794B1"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28E02856"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3A784382" w14:textId="77777777" w:rsidR="005F0F2A" w:rsidRPr="00EF1CC7" w:rsidRDefault="00AC6BAD"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0F2E7DF2" w14:textId="77777777" w:rsidTr="00500DB0">
        <w:trPr>
          <w:jc w:val="center"/>
        </w:trPr>
        <w:tc>
          <w:tcPr>
            <w:tcW w:w="1167" w:type="pct"/>
            <w:shd w:val="clear" w:color="auto" w:fill="auto"/>
          </w:tcPr>
          <w:p w14:paraId="71279BA8" w14:textId="77777777" w:rsidR="005F0F2A" w:rsidRPr="00EF1CC7" w:rsidRDefault="005F0F2A" w:rsidP="00E31B2B">
            <w:pPr>
              <w:pStyle w:val="Tabletext"/>
              <w:rPr>
                <w:lang w:val="fr-FR"/>
              </w:rPr>
            </w:pPr>
            <w:r w:rsidRPr="00EF1CC7">
              <w:rPr>
                <w:lang w:val="fr-FR"/>
              </w:rPr>
              <w:t>8 janvier 2021</w:t>
            </w:r>
          </w:p>
        </w:tc>
        <w:tc>
          <w:tcPr>
            <w:tcW w:w="1167" w:type="pct"/>
            <w:shd w:val="clear" w:color="auto" w:fill="auto"/>
          </w:tcPr>
          <w:p w14:paraId="178B68C1"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5A3E7D2B" w14:textId="77777777" w:rsidR="005F0F2A" w:rsidRPr="00EF1CC7" w:rsidRDefault="005F0F2A" w:rsidP="00E31B2B">
            <w:pPr>
              <w:pStyle w:val="Tabletext"/>
              <w:rPr>
                <w:lang w:val="fr-FR"/>
              </w:rPr>
            </w:pPr>
            <w:r w:rsidRPr="00EF1CC7">
              <w:rPr>
                <w:lang w:val="fr-FR"/>
              </w:rPr>
              <w:t>---</w:t>
            </w:r>
          </w:p>
        </w:tc>
        <w:tc>
          <w:tcPr>
            <w:tcW w:w="1866" w:type="pct"/>
            <w:shd w:val="clear" w:color="auto" w:fill="auto"/>
          </w:tcPr>
          <w:p w14:paraId="2A54B848" w14:textId="5116518B" w:rsidR="005F0F2A" w:rsidRPr="00EF1CC7" w:rsidRDefault="00AC6BAD" w:rsidP="00E31B2B">
            <w:pPr>
              <w:pStyle w:val="Tabletext"/>
              <w:rPr>
                <w:lang w:val="fr-FR"/>
              </w:rPr>
            </w:pPr>
            <w:r w:rsidRPr="00EF1CC7">
              <w:rPr>
                <w:lang w:val="fr-FR"/>
              </w:rPr>
              <w:t>Réunion électronique interrégionale de préparation en vue de l</w:t>
            </w:r>
            <w:r w:rsidR="00E31B2B">
              <w:rPr>
                <w:lang w:val="fr-FR"/>
              </w:rPr>
              <w:t>'</w:t>
            </w:r>
            <w:r w:rsidRPr="00EF1CC7">
              <w:rPr>
                <w:lang w:val="fr-FR"/>
              </w:rPr>
              <w:t>AMNT-20</w:t>
            </w:r>
          </w:p>
        </w:tc>
      </w:tr>
      <w:tr w:rsidR="005F0F2A" w:rsidRPr="00E31B2B" w14:paraId="6F28CFB8" w14:textId="77777777" w:rsidTr="00500DB0">
        <w:trPr>
          <w:jc w:val="center"/>
        </w:trPr>
        <w:tc>
          <w:tcPr>
            <w:tcW w:w="1167" w:type="pct"/>
            <w:shd w:val="clear" w:color="auto" w:fill="auto"/>
          </w:tcPr>
          <w:p w14:paraId="05A273F3" w14:textId="77777777" w:rsidR="005F0F2A" w:rsidRPr="00EF1CC7" w:rsidRDefault="005F0F2A" w:rsidP="00E31B2B">
            <w:pPr>
              <w:pStyle w:val="Tabletext"/>
              <w:rPr>
                <w:lang w:val="fr-FR"/>
              </w:rPr>
            </w:pPr>
            <w:r w:rsidRPr="00EF1CC7">
              <w:rPr>
                <w:lang w:val="fr-FR"/>
              </w:rPr>
              <w:t>11-18 janvier 2021</w:t>
            </w:r>
          </w:p>
        </w:tc>
        <w:tc>
          <w:tcPr>
            <w:tcW w:w="1167" w:type="pct"/>
            <w:shd w:val="clear" w:color="auto" w:fill="auto"/>
          </w:tcPr>
          <w:p w14:paraId="4446EC3F"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FE204DA" w14:textId="77777777" w:rsidR="005F0F2A" w:rsidRPr="00CF3B78" w:rsidRDefault="005F0F2A" w:rsidP="00E31B2B">
            <w:pPr>
              <w:pStyle w:val="Tabletext"/>
              <w:rPr>
                <w:lang w:val="en-US"/>
              </w:rPr>
            </w:pPr>
            <w:r w:rsidRPr="00CF3B78">
              <w:rPr>
                <w:lang w:val="en-US"/>
              </w:rPr>
              <w:t>RG-ResReview,</w:t>
            </w:r>
            <w:r w:rsidRPr="00CF3B78">
              <w:rPr>
                <w:lang w:val="en-US"/>
              </w:rPr>
              <w:br/>
              <w:t>RG-SC,</w:t>
            </w:r>
            <w:r w:rsidRPr="00CF3B78">
              <w:rPr>
                <w:lang w:val="en-US"/>
              </w:rPr>
              <w:br/>
              <w:t>RG-StdsStrat,</w:t>
            </w:r>
            <w:r w:rsidRPr="00CF3B78">
              <w:rPr>
                <w:lang w:val="en-US"/>
              </w:rPr>
              <w:br/>
              <w:t>RG-WM,</w:t>
            </w:r>
            <w:r w:rsidRPr="00CF3B78">
              <w:rPr>
                <w:lang w:val="en-US"/>
              </w:rPr>
              <w:br/>
              <w:t>RG-WP</w:t>
            </w:r>
          </w:p>
        </w:tc>
        <w:tc>
          <w:tcPr>
            <w:tcW w:w="1866" w:type="pct"/>
            <w:shd w:val="clear" w:color="auto" w:fill="auto"/>
          </w:tcPr>
          <w:p w14:paraId="4CE1027A" w14:textId="77777777" w:rsidR="005F0F2A" w:rsidRPr="00EF1CC7" w:rsidRDefault="00AC6BAD" w:rsidP="00E31B2B">
            <w:pPr>
              <w:pStyle w:val="Tabletext"/>
              <w:rPr>
                <w:lang w:val="fr-FR"/>
              </w:rPr>
            </w:pPr>
            <w:r w:rsidRPr="00EF1CC7">
              <w:rPr>
                <w:lang w:val="fr-FR"/>
              </w:rPr>
              <w:t>Septième réunion (électronique) du GCNT</w:t>
            </w:r>
          </w:p>
        </w:tc>
      </w:tr>
      <w:tr w:rsidR="005F0F2A" w:rsidRPr="00E31B2B" w14:paraId="626C807E" w14:textId="77777777" w:rsidTr="00500DB0">
        <w:trPr>
          <w:jc w:val="center"/>
        </w:trPr>
        <w:tc>
          <w:tcPr>
            <w:tcW w:w="1167" w:type="pct"/>
            <w:shd w:val="clear" w:color="auto" w:fill="auto"/>
          </w:tcPr>
          <w:p w14:paraId="0BB5B80A" w14:textId="77777777" w:rsidR="005F0F2A" w:rsidRPr="00EF1CC7" w:rsidRDefault="005F0F2A" w:rsidP="00E31B2B">
            <w:pPr>
              <w:pStyle w:val="Tabletext"/>
              <w:rPr>
                <w:lang w:val="fr-FR"/>
              </w:rPr>
            </w:pPr>
            <w:r w:rsidRPr="00EF1CC7">
              <w:rPr>
                <w:lang w:val="fr-FR"/>
              </w:rPr>
              <w:t>23-24 mars 2021</w:t>
            </w:r>
          </w:p>
        </w:tc>
        <w:tc>
          <w:tcPr>
            <w:tcW w:w="1167" w:type="pct"/>
            <w:shd w:val="clear" w:color="auto" w:fill="auto"/>
          </w:tcPr>
          <w:p w14:paraId="55620437"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2C488EBE"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7698E3EA" w14:textId="77777777" w:rsidR="005F0F2A" w:rsidRPr="00EF1CC7" w:rsidRDefault="00AC6BAD"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35F99F6A" w14:textId="77777777" w:rsidTr="00500DB0">
        <w:trPr>
          <w:jc w:val="center"/>
        </w:trPr>
        <w:tc>
          <w:tcPr>
            <w:tcW w:w="1167" w:type="pct"/>
            <w:shd w:val="clear" w:color="auto" w:fill="auto"/>
          </w:tcPr>
          <w:p w14:paraId="778A3E9B" w14:textId="77777777" w:rsidR="005F0F2A" w:rsidRPr="00EF1CC7" w:rsidRDefault="005F0F2A" w:rsidP="00E31B2B">
            <w:pPr>
              <w:pStyle w:val="Tabletext"/>
              <w:rPr>
                <w:lang w:val="fr-FR"/>
              </w:rPr>
            </w:pPr>
            <w:r w:rsidRPr="00EF1CC7">
              <w:rPr>
                <w:lang w:val="fr-FR"/>
              </w:rPr>
              <w:t>8 avril 2021</w:t>
            </w:r>
          </w:p>
        </w:tc>
        <w:tc>
          <w:tcPr>
            <w:tcW w:w="1167" w:type="pct"/>
            <w:shd w:val="clear" w:color="auto" w:fill="auto"/>
          </w:tcPr>
          <w:p w14:paraId="0D90C28A"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0583CFEC" w14:textId="77777777" w:rsidR="005F0F2A" w:rsidRPr="00EF1CC7" w:rsidRDefault="005F0F2A" w:rsidP="00E31B2B">
            <w:pPr>
              <w:pStyle w:val="Tabletext"/>
              <w:rPr>
                <w:lang w:val="fr-FR"/>
              </w:rPr>
            </w:pPr>
            <w:r w:rsidRPr="00EF1CC7">
              <w:rPr>
                <w:lang w:val="fr-FR"/>
              </w:rPr>
              <w:t>RG-SC</w:t>
            </w:r>
          </w:p>
        </w:tc>
        <w:tc>
          <w:tcPr>
            <w:tcW w:w="1866" w:type="pct"/>
            <w:shd w:val="clear" w:color="auto" w:fill="auto"/>
          </w:tcPr>
          <w:p w14:paraId="2CCC5585" w14:textId="77777777" w:rsidR="005F0F2A" w:rsidRPr="00EF1CC7" w:rsidRDefault="00B37202"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RG-SC </w:t>
            </w:r>
            <w:r w:rsidRPr="00EF1CC7">
              <w:rPr>
                <w:lang w:val="fr-FR"/>
              </w:rPr>
              <w:t>du GCNT</w:t>
            </w:r>
          </w:p>
        </w:tc>
      </w:tr>
      <w:tr w:rsidR="005F0F2A" w:rsidRPr="00E31B2B" w14:paraId="0AF8F534" w14:textId="77777777" w:rsidTr="00500DB0">
        <w:trPr>
          <w:jc w:val="center"/>
        </w:trPr>
        <w:tc>
          <w:tcPr>
            <w:tcW w:w="1167" w:type="pct"/>
            <w:shd w:val="clear" w:color="auto" w:fill="auto"/>
          </w:tcPr>
          <w:p w14:paraId="44658604" w14:textId="77777777" w:rsidR="005F0F2A" w:rsidRPr="00EF1CC7" w:rsidRDefault="005F0F2A" w:rsidP="00E31B2B">
            <w:pPr>
              <w:pStyle w:val="Tabletext"/>
              <w:rPr>
                <w:lang w:val="fr-FR"/>
              </w:rPr>
            </w:pPr>
            <w:r w:rsidRPr="00EF1CC7">
              <w:rPr>
                <w:lang w:val="fr-FR"/>
              </w:rPr>
              <w:t>22 juin 2021</w:t>
            </w:r>
          </w:p>
        </w:tc>
        <w:tc>
          <w:tcPr>
            <w:tcW w:w="1167" w:type="pct"/>
            <w:shd w:val="clear" w:color="auto" w:fill="auto"/>
          </w:tcPr>
          <w:p w14:paraId="05D31F7F"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0F6C0F06" w14:textId="77777777" w:rsidR="005F0F2A" w:rsidRPr="00EF1CC7" w:rsidRDefault="005F0F2A" w:rsidP="00E31B2B">
            <w:pPr>
              <w:pStyle w:val="Tabletext"/>
              <w:rPr>
                <w:lang w:val="fr-FR"/>
              </w:rPr>
            </w:pPr>
            <w:r w:rsidRPr="00EF1CC7">
              <w:rPr>
                <w:lang w:val="fr-FR"/>
              </w:rPr>
              <w:t>RG-WP</w:t>
            </w:r>
          </w:p>
        </w:tc>
        <w:tc>
          <w:tcPr>
            <w:tcW w:w="1866" w:type="pct"/>
            <w:shd w:val="clear" w:color="auto" w:fill="auto"/>
          </w:tcPr>
          <w:p w14:paraId="3F892263" w14:textId="77777777" w:rsidR="005F0F2A" w:rsidRPr="00EF1CC7" w:rsidRDefault="00B37202"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RG-WP </w:t>
            </w:r>
            <w:r w:rsidRPr="00EF1CC7">
              <w:rPr>
                <w:lang w:val="fr-FR"/>
              </w:rPr>
              <w:t>du GCNT</w:t>
            </w:r>
          </w:p>
        </w:tc>
      </w:tr>
      <w:tr w:rsidR="005F0F2A" w:rsidRPr="00E31B2B" w14:paraId="1B477172" w14:textId="77777777" w:rsidTr="00500DB0">
        <w:trPr>
          <w:jc w:val="center"/>
        </w:trPr>
        <w:tc>
          <w:tcPr>
            <w:tcW w:w="1167" w:type="pct"/>
            <w:shd w:val="clear" w:color="auto" w:fill="auto"/>
          </w:tcPr>
          <w:p w14:paraId="0BE37913" w14:textId="77777777" w:rsidR="005F0F2A" w:rsidRPr="00EF1CC7" w:rsidRDefault="005F0F2A" w:rsidP="00E31B2B">
            <w:pPr>
              <w:pStyle w:val="Tabletext"/>
              <w:rPr>
                <w:lang w:val="fr-FR"/>
              </w:rPr>
            </w:pPr>
            <w:r w:rsidRPr="00EF1CC7">
              <w:rPr>
                <w:lang w:val="fr-FR"/>
              </w:rPr>
              <w:t>24 juin 2021</w:t>
            </w:r>
          </w:p>
        </w:tc>
        <w:tc>
          <w:tcPr>
            <w:tcW w:w="1167" w:type="pct"/>
            <w:shd w:val="clear" w:color="auto" w:fill="auto"/>
          </w:tcPr>
          <w:p w14:paraId="30A895AF"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4E8334DD" w14:textId="77777777" w:rsidR="005F0F2A" w:rsidRPr="00EF1CC7" w:rsidRDefault="005F0F2A" w:rsidP="00E31B2B">
            <w:pPr>
              <w:pStyle w:val="Tabletext"/>
              <w:rPr>
                <w:lang w:val="fr-FR"/>
              </w:rPr>
            </w:pPr>
            <w:r w:rsidRPr="00EF1CC7">
              <w:rPr>
                <w:lang w:val="fr-FR"/>
              </w:rPr>
              <w:t>RG-StdsStrat</w:t>
            </w:r>
          </w:p>
        </w:tc>
        <w:tc>
          <w:tcPr>
            <w:tcW w:w="1866" w:type="pct"/>
            <w:shd w:val="clear" w:color="auto" w:fill="auto"/>
          </w:tcPr>
          <w:p w14:paraId="1A8FD768" w14:textId="77777777" w:rsidR="005F0F2A" w:rsidRPr="00EF1CC7" w:rsidRDefault="00B37202"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StdsStrat </w:t>
            </w:r>
            <w:r w:rsidRPr="00EF1CC7">
              <w:rPr>
                <w:lang w:val="fr-FR"/>
              </w:rPr>
              <w:t>du GCNT</w:t>
            </w:r>
          </w:p>
        </w:tc>
      </w:tr>
      <w:tr w:rsidR="005F0F2A" w:rsidRPr="00E31B2B" w14:paraId="393E3DA4" w14:textId="77777777" w:rsidTr="00500DB0">
        <w:trPr>
          <w:jc w:val="center"/>
        </w:trPr>
        <w:tc>
          <w:tcPr>
            <w:tcW w:w="1167" w:type="pct"/>
            <w:shd w:val="clear" w:color="auto" w:fill="auto"/>
          </w:tcPr>
          <w:p w14:paraId="1ED7F2E4" w14:textId="77777777" w:rsidR="005F0F2A" w:rsidRPr="00EF1CC7" w:rsidRDefault="005F0F2A" w:rsidP="00E31B2B">
            <w:pPr>
              <w:pStyle w:val="Tabletext"/>
              <w:rPr>
                <w:lang w:val="fr-FR"/>
              </w:rPr>
            </w:pPr>
            <w:r w:rsidRPr="00EF1CC7">
              <w:rPr>
                <w:lang w:val="fr-FR"/>
              </w:rPr>
              <w:t>29 juin 2021</w:t>
            </w:r>
          </w:p>
        </w:tc>
        <w:tc>
          <w:tcPr>
            <w:tcW w:w="1167" w:type="pct"/>
            <w:shd w:val="clear" w:color="auto" w:fill="auto"/>
          </w:tcPr>
          <w:p w14:paraId="5D8DCB73"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23C2E494"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06C7C787" w14:textId="77777777" w:rsidR="005F0F2A" w:rsidRPr="00EF1CC7" w:rsidRDefault="00D13522"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799620EE" w14:textId="77777777" w:rsidTr="00500DB0">
        <w:trPr>
          <w:jc w:val="center"/>
        </w:trPr>
        <w:tc>
          <w:tcPr>
            <w:tcW w:w="1167" w:type="pct"/>
            <w:shd w:val="clear" w:color="auto" w:fill="auto"/>
          </w:tcPr>
          <w:p w14:paraId="23CF8DE1" w14:textId="77777777" w:rsidR="005F0F2A" w:rsidRPr="00EF1CC7" w:rsidRDefault="005F0F2A" w:rsidP="00E31B2B">
            <w:pPr>
              <w:pStyle w:val="Tabletext"/>
              <w:rPr>
                <w:lang w:val="fr-FR"/>
              </w:rPr>
            </w:pPr>
            <w:r w:rsidRPr="00EF1CC7">
              <w:rPr>
                <w:lang w:val="fr-FR"/>
              </w:rPr>
              <w:t>22 juillet 2021</w:t>
            </w:r>
          </w:p>
        </w:tc>
        <w:tc>
          <w:tcPr>
            <w:tcW w:w="1167" w:type="pct"/>
            <w:shd w:val="clear" w:color="auto" w:fill="auto"/>
          </w:tcPr>
          <w:p w14:paraId="6C82A749"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B587E59" w14:textId="77777777" w:rsidR="005F0F2A" w:rsidRPr="00EF1CC7" w:rsidRDefault="005F0F2A" w:rsidP="00E31B2B">
            <w:pPr>
              <w:pStyle w:val="Tabletext"/>
              <w:rPr>
                <w:lang w:val="fr-FR"/>
              </w:rPr>
            </w:pPr>
            <w:r w:rsidRPr="00EF1CC7">
              <w:rPr>
                <w:lang w:val="fr-FR"/>
              </w:rPr>
              <w:t>RG-SC</w:t>
            </w:r>
          </w:p>
        </w:tc>
        <w:tc>
          <w:tcPr>
            <w:tcW w:w="1866" w:type="pct"/>
            <w:shd w:val="clear" w:color="auto" w:fill="auto"/>
          </w:tcPr>
          <w:p w14:paraId="3CF40CA6" w14:textId="77777777" w:rsidR="005F0F2A" w:rsidRPr="00EF1CC7" w:rsidRDefault="00D13522"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RG-SC </w:t>
            </w:r>
            <w:r w:rsidRPr="00EF1CC7">
              <w:rPr>
                <w:lang w:val="fr-FR"/>
              </w:rPr>
              <w:t>du GCNT</w:t>
            </w:r>
          </w:p>
        </w:tc>
      </w:tr>
      <w:tr w:rsidR="005F0F2A" w:rsidRPr="00E31B2B" w14:paraId="57D5E431" w14:textId="77777777" w:rsidTr="00500DB0">
        <w:trPr>
          <w:jc w:val="center"/>
        </w:trPr>
        <w:tc>
          <w:tcPr>
            <w:tcW w:w="1167" w:type="pct"/>
            <w:shd w:val="clear" w:color="auto" w:fill="auto"/>
          </w:tcPr>
          <w:p w14:paraId="0F7A487E" w14:textId="77777777" w:rsidR="005F0F2A" w:rsidRPr="00EF1CC7" w:rsidRDefault="005F0F2A" w:rsidP="00E31B2B">
            <w:pPr>
              <w:pStyle w:val="Tabletext"/>
              <w:rPr>
                <w:lang w:val="fr-FR"/>
              </w:rPr>
            </w:pPr>
            <w:r w:rsidRPr="00EF1CC7">
              <w:rPr>
                <w:lang w:val="fr-FR"/>
              </w:rPr>
              <w:t>27 juillet 2021</w:t>
            </w:r>
          </w:p>
        </w:tc>
        <w:tc>
          <w:tcPr>
            <w:tcW w:w="1167" w:type="pct"/>
            <w:shd w:val="clear" w:color="auto" w:fill="auto"/>
          </w:tcPr>
          <w:p w14:paraId="613BD154"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4EDA6F43"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2CEB3ED3" w14:textId="77777777" w:rsidR="005F0F2A" w:rsidRPr="00EF1CC7" w:rsidRDefault="00D13522"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WM</w:t>
            </w:r>
            <w:r w:rsidRPr="00EF1CC7">
              <w:rPr>
                <w:lang w:val="fr-FR"/>
              </w:rPr>
              <w:t xml:space="preserve"> du GCNT</w:t>
            </w:r>
          </w:p>
        </w:tc>
      </w:tr>
      <w:tr w:rsidR="005F0F2A" w:rsidRPr="00E31B2B" w14:paraId="08CE3B5E" w14:textId="77777777" w:rsidTr="00500DB0">
        <w:trPr>
          <w:jc w:val="center"/>
        </w:trPr>
        <w:tc>
          <w:tcPr>
            <w:tcW w:w="1167" w:type="pct"/>
            <w:shd w:val="clear" w:color="auto" w:fill="auto"/>
          </w:tcPr>
          <w:p w14:paraId="43A006D7" w14:textId="77777777" w:rsidR="005F0F2A" w:rsidRPr="00EF1CC7" w:rsidRDefault="005F0F2A" w:rsidP="00E31B2B">
            <w:pPr>
              <w:pStyle w:val="Tabletext"/>
              <w:rPr>
                <w:lang w:val="fr-FR"/>
              </w:rPr>
            </w:pPr>
            <w:r w:rsidRPr="00EF1CC7">
              <w:rPr>
                <w:lang w:val="fr-FR"/>
              </w:rPr>
              <w:t>9 septembre 2021</w:t>
            </w:r>
          </w:p>
        </w:tc>
        <w:tc>
          <w:tcPr>
            <w:tcW w:w="1167" w:type="pct"/>
            <w:shd w:val="clear" w:color="auto" w:fill="auto"/>
          </w:tcPr>
          <w:p w14:paraId="6D33342E"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065ACE3" w14:textId="77777777" w:rsidR="005F0F2A" w:rsidRPr="00EF1CC7" w:rsidRDefault="005F0F2A" w:rsidP="00E31B2B">
            <w:pPr>
              <w:pStyle w:val="Tabletext"/>
              <w:rPr>
                <w:lang w:val="fr-FR"/>
              </w:rPr>
            </w:pPr>
            <w:r w:rsidRPr="00EF1CC7">
              <w:rPr>
                <w:lang w:val="fr-FR"/>
              </w:rPr>
              <w:t>RG-SC</w:t>
            </w:r>
          </w:p>
        </w:tc>
        <w:tc>
          <w:tcPr>
            <w:tcW w:w="1866" w:type="pct"/>
            <w:shd w:val="clear" w:color="auto" w:fill="auto"/>
          </w:tcPr>
          <w:p w14:paraId="37A67B20" w14:textId="77777777" w:rsidR="005F0F2A" w:rsidRPr="00EF1CC7" w:rsidRDefault="00D13522"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RG-SC </w:t>
            </w:r>
            <w:r w:rsidRPr="00EF1CC7">
              <w:rPr>
                <w:lang w:val="fr-FR"/>
              </w:rPr>
              <w:t>du GCNT</w:t>
            </w:r>
          </w:p>
        </w:tc>
      </w:tr>
      <w:tr w:rsidR="005F0F2A" w:rsidRPr="00E31B2B" w14:paraId="4904D14C" w14:textId="77777777" w:rsidTr="00500DB0">
        <w:trPr>
          <w:jc w:val="center"/>
        </w:trPr>
        <w:tc>
          <w:tcPr>
            <w:tcW w:w="1167" w:type="pct"/>
            <w:shd w:val="clear" w:color="auto" w:fill="auto"/>
          </w:tcPr>
          <w:p w14:paraId="6AC83639" w14:textId="77777777" w:rsidR="005F0F2A" w:rsidRPr="00EF1CC7" w:rsidRDefault="005F0F2A" w:rsidP="00E31B2B">
            <w:pPr>
              <w:pStyle w:val="Tabletext"/>
              <w:rPr>
                <w:lang w:val="fr-FR"/>
              </w:rPr>
            </w:pPr>
            <w:r w:rsidRPr="00EF1CC7">
              <w:rPr>
                <w:lang w:val="fr-FR"/>
              </w:rPr>
              <w:lastRenderedPageBreak/>
              <w:t>15 septembre 2021</w:t>
            </w:r>
          </w:p>
        </w:tc>
        <w:tc>
          <w:tcPr>
            <w:tcW w:w="1167" w:type="pct"/>
            <w:shd w:val="clear" w:color="auto" w:fill="auto"/>
          </w:tcPr>
          <w:p w14:paraId="1DD527F0"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1569E626"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1AAF0FFB" w14:textId="77777777" w:rsidR="005F0F2A" w:rsidRPr="00EF1CC7" w:rsidRDefault="00661B4E"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5506C56F" w14:textId="77777777" w:rsidTr="00500DB0">
        <w:trPr>
          <w:jc w:val="center"/>
        </w:trPr>
        <w:tc>
          <w:tcPr>
            <w:tcW w:w="1167" w:type="pct"/>
            <w:shd w:val="clear" w:color="auto" w:fill="auto"/>
          </w:tcPr>
          <w:p w14:paraId="58DE2487" w14:textId="77777777" w:rsidR="005F0F2A" w:rsidRPr="00EF1CC7" w:rsidRDefault="005F0F2A" w:rsidP="00E31B2B">
            <w:pPr>
              <w:pStyle w:val="Tabletext"/>
              <w:rPr>
                <w:lang w:val="fr-FR"/>
              </w:rPr>
            </w:pPr>
            <w:r w:rsidRPr="00EF1CC7">
              <w:rPr>
                <w:lang w:val="fr-FR"/>
              </w:rPr>
              <w:t>21 octobre 2021</w:t>
            </w:r>
          </w:p>
        </w:tc>
        <w:tc>
          <w:tcPr>
            <w:tcW w:w="1167" w:type="pct"/>
            <w:shd w:val="clear" w:color="auto" w:fill="auto"/>
          </w:tcPr>
          <w:p w14:paraId="5D2C39AA"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04AD1ACF" w14:textId="77777777" w:rsidR="005F0F2A" w:rsidRPr="00EF1CC7" w:rsidRDefault="005F0F2A" w:rsidP="00E31B2B">
            <w:pPr>
              <w:pStyle w:val="Tabletext"/>
              <w:rPr>
                <w:lang w:val="fr-FR"/>
              </w:rPr>
            </w:pPr>
            <w:r w:rsidRPr="00EF1CC7">
              <w:rPr>
                <w:lang w:val="fr-FR"/>
              </w:rPr>
              <w:t>---</w:t>
            </w:r>
          </w:p>
        </w:tc>
        <w:tc>
          <w:tcPr>
            <w:tcW w:w="1866" w:type="pct"/>
            <w:shd w:val="clear" w:color="auto" w:fill="auto"/>
          </w:tcPr>
          <w:p w14:paraId="7FEA27D3" w14:textId="0BE967FC" w:rsidR="005F0F2A" w:rsidRPr="00EF1CC7" w:rsidRDefault="00A52DB7" w:rsidP="00E31B2B">
            <w:pPr>
              <w:pStyle w:val="Tabletext"/>
              <w:rPr>
                <w:lang w:val="fr-FR"/>
              </w:rPr>
            </w:pPr>
            <w:r w:rsidRPr="00EF1CC7">
              <w:rPr>
                <w:lang w:val="fr-FR"/>
              </w:rPr>
              <w:t>Réunion électronique interrégionale de préparation en vue de l</w:t>
            </w:r>
            <w:r w:rsidR="00E31B2B">
              <w:rPr>
                <w:lang w:val="fr-FR"/>
              </w:rPr>
              <w:t>'</w:t>
            </w:r>
            <w:r w:rsidRPr="00EF1CC7">
              <w:rPr>
                <w:lang w:val="fr-FR"/>
              </w:rPr>
              <w:t>AMNT-20</w:t>
            </w:r>
          </w:p>
        </w:tc>
      </w:tr>
      <w:tr w:rsidR="005F0F2A" w:rsidRPr="00E31B2B" w14:paraId="0BB7110E" w14:textId="77777777" w:rsidTr="00500DB0">
        <w:trPr>
          <w:jc w:val="center"/>
        </w:trPr>
        <w:tc>
          <w:tcPr>
            <w:tcW w:w="1167" w:type="pct"/>
            <w:shd w:val="clear" w:color="auto" w:fill="auto"/>
          </w:tcPr>
          <w:p w14:paraId="7FD10FDB" w14:textId="77777777" w:rsidR="005F0F2A" w:rsidRPr="00EF1CC7" w:rsidRDefault="005F0F2A" w:rsidP="00E31B2B">
            <w:pPr>
              <w:pStyle w:val="Tabletext"/>
              <w:rPr>
                <w:lang w:val="fr-FR"/>
              </w:rPr>
            </w:pPr>
            <w:r w:rsidRPr="00EF1CC7">
              <w:rPr>
                <w:lang w:val="fr-FR"/>
              </w:rPr>
              <w:t>25-29 octobre 2021</w:t>
            </w:r>
          </w:p>
        </w:tc>
        <w:tc>
          <w:tcPr>
            <w:tcW w:w="1167" w:type="pct"/>
            <w:shd w:val="clear" w:color="auto" w:fill="auto"/>
          </w:tcPr>
          <w:p w14:paraId="125A5147"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2DECC911" w14:textId="77777777" w:rsidR="005F0F2A" w:rsidRPr="00CF3B78" w:rsidRDefault="005F0F2A" w:rsidP="00E31B2B">
            <w:pPr>
              <w:pStyle w:val="Tabletext"/>
              <w:rPr>
                <w:lang w:val="en-US"/>
              </w:rPr>
            </w:pPr>
            <w:r w:rsidRPr="00CF3B78">
              <w:rPr>
                <w:lang w:val="en-US"/>
              </w:rPr>
              <w:t>RG-ResReview,</w:t>
            </w:r>
            <w:r w:rsidRPr="00CF3B78">
              <w:rPr>
                <w:lang w:val="en-US"/>
              </w:rPr>
              <w:br/>
              <w:t>RG-SC,</w:t>
            </w:r>
            <w:r w:rsidRPr="00CF3B78">
              <w:rPr>
                <w:lang w:val="en-US"/>
              </w:rPr>
              <w:br/>
              <w:t>RG-WM,</w:t>
            </w:r>
            <w:r w:rsidRPr="00CF3B78">
              <w:rPr>
                <w:lang w:val="en-US"/>
              </w:rPr>
              <w:br/>
              <w:t>RG-WP</w:t>
            </w:r>
          </w:p>
        </w:tc>
        <w:tc>
          <w:tcPr>
            <w:tcW w:w="1866" w:type="pct"/>
            <w:shd w:val="clear" w:color="auto" w:fill="auto"/>
          </w:tcPr>
          <w:p w14:paraId="6FEA5475" w14:textId="77777777" w:rsidR="005F0F2A" w:rsidRPr="00EF1CC7" w:rsidRDefault="00A52DB7" w:rsidP="00E31B2B">
            <w:pPr>
              <w:pStyle w:val="Tabletext"/>
              <w:rPr>
                <w:lang w:val="fr-FR"/>
              </w:rPr>
            </w:pPr>
            <w:r w:rsidRPr="00EF1CC7">
              <w:rPr>
                <w:lang w:val="fr-FR"/>
              </w:rPr>
              <w:t>Huitième réunion (électronique) du GCNT</w:t>
            </w:r>
          </w:p>
        </w:tc>
      </w:tr>
      <w:tr w:rsidR="005F0F2A" w:rsidRPr="00E31B2B" w14:paraId="28F9A484" w14:textId="77777777" w:rsidTr="00500DB0">
        <w:trPr>
          <w:jc w:val="center"/>
        </w:trPr>
        <w:tc>
          <w:tcPr>
            <w:tcW w:w="1167" w:type="pct"/>
            <w:shd w:val="clear" w:color="auto" w:fill="auto"/>
          </w:tcPr>
          <w:p w14:paraId="09160601" w14:textId="77777777" w:rsidR="005F0F2A" w:rsidRPr="00EF1CC7" w:rsidRDefault="005F0F2A" w:rsidP="00E31B2B">
            <w:pPr>
              <w:pStyle w:val="Tabletext"/>
              <w:rPr>
                <w:lang w:val="fr-FR"/>
              </w:rPr>
            </w:pPr>
            <w:r w:rsidRPr="00EF1CC7">
              <w:rPr>
                <w:lang w:val="fr-FR"/>
              </w:rPr>
              <w:t>22-23 novembre 2021</w:t>
            </w:r>
          </w:p>
        </w:tc>
        <w:tc>
          <w:tcPr>
            <w:tcW w:w="1167" w:type="pct"/>
            <w:shd w:val="clear" w:color="auto" w:fill="auto"/>
          </w:tcPr>
          <w:p w14:paraId="2CF10585"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56D78CA" w14:textId="77777777" w:rsidR="005F0F2A" w:rsidRPr="00EF1CC7" w:rsidRDefault="005F0F2A" w:rsidP="00E31B2B">
            <w:pPr>
              <w:pStyle w:val="Tabletext"/>
              <w:rPr>
                <w:lang w:val="fr-FR"/>
              </w:rPr>
            </w:pPr>
            <w:r w:rsidRPr="00EF1CC7">
              <w:rPr>
                <w:lang w:val="fr-FR"/>
              </w:rPr>
              <w:t>RG-WP</w:t>
            </w:r>
          </w:p>
        </w:tc>
        <w:tc>
          <w:tcPr>
            <w:tcW w:w="1866" w:type="pct"/>
            <w:shd w:val="clear" w:color="auto" w:fill="auto"/>
          </w:tcPr>
          <w:p w14:paraId="43BF9D12" w14:textId="77777777" w:rsidR="005F0F2A" w:rsidRPr="00EF1CC7" w:rsidRDefault="009B25CE"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RG-WP </w:t>
            </w:r>
            <w:r w:rsidRPr="00EF1CC7">
              <w:rPr>
                <w:lang w:val="fr-FR"/>
              </w:rPr>
              <w:t>du GCNT</w:t>
            </w:r>
          </w:p>
        </w:tc>
      </w:tr>
      <w:tr w:rsidR="005F0F2A" w:rsidRPr="00E31B2B" w14:paraId="5FBD46E8" w14:textId="77777777" w:rsidTr="00500DB0">
        <w:trPr>
          <w:jc w:val="center"/>
        </w:trPr>
        <w:tc>
          <w:tcPr>
            <w:tcW w:w="1167" w:type="pct"/>
            <w:shd w:val="clear" w:color="auto" w:fill="auto"/>
          </w:tcPr>
          <w:p w14:paraId="0C2921CA" w14:textId="77777777" w:rsidR="005F0F2A" w:rsidRPr="00EF1CC7" w:rsidRDefault="005F0F2A" w:rsidP="00E31B2B">
            <w:pPr>
              <w:pStyle w:val="Tabletext"/>
              <w:rPr>
                <w:lang w:val="fr-FR"/>
              </w:rPr>
            </w:pPr>
            <w:r w:rsidRPr="00EF1CC7">
              <w:rPr>
                <w:lang w:val="fr-FR"/>
              </w:rPr>
              <w:t>24 novembre 2021</w:t>
            </w:r>
          </w:p>
        </w:tc>
        <w:tc>
          <w:tcPr>
            <w:tcW w:w="1167" w:type="pct"/>
            <w:shd w:val="clear" w:color="auto" w:fill="auto"/>
          </w:tcPr>
          <w:p w14:paraId="210200F3"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64EB3774" w14:textId="77777777" w:rsidR="005F0F2A" w:rsidRPr="00EF1CC7" w:rsidRDefault="005F0F2A" w:rsidP="00E31B2B">
            <w:pPr>
              <w:pStyle w:val="Tabletext"/>
              <w:rPr>
                <w:lang w:val="fr-FR"/>
              </w:rPr>
            </w:pPr>
            <w:r w:rsidRPr="00EF1CC7">
              <w:rPr>
                <w:lang w:val="fr-FR"/>
              </w:rPr>
              <w:t>RG-SC</w:t>
            </w:r>
          </w:p>
        </w:tc>
        <w:tc>
          <w:tcPr>
            <w:tcW w:w="1866" w:type="pct"/>
            <w:shd w:val="clear" w:color="auto" w:fill="auto"/>
          </w:tcPr>
          <w:p w14:paraId="2EBB3A6D" w14:textId="77777777" w:rsidR="005F0F2A" w:rsidRPr="00EF1CC7" w:rsidRDefault="00A3466F" w:rsidP="00E31B2B">
            <w:pPr>
              <w:pStyle w:val="Tabletext"/>
              <w:rPr>
                <w:lang w:val="fr-FR"/>
              </w:rPr>
            </w:pPr>
            <w:r w:rsidRPr="00EF1CC7">
              <w:rPr>
                <w:lang w:val="fr-FR"/>
              </w:rPr>
              <w:t>Réunion électronique du Groupe</w:t>
            </w:r>
            <w:r w:rsidRPr="00EF1CC7" w:rsidDel="00E57C40">
              <w:rPr>
                <w:lang w:val="fr-FR"/>
              </w:rPr>
              <w:t xml:space="preserve"> </w:t>
            </w:r>
            <w:r w:rsidR="005F0F2A" w:rsidRPr="00EF1CC7">
              <w:rPr>
                <w:lang w:val="fr-FR"/>
              </w:rPr>
              <w:t xml:space="preserve">RG-SC </w:t>
            </w:r>
            <w:r w:rsidRPr="00EF1CC7">
              <w:rPr>
                <w:lang w:val="fr-FR"/>
              </w:rPr>
              <w:t>du GCNT</w:t>
            </w:r>
          </w:p>
        </w:tc>
      </w:tr>
      <w:tr w:rsidR="005F0F2A" w:rsidRPr="00E31B2B" w14:paraId="6775B1A4" w14:textId="77777777" w:rsidTr="00500DB0">
        <w:trPr>
          <w:jc w:val="center"/>
        </w:trPr>
        <w:tc>
          <w:tcPr>
            <w:tcW w:w="1167" w:type="pct"/>
            <w:shd w:val="clear" w:color="auto" w:fill="auto"/>
          </w:tcPr>
          <w:p w14:paraId="7B560DEA" w14:textId="77777777" w:rsidR="005F0F2A" w:rsidRPr="00EF1CC7" w:rsidRDefault="005F0F2A" w:rsidP="00E31B2B">
            <w:pPr>
              <w:pStyle w:val="Tabletext"/>
              <w:rPr>
                <w:lang w:val="fr-FR"/>
              </w:rPr>
            </w:pPr>
            <w:r w:rsidRPr="00EF1CC7">
              <w:rPr>
                <w:lang w:val="fr-FR"/>
              </w:rPr>
              <w:t>26 novembre 2021</w:t>
            </w:r>
          </w:p>
        </w:tc>
        <w:tc>
          <w:tcPr>
            <w:tcW w:w="1167" w:type="pct"/>
            <w:shd w:val="clear" w:color="auto" w:fill="auto"/>
          </w:tcPr>
          <w:p w14:paraId="2F60CFD5"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011E1BE" w14:textId="77777777" w:rsidR="005F0F2A" w:rsidRPr="00EF1CC7" w:rsidRDefault="005F0F2A" w:rsidP="00E31B2B">
            <w:pPr>
              <w:pStyle w:val="Tabletext"/>
              <w:rPr>
                <w:lang w:val="fr-FR"/>
              </w:rPr>
            </w:pPr>
            <w:r w:rsidRPr="00EF1CC7">
              <w:rPr>
                <w:lang w:val="fr-FR"/>
              </w:rPr>
              <w:t>RG-ResReview</w:t>
            </w:r>
          </w:p>
        </w:tc>
        <w:tc>
          <w:tcPr>
            <w:tcW w:w="1866" w:type="pct"/>
            <w:shd w:val="clear" w:color="auto" w:fill="auto"/>
          </w:tcPr>
          <w:p w14:paraId="390DF4D0" w14:textId="7D1DA013" w:rsidR="005F0F2A" w:rsidRPr="00EF1CC7" w:rsidRDefault="000638CD" w:rsidP="00E31B2B">
            <w:pPr>
              <w:pStyle w:val="Tabletext"/>
              <w:rPr>
                <w:lang w:val="fr-FR"/>
              </w:rPr>
            </w:pPr>
            <w:r w:rsidRPr="00EF1CC7">
              <w:rPr>
                <w:lang w:val="fr-FR"/>
              </w:rPr>
              <w:t>Réunion électronique du Groupe</w:t>
            </w:r>
            <w:r w:rsidR="005F0F2A" w:rsidRPr="00EF1CC7">
              <w:rPr>
                <w:lang w:val="fr-FR"/>
              </w:rPr>
              <w:t xml:space="preserve"> RG</w:t>
            </w:r>
            <w:r w:rsidR="0031613F" w:rsidRPr="00EF1CC7">
              <w:rPr>
                <w:lang w:val="fr-FR"/>
              </w:rPr>
              <w:noBreakHyphen/>
            </w:r>
            <w:r w:rsidR="005F0F2A" w:rsidRPr="00EF1CC7">
              <w:rPr>
                <w:lang w:val="fr-FR"/>
              </w:rPr>
              <w:t xml:space="preserve">ResReview </w:t>
            </w:r>
            <w:r w:rsidRPr="00EF1CC7">
              <w:rPr>
                <w:lang w:val="fr-FR"/>
              </w:rPr>
              <w:t>du GCNT consacrée à la Résolution 67 de l</w:t>
            </w:r>
            <w:r w:rsidR="00E31B2B">
              <w:rPr>
                <w:lang w:val="fr-FR"/>
              </w:rPr>
              <w:t>'</w:t>
            </w:r>
            <w:r w:rsidRPr="00EF1CC7">
              <w:rPr>
                <w:lang w:val="fr-FR"/>
              </w:rPr>
              <w:t>AMNT</w:t>
            </w:r>
          </w:p>
        </w:tc>
      </w:tr>
      <w:tr w:rsidR="005F0F2A" w:rsidRPr="00E31B2B" w14:paraId="74A42D11" w14:textId="77777777" w:rsidTr="00500DB0">
        <w:trPr>
          <w:jc w:val="center"/>
        </w:trPr>
        <w:tc>
          <w:tcPr>
            <w:tcW w:w="1167" w:type="pct"/>
            <w:shd w:val="clear" w:color="auto" w:fill="auto"/>
          </w:tcPr>
          <w:p w14:paraId="292CD7DE" w14:textId="77777777" w:rsidR="005F0F2A" w:rsidRPr="00EF1CC7" w:rsidRDefault="005F0F2A" w:rsidP="00E31B2B">
            <w:pPr>
              <w:pStyle w:val="Tabletext"/>
              <w:rPr>
                <w:lang w:val="fr-FR"/>
              </w:rPr>
            </w:pPr>
            <w:r w:rsidRPr="00EF1CC7">
              <w:rPr>
                <w:lang w:val="fr-FR"/>
              </w:rPr>
              <w:t>30 novembre – 1er décembre 2021</w:t>
            </w:r>
          </w:p>
        </w:tc>
        <w:tc>
          <w:tcPr>
            <w:tcW w:w="1167" w:type="pct"/>
            <w:shd w:val="clear" w:color="auto" w:fill="auto"/>
          </w:tcPr>
          <w:p w14:paraId="386219B8"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268178EB" w14:textId="77777777" w:rsidR="005F0F2A" w:rsidRPr="00EF1CC7" w:rsidRDefault="005F0F2A" w:rsidP="00E31B2B">
            <w:pPr>
              <w:pStyle w:val="Tabletext"/>
              <w:rPr>
                <w:lang w:val="fr-FR"/>
              </w:rPr>
            </w:pPr>
            <w:r w:rsidRPr="00EF1CC7">
              <w:rPr>
                <w:lang w:val="fr-FR"/>
              </w:rPr>
              <w:t>RG-WM</w:t>
            </w:r>
          </w:p>
        </w:tc>
        <w:tc>
          <w:tcPr>
            <w:tcW w:w="1866" w:type="pct"/>
            <w:shd w:val="clear" w:color="auto" w:fill="auto"/>
          </w:tcPr>
          <w:p w14:paraId="50089760" w14:textId="77777777" w:rsidR="005F0F2A" w:rsidRPr="00EF1CC7" w:rsidRDefault="003D7A4F" w:rsidP="00E31B2B">
            <w:pPr>
              <w:pStyle w:val="Tabletext"/>
              <w:rPr>
                <w:lang w:val="fr-FR"/>
              </w:rPr>
            </w:pPr>
            <w:r w:rsidRPr="00EF1CC7">
              <w:rPr>
                <w:lang w:val="fr-FR"/>
              </w:rPr>
              <w:t xml:space="preserve">Réunion électronique du Groupe </w:t>
            </w:r>
            <w:r w:rsidR="005F0F2A" w:rsidRPr="00EF1CC7">
              <w:rPr>
                <w:lang w:val="fr-FR"/>
              </w:rPr>
              <w:t>RG</w:t>
            </w:r>
            <w:r w:rsidR="0031613F" w:rsidRPr="00EF1CC7">
              <w:rPr>
                <w:lang w:val="fr-FR"/>
              </w:rPr>
              <w:noBreakHyphen/>
            </w:r>
            <w:r w:rsidR="005F0F2A" w:rsidRPr="00EF1CC7">
              <w:rPr>
                <w:lang w:val="fr-FR"/>
              </w:rPr>
              <w:t xml:space="preserve">WM </w:t>
            </w:r>
            <w:r w:rsidRPr="00EF1CC7">
              <w:rPr>
                <w:lang w:val="fr-FR"/>
              </w:rPr>
              <w:t>du GCNT</w:t>
            </w:r>
          </w:p>
        </w:tc>
      </w:tr>
      <w:tr w:rsidR="005F0F2A" w:rsidRPr="00E31B2B" w14:paraId="0D3719F7" w14:textId="77777777" w:rsidTr="00500DB0">
        <w:trPr>
          <w:jc w:val="center"/>
        </w:trPr>
        <w:tc>
          <w:tcPr>
            <w:tcW w:w="1167" w:type="pct"/>
            <w:shd w:val="clear" w:color="auto" w:fill="auto"/>
          </w:tcPr>
          <w:p w14:paraId="5961D44B" w14:textId="77777777" w:rsidR="005F0F2A" w:rsidRPr="00EF1CC7" w:rsidRDefault="005F0F2A" w:rsidP="00E31B2B">
            <w:pPr>
              <w:pStyle w:val="Tabletext"/>
              <w:rPr>
                <w:lang w:val="fr-FR"/>
              </w:rPr>
            </w:pPr>
            <w:r w:rsidRPr="00EF1CC7">
              <w:rPr>
                <w:lang w:val="fr-FR"/>
              </w:rPr>
              <w:t>6 janvier 2022</w:t>
            </w:r>
          </w:p>
        </w:tc>
        <w:tc>
          <w:tcPr>
            <w:tcW w:w="1167" w:type="pct"/>
            <w:shd w:val="clear" w:color="auto" w:fill="auto"/>
          </w:tcPr>
          <w:p w14:paraId="191A2979"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1BB5D3D6" w14:textId="77777777" w:rsidR="005F0F2A" w:rsidRPr="00EF1CC7" w:rsidRDefault="005F0F2A" w:rsidP="00E31B2B">
            <w:pPr>
              <w:pStyle w:val="Tabletext"/>
              <w:rPr>
                <w:lang w:val="fr-FR"/>
              </w:rPr>
            </w:pPr>
            <w:r w:rsidRPr="00EF1CC7">
              <w:rPr>
                <w:lang w:val="fr-FR"/>
              </w:rPr>
              <w:t>---</w:t>
            </w:r>
          </w:p>
        </w:tc>
        <w:tc>
          <w:tcPr>
            <w:tcW w:w="1866" w:type="pct"/>
            <w:shd w:val="clear" w:color="auto" w:fill="auto"/>
          </w:tcPr>
          <w:p w14:paraId="298C7A28" w14:textId="444BDF7D" w:rsidR="005F0F2A" w:rsidRPr="00EF1CC7" w:rsidRDefault="000A1921" w:rsidP="00E31B2B">
            <w:pPr>
              <w:pStyle w:val="Tabletext"/>
              <w:rPr>
                <w:lang w:val="fr-FR"/>
              </w:rPr>
            </w:pPr>
            <w:r w:rsidRPr="00EF1CC7">
              <w:rPr>
                <w:lang w:val="fr-FR"/>
              </w:rPr>
              <w:t>Réunion électronique interrégionale de préparation en vue de l</w:t>
            </w:r>
            <w:r w:rsidR="00E31B2B">
              <w:rPr>
                <w:lang w:val="fr-FR"/>
              </w:rPr>
              <w:t>'</w:t>
            </w:r>
            <w:r w:rsidRPr="00EF1CC7">
              <w:rPr>
                <w:lang w:val="fr-FR"/>
              </w:rPr>
              <w:t>AMNT-20</w:t>
            </w:r>
          </w:p>
        </w:tc>
      </w:tr>
      <w:tr w:rsidR="005F0F2A" w:rsidRPr="00E31B2B" w14:paraId="18A2B672" w14:textId="77777777" w:rsidTr="00500DB0">
        <w:trPr>
          <w:jc w:val="center"/>
        </w:trPr>
        <w:tc>
          <w:tcPr>
            <w:tcW w:w="1167" w:type="pct"/>
            <w:shd w:val="clear" w:color="auto" w:fill="auto"/>
          </w:tcPr>
          <w:p w14:paraId="15EBCC82" w14:textId="77777777" w:rsidR="005F0F2A" w:rsidRPr="00EF1CC7" w:rsidRDefault="005F0F2A" w:rsidP="00E31B2B">
            <w:pPr>
              <w:pStyle w:val="Tabletext"/>
              <w:rPr>
                <w:lang w:val="fr-FR"/>
              </w:rPr>
            </w:pPr>
            <w:r w:rsidRPr="00EF1CC7">
              <w:rPr>
                <w:lang w:val="fr-FR"/>
              </w:rPr>
              <w:t>10-17 janvier 2022</w:t>
            </w:r>
          </w:p>
        </w:tc>
        <w:tc>
          <w:tcPr>
            <w:tcW w:w="1167" w:type="pct"/>
            <w:shd w:val="clear" w:color="auto" w:fill="auto"/>
          </w:tcPr>
          <w:p w14:paraId="12115E69" w14:textId="77777777" w:rsidR="005F0F2A" w:rsidRPr="00EF1CC7" w:rsidRDefault="005F0F2A" w:rsidP="00E31B2B">
            <w:pPr>
              <w:pStyle w:val="Tabletext"/>
              <w:rPr>
                <w:rFonts w:asciiTheme="majorBidi" w:hAnsiTheme="majorBidi" w:cstheme="majorBidi"/>
                <w:lang w:val="fr-FR" w:eastAsia="ja-JP"/>
              </w:rPr>
            </w:pPr>
            <w:r w:rsidRPr="00EF1CC7">
              <w:rPr>
                <w:rFonts w:asciiTheme="majorBidi" w:hAnsiTheme="majorBidi" w:cstheme="majorBidi"/>
                <w:lang w:val="fr-FR" w:eastAsia="ja-JP"/>
              </w:rPr>
              <w:t>Réunion virtuelle</w:t>
            </w:r>
          </w:p>
        </w:tc>
        <w:tc>
          <w:tcPr>
            <w:tcW w:w="800" w:type="pct"/>
            <w:shd w:val="clear" w:color="auto" w:fill="auto"/>
          </w:tcPr>
          <w:p w14:paraId="3F5FAB0D" w14:textId="77777777" w:rsidR="005F0F2A" w:rsidRPr="00CF3B78" w:rsidRDefault="005F0F2A" w:rsidP="00E31B2B">
            <w:pPr>
              <w:pStyle w:val="Tabletext"/>
              <w:rPr>
                <w:lang w:val="en-US"/>
              </w:rPr>
            </w:pPr>
            <w:r w:rsidRPr="00CF3B78">
              <w:rPr>
                <w:lang w:val="en-US"/>
              </w:rPr>
              <w:t>RG-ResReview,</w:t>
            </w:r>
            <w:r w:rsidRPr="00CF3B78">
              <w:rPr>
                <w:lang w:val="en-US"/>
              </w:rPr>
              <w:br/>
              <w:t>RG-SC,</w:t>
            </w:r>
            <w:r w:rsidRPr="00CF3B78">
              <w:rPr>
                <w:lang w:val="en-US"/>
              </w:rPr>
              <w:br/>
              <w:t>RG-WM,</w:t>
            </w:r>
            <w:r w:rsidRPr="00CF3B78">
              <w:rPr>
                <w:lang w:val="en-US"/>
              </w:rPr>
              <w:br/>
              <w:t>RG-WP</w:t>
            </w:r>
          </w:p>
        </w:tc>
        <w:tc>
          <w:tcPr>
            <w:tcW w:w="1866" w:type="pct"/>
            <w:shd w:val="clear" w:color="auto" w:fill="auto"/>
          </w:tcPr>
          <w:p w14:paraId="5431E172" w14:textId="77777777" w:rsidR="005F0F2A" w:rsidRPr="00EF1CC7" w:rsidRDefault="000A1921" w:rsidP="00E31B2B">
            <w:pPr>
              <w:pStyle w:val="Tabletext"/>
              <w:rPr>
                <w:lang w:val="fr-FR"/>
              </w:rPr>
            </w:pPr>
            <w:r w:rsidRPr="00EF1CC7">
              <w:rPr>
                <w:lang w:val="fr-FR"/>
              </w:rPr>
              <w:t>Neuvième réunion (électronique) du GCNT</w:t>
            </w:r>
          </w:p>
        </w:tc>
      </w:tr>
    </w:tbl>
    <w:p w14:paraId="353DF9B3" w14:textId="77777777" w:rsidR="00043522" w:rsidRPr="00EF1CC7" w:rsidRDefault="00043522" w:rsidP="00E31B2B">
      <w:pPr>
        <w:pStyle w:val="Heading1"/>
        <w:rPr>
          <w:lang w:val="fr-FR"/>
        </w:rPr>
      </w:pPr>
      <w:bookmarkStart w:id="4" w:name="_Toc461810674"/>
      <w:bookmarkStart w:id="5" w:name="_Toc464047780"/>
      <w:bookmarkStart w:id="6" w:name="_Toc464049286"/>
      <w:bookmarkStart w:id="7" w:name="_Toc94876337"/>
      <w:r w:rsidRPr="00EF1CC7">
        <w:rPr>
          <w:lang w:val="fr-FR"/>
        </w:rPr>
        <w:t>2</w:t>
      </w:r>
      <w:r w:rsidRPr="00EF1CC7">
        <w:rPr>
          <w:lang w:val="fr-FR"/>
        </w:rPr>
        <w:tab/>
        <w:t xml:space="preserve">Organisation </w:t>
      </w:r>
      <w:bookmarkEnd w:id="4"/>
      <w:r w:rsidRPr="00EF1CC7">
        <w:rPr>
          <w:lang w:val="fr-FR"/>
        </w:rPr>
        <w:t>des travaux</w:t>
      </w:r>
      <w:bookmarkEnd w:id="5"/>
      <w:bookmarkEnd w:id="6"/>
      <w:bookmarkEnd w:id="7"/>
    </w:p>
    <w:p w14:paraId="25A10A0B" w14:textId="77777777" w:rsidR="00043522" w:rsidRPr="00EF1CC7" w:rsidRDefault="00043522" w:rsidP="00E31B2B">
      <w:pPr>
        <w:pStyle w:val="Heading2"/>
        <w:rPr>
          <w:lang w:val="fr-FR"/>
        </w:rPr>
      </w:pPr>
      <w:bookmarkStart w:id="8" w:name="_Toc94876338"/>
      <w:r w:rsidRPr="00EF1CC7">
        <w:rPr>
          <w:lang w:val="fr-FR"/>
        </w:rPr>
        <w:t>2.1</w:t>
      </w:r>
      <w:r w:rsidRPr="00EF1CC7">
        <w:rPr>
          <w:lang w:val="fr-FR"/>
        </w:rPr>
        <w:tab/>
        <w:t>Organisation des études et répartition des travaux</w:t>
      </w:r>
      <w:bookmarkEnd w:id="8"/>
    </w:p>
    <w:p w14:paraId="2E0AFC73" w14:textId="67A53DB5" w:rsidR="0070377A" w:rsidRPr="00EF1CC7" w:rsidRDefault="00043522" w:rsidP="00E31B2B">
      <w:pPr>
        <w:rPr>
          <w:lang w:val="fr-FR"/>
        </w:rPr>
      </w:pPr>
      <w:r w:rsidRPr="00EF1CC7">
        <w:rPr>
          <w:b/>
          <w:bCs/>
          <w:lang w:val="fr-FR"/>
        </w:rPr>
        <w:t>2.1.1</w:t>
      </w:r>
      <w:r w:rsidRPr="00EF1CC7">
        <w:rPr>
          <w:lang w:val="fr-FR"/>
        </w:rPr>
        <w:tab/>
      </w:r>
      <w:r w:rsidR="00022EEC" w:rsidRPr="00EF1CC7">
        <w:rPr>
          <w:lang w:val="fr-FR"/>
        </w:rPr>
        <w:t xml:space="preserve">À </w:t>
      </w:r>
      <w:r w:rsidR="009C3D1E" w:rsidRPr="00EF1CC7">
        <w:rPr>
          <w:lang w:val="fr-FR"/>
        </w:rPr>
        <w:t>la</w:t>
      </w:r>
      <w:r w:rsidR="00022EEC" w:rsidRPr="00EF1CC7">
        <w:rPr>
          <w:lang w:val="fr-FR"/>
        </w:rPr>
        <w:t xml:space="preserve"> première réunion </w:t>
      </w:r>
      <w:r w:rsidR="009C3D1E" w:rsidRPr="00EF1CC7">
        <w:rPr>
          <w:lang w:val="fr-FR"/>
        </w:rPr>
        <w:t>qu</w:t>
      </w:r>
      <w:r w:rsidR="00E31B2B">
        <w:rPr>
          <w:lang w:val="fr-FR"/>
        </w:rPr>
        <w:t>'</w:t>
      </w:r>
      <w:r w:rsidR="009C3D1E" w:rsidRPr="00EF1CC7">
        <w:rPr>
          <w:lang w:val="fr-FR"/>
        </w:rPr>
        <w:t xml:space="preserve">il a </w:t>
      </w:r>
      <w:r w:rsidR="00022EEC" w:rsidRPr="00EF1CC7">
        <w:rPr>
          <w:lang w:val="fr-FR"/>
        </w:rPr>
        <w:t>tenue pendant la période d</w:t>
      </w:r>
      <w:r w:rsidR="00E31B2B">
        <w:rPr>
          <w:lang w:val="fr-FR"/>
        </w:rPr>
        <w:t>'</w:t>
      </w:r>
      <w:r w:rsidR="00022EEC" w:rsidRPr="00EF1CC7">
        <w:rPr>
          <w:lang w:val="fr-FR"/>
        </w:rPr>
        <w:t>études, le GCNT a décidé d</w:t>
      </w:r>
      <w:r w:rsidR="00E31B2B">
        <w:rPr>
          <w:lang w:val="fr-FR"/>
        </w:rPr>
        <w:t>'</w:t>
      </w:r>
      <w:r w:rsidR="00022EEC" w:rsidRPr="00EF1CC7">
        <w:rPr>
          <w:lang w:val="fr-FR"/>
        </w:rPr>
        <w:t>établir cinq Groupes du Rapporteur (RG-</w:t>
      </w:r>
      <w:r w:rsidR="00AC4886" w:rsidRPr="00EF1CC7">
        <w:rPr>
          <w:lang w:val="fr-FR"/>
        </w:rPr>
        <w:t>SC, RG-SOP, RG-StdsStrat, RG-WM</w:t>
      </w:r>
      <w:r w:rsidR="00022EEC" w:rsidRPr="00EF1CC7">
        <w:rPr>
          <w:lang w:val="fr-FR"/>
        </w:rPr>
        <w:t xml:space="preserve"> et RG-WP) et deux Groupes du Rapporteur </w:t>
      </w:r>
      <w:r w:rsidR="00516D79" w:rsidRPr="00EF1CC7">
        <w:rPr>
          <w:lang w:val="fr-FR"/>
        </w:rPr>
        <w:t>additionnels</w:t>
      </w:r>
      <w:r w:rsidR="00022EEC" w:rsidRPr="00EF1CC7">
        <w:rPr>
          <w:lang w:val="fr-FR"/>
        </w:rPr>
        <w:t xml:space="preserve"> (RG-ResReview et RG-CPTRG) ont été </w:t>
      </w:r>
      <w:r w:rsidR="00516D79" w:rsidRPr="00EF1CC7">
        <w:rPr>
          <w:lang w:val="fr-FR"/>
        </w:rPr>
        <w:t>créés ultérieurement</w:t>
      </w:r>
      <w:r w:rsidR="009A02B7" w:rsidRPr="00EF1CC7">
        <w:rPr>
          <w:lang w:val="fr-FR"/>
        </w:rPr>
        <w:t xml:space="preserve"> </w:t>
      </w:r>
      <w:r w:rsidR="008D001F" w:rsidRPr="00EF1CC7">
        <w:rPr>
          <w:lang w:val="fr-FR"/>
        </w:rPr>
        <w:t>au cours de la période d</w:t>
      </w:r>
      <w:r w:rsidR="00E31B2B">
        <w:rPr>
          <w:lang w:val="fr-FR"/>
        </w:rPr>
        <w:t>'</w:t>
      </w:r>
      <w:r w:rsidR="008D001F" w:rsidRPr="00EF1CC7">
        <w:rPr>
          <w:lang w:val="fr-FR"/>
        </w:rPr>
        <w:t>études</w:t>
      </w:r>
      <w:r w:rsidR="00A00D63" w:rsidRPr="00EF1CC7">
        <w:rPr>
          <w:lang w:val="fr-FR"/>
        </w:rPr>
        <w:t>,</w:t>
      </w:r>
      <w:r w:rsidR="009A02B7" w:rsidRPr="00EF1CC7">
        <w:rPr>
          <w:lang w:val="fr-FR"/>
        </w:rPr>
        <w:t xml:space="preserve"> </w:t>
      </w:r>
      <w:r w:rsidR="00A00D63" w:rsidRPr="00EF1CC7">
        <w:rPr>
          <w:lang w:val="fr-FR"/>
        </w:rPr>
        <w:t>l</w:t>
      </w:r>
      <w:r w:rsidR="008D001F" w:rsidRPr="00EF1CC7">
        <w:rPr>
          <w:lang w:val="fr-FR"/>
        </w:rPr>
        <w:t xml:space="preserve">e </w:t>
      </w:r>
      <w:r w:rsidR="00C6169E" w:rsidRPr="00EF1CC7">
        <w:rPr>
          <w:lang w:val="fr-FR"/>
        </w:rPr>
        <w:t>Groupe RG</w:t>
      </w:r>
      <w:r w:rsidR="00F1145A" w:rsidRPr="00EF1CC7">
        <w:rPr>
          <w:lang w:val="fr-FR"/>
        </w:rPr>
        <w:t xml:space="preserve">-CPTRG a été </w:t>
      </w:r>
      <w:r w:rsidR="005C786C" w:rsidRPr="00EF1CC7">
        <w:rPr>
          <w:lang w:val="fr-FR"/>
        </w:rPr>
        <w:t>dissous le</w:t>
      </w:r>
      <w:r w:rsidR="00DC42BA">
        <w:rPr>
          <w:lang w:val="fr-FR"/>
        </w:rPr>
        <w:t> </w:t>
      </w:r>
      <w:r w:rsidR="005C786C" w:rsidRPr="00EF1CC7">
        <w:rPr>
          <w:lang w:val="fr-FR"/>
        </w:rPr>
        <w:t>14</w:t>
      </w:r>
      <w:r w:rsidR="00A00D63" w:rsidRPr="00EF1CC7">
        <w:rPr>
          <w:lang w:val="fr-FR"/>
        </w:rPr>
        <w:t> </w:t>
      </w:r>
      <w:r w:rsidR="005C786C" w:rsidRPr="00EF1CC7">
        <w:rPr>
          <w:lang w:val="fr-FR"/>
        </w:rPr>
        <w:t>février</w:t>
      </w:r>
      <w:r w:rsidR="00A00D63" w:rsidRPr="00EF1CC7">
        <w:rPr>
          <w:lang w:val="fr-FR"/>
        </w:rPr>
        <w:t> </w:t>
      </w:r>
      <w:r w:rsidR="005C786C" w:rsidRPr="00EF1CC7">
        <w:rPr>
          <w:lang w:val="fr-FR"/>
        </w:rPr>
        <w:t xml:space="preserve">2020. </w:t>
      </w:r>
      <w:r w:rsidR="00C6169E" w:rsidRPr="00EF1CC7">
        <w:rPr>
          <w:lang w:val="fr-FR"/>
        </w:rPr>
        <w:t xml:space="preserve">Les </w:t>
      </w:r>
      <w:r w:rsidR="005A1EDE" w:rsidRPr="00EF1CC7">
        <w:rPr>
          <w:lang w:val="fr-FR"/>
        </w:rPr>
        <w:t xml:space="preserve">réunions des </w:t>
      </w:r>
      <w:r w:rsidR="00C6169E" w:rsidRPr="00EF1CC7">
        <w:rPr>
          <w:lang w:val="fr-FR"/>
        </w:rPr>
        <w:t xml:space="preserve">sept Groupes du Rapporteur ont permis de </w:t>
      </w:r>
      <w:r w:rsidR="00095C89" w:rsidRPr="00EF1CC7">
        <w:rPr>
          <w:lang w:val="fr-FR"/>
        </w:rPr>
        <w:t>réduire la charge de travail des séances plénières du GCNT et d</w:t>
      </w:r>
      <w:r w:rsidR="00E31B2B">
        <w:rPr>
          <w:lang w:val="fr-FR"/>
        </w:rPr>
        <w:t>'</w:t>
      </w:r>
      <w:r w:rsidR="00095C89" w:rsidRPr="00EF1CC7">
        <w:rPr>
          <w:lang w:val="fr-FR"/>
        </w:rPr>
        <w:t>organiser des réunions électroniques intérimaires pour faire progresser les travaux.</w:t>
      </w:r>
      <w:r w:rsidR="00A00D63" w:rsidRPr="00EF1CC7">
        <w:rPr>
          <w:lang w:val="fr-FR"/>
        </w:rPr>
        <w:t xml:space="preserve"> </w:t>
      </w:r>
      <w:r w:rsidR="0070377A" w:rsidRPr="00EF1CC7">
        <w:rPr>
          <w:lang w:val="fr-FR"/>
        </w:rPr>
        <w:t>Pendant la période d</w:t>
      </w:r>
      <w:r w:rsidR="00E31B2B">
        <w:rPr>
          <w:lang w:val="fr-FR"/>
        </w:rPr>
        <w:t>'</w:t>
      </w:r>
      <w:r w:rsidR="0070377A" w:rsidRPr="00EF1CC7">
        <w:rPr>
          <w:lang w:val="fr-FR"/>
        </w:rPr>
        <w:t xml:space="preserve">études, trois </w:t>
      </w:r>
      <w:r w:rsidR="005447B0" w:rsidRPr="00EF1CC7">
        <w:rPr>
          <w:lang w:val="fr-FR"/>
        </w:rPr>
        <w:t>g</w:t>
      </w:r>
      <w:r w:rsidR="0070377A" w:rsidRPr="00EF1CC7">
        <w:rPr>
          <w:lang w:val="fr-FR"/>
        </w:rPr>
        <w:t xml:space="preserve">roupes </w:t>
      </w:r>
      <w:r w:rsidR="005447B0" w:rsidRPr="00EF1CC7">
        <w:rPr>
          <w:lang w:val="fr-FR"/>
        </w:rPr>
        <w:t>spécialisés de l</w:t>
      </w:r>
      <w:r w:rsidR="00E31B2B">
        <w:rPr>
          <w:lang w:val="fr-FR"/>
        </w:rPr>
        <w:t>'</w:t>
      </w:r>
      <w:r w:rsidR="005447B0" w:rsidRPr="00EF1CC7">
        <w:rPr>
          <w:lang w:val="fr-FR"/>
        </w:rPr>
        <w:t>UIT-T (FG</w:t>
      </w:r>
      <w:r w:rsidR="00A00D63" w:rsidRPr="00EF1CC7">
        <w:rPr>
          <w:lang w:val="fr-FR"/>
        </w:rPr>
        <w:noBreakHyphen/>
      </w:r>
      <w:r w:rsidR="005447B0" w:rsidRPr="00EF1CC7">
        <w:rPr>
          <w:lang w:val="fr-FR"/>
        </w:rPr>
        <w:t>DFC, FG-</w:t>
      </w:r>
      <w:r w:rsidR="008D1F2B" w:rsidRPr="00EF1CC7">
        <w:rPr>
          <w:lang w:val="fr-FR"/>
        </w:rPr>
        <w:t>D</w:t>
      </w:r>
      <w:r w:rsidR="005447B0" w:rsidRPr="00EF1CC7">
        <w:rPr>
          <w:lang w:val="fr-FR"/>
        </w:rPr>
        <w:t>LT et FG-QIT4N)</w:t>
      </w:r>
      <w:r w:rsidR="00CF5403" w:rsidRPr="00EF1CC7">
        <w:rPr>
          <w:lang w:val="fr-FR"/>
        </w:rPr>
        <w:t xml:space="preserve"> rattachés au GCNT</w:t>
      </w:r>
      <w:r w:rsidR="005447B0" w:rsidRPr="00EF1CC7">
        <w:rPr>
          <w:lang w:val="fr-FR"/>
        </w:rPr>
        <w:t xml:space="preserve"> ont été </w:t>
      </w:r>
      <w:r w:rsidR="00C70005" w:rsidRPr="00EF1CC7">
        <w:rPr>
          <w:lang w:val="fr-FR"/>
        </w:rPr>
        <w:t>constitués,</w:t>
      </w:r>
      <w:r w:rsidR="005447B0" w:rsidRPr="00EF1CC7">
        <w:rPr>
          <w:lang w:val="fr-FR"/>
        </w:rPr>
        <w:t xml:space="preserve"> </w:t>
      </w:r>
      <w:r w:rsidR="000C471D" w:rsidRPr="00EF1CC7">
        <w:rPr>
          <w:lang w:val="fr-FR"/>
        </w:rPr>
        <w:t>afin d</w:t>
      </w:r>
      <w:r w:rsidR="00E31B2B">
        <w:rPr>
          <w:lang w:val="fr-FR"/>
        </w:rPr>
        <w:t>'</w:t>
      </w:r>
      <w:r w:rsidR="000C471D" w:rsidRPr="00EF1CC7">
        <w:rPr>
          <w:lang w:val="fr-FR"/>
        </w:rPr>
        <w:t xml:space="preserve">examiner les </w:t>
      </w:r>
      <w:r w:rsidR="003D0A0E" w:rsidRPr="00EF1CC7">
        <w:rPr>
          <w:lang w:val="fr-FR"/>
        </w:rPr>
        <w:t xml:space="preserve">nouveaux travaux </w:t>
      </w:r>
      <w:r w:rsidR="00C70005" w:rsidRPr="00EF1CC7">
        <w:rPr>
          <w:lang w:val="fr-FR"/>
        </w:rPr>
        <w:t xml:space="preserve">correspondants </w:t>
      </w:r>
      <w:r w:rsidR="003D0A0E" w:rsidRPr="00EF1CC7">
        <w:rPr>
          <w:lang w:val="fr-FR"/>
        </w:rPr>
        <w:t xml:space="preserve">du Secteur et </w:t>
      </w:r>
      <w:r w:rsidR="00B041FA" w:rsidRPr="00EF1CC7">
        <w:rPr>
          <w:lang w:val="fr-FR"/>
        </w:rPr>
        <w:t>une nouvelle Activité de coordination conjointe (JCA) de l</w:t>
      </w:r>
      <w:r w:rsidR="00E31B2B">
        <w:rPr>
          <w:lang w:val="fr-FR"/>
        </w:rPr>
        <w:t>'</w:t>
      </w:r>
      <w:r w:rsidR="00B041FA" w:rsidRPr="00EF1CC7">
        <w:rPr>
          <w:lang w:val="fr-FR"/>
        </w:rPr>
        <w:t>UIT-T a été</w:t>
      </w:r>
      <w:r w:rsidR="009A02B7" w:rsidRPr="00EF1CC7">
        <w:rPr>
          <w:lang w:val="fr-FR"/>
        </w:rPr>
        <w:t xml:space="preserve"> </w:t>
      </w:r>
      <w:r w:rsidR="00C70005" w:rsidRPr="00EF1CC7">
        <w:rPr>
          <w:lang w:val="fr-FR"/>
        </w:rPr>
        <w:t xml:space="preserve">créée, </w:t>
      </w:r>
      <w:r w:rsidR="00B041FA" w:rsidRPr="00EF1CC7">
        <w:rPr>
          <w:lang w:val="fr-FR"/>
        </w:rPr>
        <w:t>afin d</w:t>
      </w:r>
      <w:r w:rsidR="00E31B2B">
        <w:rPr>
          <w:lang w:val="fr-FR"/>
        </w:rPr>
        <w:t>'</w:t>
      </w:r>
      <w:r w:rsidR="00803B68" w:rsidRPr="00EF1CC7">
        <w:rPr>
          <w:lang w:val="fr-FR"/>
        </w:rPr>
        <w:t xml:space="preserve">assurer une coordination à grande </w:t>
      </w:r>
      <w:r w:rsidR="00F5225C" w:rsidRPr="00EF1CC7">
        <w:rPr>
          <w:lang w:val="fr-FR"/>
        </w:rPr>
        <w:t>échelle de la normalisation du certificat</w:t>
      </w:r>
      <w:r w:rsidR="00803B68" w:rsidRPr="00EF1CC7">
        <w:rPr>
          <w:lang w:val="fr-FR"/>
        </w:rPr>
        <w:t xml:space="preserve"> </w:t>
      </w:r>
      <w:r w:rsidR="00F5225C" w:rsidRPr="00EF1CC7">
        <w:rPr>
          <w:lang w:val="fr-FR"/>
        </w:rPr>
        <w:t>COVID numérique</w:t>
      </w:r>
      <w:r w:rsidR="00803B68" w:rsidRPr="00EF1CC7">
        <w:rPr>
          <w:lang w:val="fr-FR"/>
        </w:rPr>
        <w:t>.</w:t>
      </w:r>
    </w:p>
    <w:p w14:paraId="768380F2" w14:textId="77777777" w:rsidR="00043522" w:rsidRPr="00EF1CC7" w:rsidRDefault="00043522" w:rsidP="00E31B2B">
      <w:pPr>
        <w:rPr>
          <w:lang w:val="fr-FR"/>
        </w:rPr>
      </w:pPr>
      <w:r w:rsidRPr="00EF1CC7">
        <w:rPr>
          <w:b/>
          <w:bCs/>
          <w:lang w:val="fr-FR"/>
        </w:rPr>
        <w:t>2.1.2</w:t>
      </w:r>
      <w:r w:rsidRPr="00EF1CC7">
        <w:rPr>
          <w:lang w:val="fr-FR"/>
        </w:rPr>
        <w:tab/>
        <w:t xml:space="preserve">Le Tableau 2 donne le numéro et le nom de chaque Groupe </w:t>
      </w:r>
      <w:r w:rsidR="0032729D" w:rsidRPr="00EF1CC7">
        <w:rPr>
          <w:lang w:val="fr-FR"/>
        </w:rPr>
        <w:t>du Rapporteur</w:t>
      </w:r>
      <w:r w:rsidRPr="00EF1CC7">
        <w:rPr>
          <w:lang w:val="fr-FR"/>
        </w:rPr>
        <w:t xml:space="preserve">, ainsi que </w:t>
      </w:r>
      <w:r w:rsidR="00656764" w:rsidRPr="00EF1CC7">
        <w:rPr>
          <w:lang w:val="fr-FR"/>
        </w:rPr>
        <w:t>le nom de son Rapporteur/</w:t>
      </w:r>
      <w:r w:rsidR="00190502" w:rsidRPr="00EF1CC7">
        <w:rPr>
          <w:lang w:val="fr-FR"/>
        </w:rPr>
        <w:t>ses Corapporteurs</w:t>
      </w:r>
      <w:r w:rsidRPr="00EF1CC7">
        <w:rPr>
          <w:lang w:val="fr-FR"/>
        </w:rPr>
        <w:t>.</w:t>
      </w:r>
    </w:p>
    <w:p w14:paraId="2DF6B475" w14:textId="09FC4D20" w:rsidR="00776C16" w:rsidRPr="00EF1CC7" w:rsidRDefault="00043522" w:rsidP="00E31B2B">
      <w:pPr>
        <w:rPr>
          <w:lang w:val="fr-FR"/>
        </w:rPr>
      </w:pPr>
      <w:r w:rsidRPr="00EF1CC7">
        <w:rPr>
          <w:b/>
          <w:bCs/>
          <w:lang w:val="fr-FR"/>
        </w:rPr>
        <w:t>2.1.3</w:t>
      </w:r>
      <w:r w:rsidRPr="00EF1CC7">
        <w:rPr>
          <w:lang w:val="fr-FR"/>
        </w:rPr>
        <w:tab/>
        <w:t xml:space="preserve">On trouvera dans le Tableau 3 la liste des </w:t>
      </w:r>
      <w:r w:rsidR="00707E4E" w:rsidRPr="00EF1CC7">
        <w:rPr>
          <w:lang w:val="fr-FR"/>
        </w:rPr>
        <w:t>groupes spécialisés de l</w:t>
      </w:r>
      <w:r w:rsidR="00E31B2B">
        <w:rPr>
          <w:lang w:val="fr-FR"/>
        </w:rPr>
        <w:t>'</w:t>
      </w:r>
      <w:r w:rsidR="00707E4E" w:rsidRPr="00EF1CC7">
        <w:rPr>
          <w:lang w:val="fr-FR"/>
        </w:rPr>
        <w:t>UIT-T créés par le</w:t>
      </w:r>
      <w:r w:rsidR="00DC42BA">
        <w:rPr>
          <w:lang w:val="fr-FR"/>
        </w:rPr>
        <w:t> </w:t>
      </w:r>
      <w:r w:rsidR="00707E4E" w:rsidRPr="00EF1CC7">
        <w:rPr>
          <w:lang w:val="fr-FR"/>
        </w:rPr>
        <w:t>GCNT</w:t>
      </w:r>
      <w:r w:rsidRPr="00EF1CC7">
        <w:rPr>
          <w:lang w:val="fr-FR"/>
        </w:rPr>
        <w:t xml:space="preserve"> pendant la période d</w:t>
      </w:r>
      <w:r w:rsidR="00E31B2B">
        <w:rPr>
          <w:lang w:val="fr-FR"/>
        </w:rPr>
        <w:t>'</w:t>
      </w:r>
      <w:r w:rsidRPr="00EF1CC7">
        <w:rPr>
          <w:lang w:val="fr-FR"/>
        </w:rPr>
        <w:t>études.</w:t>
      </w:r>
    </w:p>
    <w:p w14:paraId="6C75BFBF" w14:textId="77777777" w:rsidR="00043522" w:rsidRPr="00EF1CC7" w:rsidRDefault="00043522" w:rsidP="00E31B2B">
      <w:pPr>
        <w:pStyle w:val="TableNo"/>
        <w:rPr>
          <w:sz w:val="24"/>
          <w:lang w:val="fr-FR"/>
        </w:rPr>
      </w:pPr>
      <w:r w:rsidRPr="00EF1CC7">
        <w:rPr>
          <w:sz w:val="24"/>
          <w:lang w:val="fr-FR"/>
        </w:rPr>
        <w:lastRenderedPageBreak/>
        <w:t>TABLEAU 2</w:t>
      </w:r>
    </w:p>
    <w:p w14:paraId="7C49FB05" w14:textId="77777777" w:rsidR="00043522" w:rsidRPr="00EF1CC7" w:rsidRDefault="00FE22BA" w:rsidP="00E31B2B">
      <w:pPr>
        <w:pStyle w:val="Tabletitle"/>
        <w:rPr>
          <w:lang w:val="fr-FR"/>
        </w:rPr>
      </w:pPr>
      <w:r w:rsidRPr="00EF1CC7">
        <w:rPr>
          <w:rFonts w:ascii="Times New Roman" w:hAnsi="Times New Roman"/>
          <w:sz w:val="24"/>
          <w:lang w:val="fr-FR"/>
        </w:rPr>
        <w:t xml:space="preserve">Organisation </w:t>
      </w:r>
      <w:r w:rsidR="00C70005" w:rsidRPr="00EF1CC7">
        <w:rPr>
          <w:rFonts w:ascii="Times New Roman" w:hAnsi="Times New Roman"/>
          <w:sz w:val="24"/>
          <w:lang w:val="fr-FR"/>
        </w:rPr>
        <w:t xml:space="preserve">des travaux </w:t>
      </w:r>
      <w:r w:rsidRPr="00EF1CC7">
        <w:rPr>
          <w:rFonts w:ascii="Times New Roman" w:hAnsi="Times New Roman"/>
          <w:sz w:val="24"/>
          <w:lang w:val="fr-FR"/>
        </w:rPr>
        <w:t>du GCNT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70"/>
        <w:gridCol w:w="5812"/>
      </w:tblGrid>
      <w:tr w:rsidR="00043522" w:rsidRPr="00EF1CC7" w14:paraId="7D953F26" w14:textId="77777777" w:rsidTr="00500DB0">
        <w:trPr>
          <w:cantSplit/>
          <w:tblHeader/>
          <w:jc w:val="center"/>
        </w:trPr>
        <w:tc>
          <w:tcPr>
            <w:tcW w:w="1701" w:type="dxa"/>
            <w:tcBorders>
              <w:top w:val="single" w:sz="12" w:space="0" w:color="auto"/>
              <w:bottom w:val="single" w:sz="12" w:space="0" w:color="auto"/>
            </w:tcBorders>
            <w:shd w:val="clear" w:color="auto" w:fill="auto"/>
            <w:vAlign w:val="center"/>
          </w:tcPr>
          <w:p w14:paraId="3D2FD9BD" w14:textId="77777777" w:rsidR="00043522" w:rsidRPr="00EF1CC7" w:rsidRDefault="00E4720B" w:rsidP="00E31B2B">
            <w:pPr>
              <w:pStyle w:val="Tablehead"/>
              <w:rPr>
                <w:lang w:val="fr-FR"/>
              </w:rPr>
            </w:pPr>
            <w:r w:rsidRPr="00EF1CC7">
              <w:rPr>
                <w:lang w:val="fr-FR"/>
              </w:rPr>
              <w:t>Groupe du Rapporteur</w:t>
            </w:r>
          </w:p>
        </w:tc>
        <w:tc>
          <w:tcPr>
            <w:tcW w:w="1970" w:type="dxa"/>
            <w:tcBorders>
              <w:top w:val="single" w:sz="12" w:space="0" w:color="auto"/>
              <w:bottom w:val="single" w:sz="12" w:space="0" w:color="auto"/>
            </w:tcBorders>
            <w:shd w:val="clear" w:color="auto" w:fill="auto"/>
            <w:vAlign w:val="center"/>
          </w:tcPr>
          <w:p w14:paraId="6FC1094A" w14:textId="77777777" w:rsidR="00043522" w:rsidRPr="00EF1CC7" w:rsidRDefault="00E4720B" w:rsidP="00E31B2B">
            <w:pPr>
              <w:pStyle w:val="Tablehead"/>
              <w:rPr>
                <w:lang w:val="fr-FR"/>
              </w:rPr>
            </w:pPr>
            <w:r w:rsidRPr="00EF1CC7">
              <w:rPr>
                <w:lang w:val="fr-FR"/>
              </w:rPr>
              <w:t>Nom du Groupe du Rapporteur</w:t>
            </w:r>
          </w:p>
        </w:tc>
        <w:tc>
          <w:tcPr>
            <w:tcW w:w="5812" w:type="dxa"/>
            <w:tcBorders>
              <w:top w:val="single" w:sz="12" w:space="0" w:color="auto"/>
              <w:bottom w:val="single" w:sz="12" w:space="0" w:color="auto"/>
            </w:tcBorders>
            <w:shd w:val="clear" w:color="auto" w:fill="auto"/>
            <w:vAlign w:val="center"/>
          </w:tcPr>
          <w:p w14:paraId="5B8E4FB8" w14:textId="77777777" w:rsidR="00043522" w:rsidRPr="00EF1CC7" w:rsidRDefault="00043522" w:rsidP="00E31B2B">
            <w:pPr>
              <w:pStyle w:val="Tablehead"/>
              <w:rPr>
                <w:lang w:val="fr-FR"/>
              </w:rPr>
            </w:pPr>
            <w:r w:rsidRPr="00EF1CC7">
              <w:rPr>
                <w:lang w:val="fr-FR"/>
              </w:rPr>
              <w:t>Rapporteur/</w:t>
            </w:r>
            <w:r w:rsidRPr="00EF1CC7">
              <w:rPr>
                <w:lang w:val="fr-FR"/>
              </w:rPr>
              <w:br/>
            </w:r>
            <w:r w:rsidR="00E4720B" w:rsidRPr="00EF1CC7">
              <w:rPr>
                <w:lang w:val="fr-FR"/>
              </w:rPr>
              <w:t>Corapporteurs par roulement</w:t>
            </w:r>
          </w:p>
        </w:tc>
      </w:tr>
      <w:tr w:rsidR="00043522" w:rsidRPr="00EF1CC7" w14:paraId="18A0C055" w14:textId="77777777" w:rsidTr="00500DB0">
        <w:trPr>
          <w:cantSplit/>
          <w:jc w:val="center"/>
        </w:trPr>
        <w:tc>
          <w:tcPr>
            <w:tcW w:w="1701" w:type="dxa"/>
            <w:tcBorders>
              <w:top w:val="single" w:sz="4" w:space="0" w:color="auto"/>
              <w:bottom w:val="single" w:sz="4" w:space="0" w:color="auto"/>
            </w:tcBorders>
            <w:shd w:val="clear" w:color="auto" w:fill="auto"/>
          </w:tcPr>
          <w:p w14:paraId="61A497ED" w14:textId="77777777" w:rsidR="00043522" w:rsidRPr="00EF1CC7" w:rsidRDefault="00043522" w:rsidP="00E31B2B">
            <w:pPr>
              <w:pStyle w:val="Tabletext"/>
              <w:rPr>
                <w:rFonts w:asciiTheme="majorBidi" w:hAnsiTheme="majorBidi" w:cstheme="majorBidi"/>
                <w:lang w:val="fr-FR"/>
              </w:rPr>
            </w:pPr>
            <w:r w:rsidRPr="00EF1CC7">
              <w:rPr>
                <w:rFonts w:asciiTheme="majorBidi" w:hAnsiTheme="majorBidi" w:cstheme="majorBidi"/>
                <w:lang w:val="fr-FR"/>
              </w:rPr>
              <w:t>RG-CPTRG</w:t>
            </w:r>
          </w:p>
        </w:tc>
        <w:tc>
          <w:tcPr>
            <w:tcW w:w="1970" w:type="dxa"/>
            <w:tcBorders>
              <w:top w:val="single" w:sz="4" w:space="0" w:color="auto"/>
              <w:bottom w:val="single" w:sz="4" w:space="0" w:color="auto"/>
            </w:tcBorders>
            <w:shd w:val="clear" w:color="auto" w:fill="auto"/>
          </w:tcPr>
          <w:p w14:paraId="02655A82" w14:textId="77777777" w:rsidR="00043522" w:rsidRPr="00EF1CC7" w:rsidRDefault="001800F5" w:rsidP="00E31B2B">
            <w:pPr>
              <w:pStyle w:val="Tabletext"/>
              <w:rPr>
                <w:rFonts w:asciiTheme="majorBidi" w:hAnsiTheme="majorBidi" w:cstheme="majorBidi"/>
                <w:lang w:val="fr-FR"/>
              </w:rPr>
            </w:pPr>
            <w:r w:rsidRPr="00EF1CC7">
              <w:rPr>
                <w:rFonts w:asciiTheme="majorBidi" w:hAnsiTheme="majorBidi" w:cstheme="majorBidi"/>
                <w:lang w:val="fr-FR"/>
              </w:rPr>
              <w:t>Groupes régionaux</w:t>
            </w:r>
          </w:p>
        </w:tc>
        <w:tc>
          <w:tcPr>
            <w:tcW w:w="5812" w:type="dxa"/>
            <w:tcBorders>
              <w:top w:val="single" w:sz="4" w:space="0" w:color="auto"/>
              <w:bottom w:val="single" w:sz="4" w:space="0" w:color="auto"/>
            </w:tcBorders>
            <w:shd w:val="clear" w:color="auto" w:fill="auto"/>
          </w:tcPr>
          <w:p w14:paraId="054DE6ED" w14:textId="77777777" w:rsidR="00043522" w:rsidRPr="00CF3B78" w:rsidRDefault="002A041E" w:rsidP="00E31B2B">
            <w:pPr>
              <w:pStyle w:val="Tabletext"/>
              <w:rPr>
                <w:rFonts w:asciiTheme="majorBidi" w:hAnsiTheme="majorBidi" w:cstheme="majorBidi"/>
                <w:lang w:val="en-US"/>
              </w:rPr>
            </w:pPr>
            <w:r w:rsidRPr="00CF3B78">
              <w:rPr>
                <w:rFonts w:asciiTheme="majorBidi" w:hAnsiTheme="majorBidi" w:cstheme="majorBidi"/>
                <w:lang w:val="en-US"/>
              </w:rPr>
              <w:t>M.</w:t>
            </w:r>
            <w:r w:rsidR="00043522" w:rsidRPr="00CF3B78">
              <w:rPr>
                <w:rFonts w:asciiTheme="majorBidi" w:hAnsiTheme="majorBidi" w:cstheme="majorBidi"/>
                <w:lang w:val="en-US"/>
              </w:rPr>
              <w:t xml:space="preserve"> Kwame B</w:t>
            </w:r>
            <w:r w:rsidR="00317392" w:rsidRPr="00CF3B78">
              <w:rPr>
                <w:rFonts w:asciiTheme="majorBidi" w:hAnsiTheme="majorBidi" w:cstheme="majorBidi"/>
                <w:lang w:val="en-US"/>
              </w:rPr>
              <w:t>aah</w:t>
            </w:r>
            <w:r w:rsidR="00043522" w:rsidRPr="00CF3B78">
              <w:rPr>
                <w:rFonts w:asciiTheme="majorBidi" w:hAnsiTheme="majorBidi" w:cstheme="majorBidi"/>
                <w:lang w:val="en-US"/>
              </w:rPr>
              <w:t>-A</w:t>
            </w:r>
            <w:r w:rsidR="00317392" w:rsidRPr="00CF3B78">
              <w:rPr>
                <w:rFonts w:asciiTheme="majorBidi" w:hAnsiTheme="majorBidi" w:cstheme="majorBidi"/>
                <w:lang w:val="en-US"/>
              </w:rPr>
              <w:t>cheamfuor</w:t>
            </w:r>
            <w:r w:rsidR="00043522" w:rsidRPr="00CF3B78">
              <w:rPr>
                <w:rFonts w:asciiTheme="majorBidi" w:hAnsiTheme="majorBidi" w:cstheme="majorBidi"/>
                <w:lang w:val="en-US"/>
              </w:rPr>
              <w:t xml:space="preserve"> (Ghana).</w:t>
            </w:r>
          </w:p>
        </w:tc>
      </w:tr>
      <w:tr w:rsidR="00043522" w:rsidRPr="00E31B2B" w14:paraId="10DDBE48" w14:textId="77777777" w:rsidTr="00500DB0">
        <w:trPr>
          <w:cantSplit/>
          <w:jc w:val="center"/>
        </w:trPr>
        <w:tc>
          <w:tcPr>
            <w:tcW w:w="1701" w:type="dxa"/>
            <w:tcBorders>
              <w:top w:val="single" w:sz="4" w:space="0" w:color="auto"/>
              <w:bottom w:val="single" w:sz="4" w:space="0" w:color="auto"/>
            </w:tcBorders>
            <w:shd w:val="clear" w:color="auto" w:fill="auto"/>
          </w:tcPr>
          <w:p w14:paraId="69FF4A1E" w14:textId="77777777" w:rsidR="00043522" w:rsidRPr="00EF1CC7" w:rsidRDefault="00043522" w:rsidP="00E31B2B">
            <w:pPr>
              <w:pStyle w:val="Tabletext"/>
              <w:rPr>
                <w:rFonts w:asciiTheme="majorBidi" w:hAnsiTheme="majorBidi" w:cstheme="majorBidi"/>
                <w:lang w:val="fr-FR"/>
              </w:rPr>
            </w:pPr>
            <w:r w:rsidRPr="00EF1CC7">
              <w:rPr>
                <w:rFonts w:asciiTheme="majorBidi" w:hAnsiTheme="majorBidi" w:cstheme="majorBidi"/>
                <w:lang w:val="fr-FR"/>
              </w:rPr>
              <w:t>RG-ResReview</w:t>
            </w:r>
          </w:p>
        </w:tc>
        <w:tc>
          <w:tcPr>
            <w:tcW w:w="1970" w:type="dxa"/>
            <w:tcBorders>
              <w:top w:val="single" w:sz="4" w:space="0" w:color="auto"/>
              <w:bottom w:val="single" w:sz="4" w:space="0" w:color="auto"/>
            </w:tcBorders>
            <w:shd w:val="clear" w:color="auto" w:fill="auto"/>
          </w:tcPr>
          <w:p w14:paraId="01CB5C46" w14:textId="77777777" w:rsidR="00043522" w:rsidRPr="00EF1CC7" w:rsidRDefault="00D740D4" w:rsidP="00E31B2B">
            <w:pPr>
              <w:pStyle w:val="Tabletext"/>
              <w:rPr>
                <w:rFonts w:asciiTheme="majorBidi" w:hAnsiTheme="majorBidi" w:cstheme="majorBidi"/>
                <w:lang w:val="fr-FR"/>
              </w:rPr>
            </w:pPr>
            <w:r w:rsidRPr="00EF1CC7">
              <w:rPr>
                <w:rFonts w:asciiTheme="majorBidi" w:hAnsiTheme="majorBidi" w:cstheme="majorBidi"/>
                <w:lang w:val="fr-FR"/>
              </w:rPr>
              <w:t>Examen des Résolutions</w:t>
            </w:r>
          </w:p>
        </w:tc>
        <w:tc>
          <w:tcPr>
            <w:tcW w:w="5812" w:type="dxa"/>
            <w:tcBorders>
              <w:top w:val="single" w:sz="4" w:space="0" w:color="auto"/>
              <w:bottom w:val="single" w:sz="4" w:space="0" w:color="auto"/>
            </w:tcBorders>
            <w:shd w:val="clear" w:color="auto" w:fill="auto"/>
          </w:tcPr>
          <w:p w14:paraId="719F8C7E" w14:textId="77777777" w:rsidR="00043522" w:rsidRPr="00EF1CC7" w:rsidRDefault="002A041E" w:rsidP="00E31B2B">
            <w:pPr>
              <w:pStyle w:val="Tabletext"/>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Vladimir M</w:t>
            </w:r>
            <w:r w:rsidR="00317392" w:rsidRPr="00EF1CC7">
              <w:rPr>
                <w:rFonts w:asciiTheme="majorBidi" w:hAnsiTheme="majorBidi" w:cstheme="majorBidi"/>
                <w:lang w:val="fr-FR"/>
              </w:rPr>
              <w:t>inkin</w:t>
            </w:r>
            <w:r w:rsidR="00043522" w:rsidRPr="00EF1CC7">
              <w:rPr>
                <w:rFonts w:asciiTheme="majorBidi" w:hAnsiTheme="majorBidi" w:cstheme="majorBidi"/>
                <w:lang w:val="fr-FR"/>
              </w:rPr>
              <w:t xml:space="preserve">, </w:t>
            </w:r>
            <w:r w:rsidR="00317392" w:rsidRPr="00EF1CC7">
              <w:rPr>
                <w:rFonts w:asciiTheme="majorBidi" w:hAnsiTheme="majorBidi" w:cstheme="majorBidi"/>
                <w:lang w:val="fr-FR"/>
              </w:rPr>
              <w:t>Fédération de Russie</w:t>
            </w:r>
            <w:r w:rsidR="00043522" w:rsidRPr="00EF1CC7">
              <w:rPr>
                <w:rFonts w:asciiTheme="majorBidi" w:hAnsiTheme="majorBidi" w:cstheme="majorBidi"/>
                <w:lang w:val="fr-FR"/>
              </w:rPr>
              <w:t>.</w:t>
            </w:r>
          </w:p>
        </w:tc>
      </w:tr>
      <w:tr w:rsidR="00043522" w:rsidRPr="00EF1CC7" w14:paraId="58138986" w14:textId="77777777" w:rsidTr="00500DB0">
        <w:trPr>
          <w:cantSplit/>
          <w:jc w:val="center"/>
        </w:trPr>
        <w:tc>
          <w:tcPr>
            <w:tcW w:w="1701" w:type="dxa"/>
            <w:tcBorders>
              <w:top w:val="single" w:sz="4" w:space="0" w:color="auto"/>
              <w:bottom w:val="single" w:sz="4" w:space="0" w:color="auto"/>
            </w:tcBorders>
            <w:shd w:val="clear" w:color="auto" w:fill="auto"/>
          </w:tcPr>
          <w:p w14:paraId="25D987FB" w14:textId="77777777" w:rsidR="00043522" w:rsidRPr="00EF1CC7" w:rsidRDefault="00043522" w:rsidP="00E31B2B">
            <w:pPr>
              <w:pStyle w:val="Tabletext"/>
              <w:rPr>
                <w:rFonts w:asciiTheme="majorBidi" w:hAnsiTheme="majorBidi" w:cstheme="majorBidi"/>
                <w:lang w:val="fr-FR"/>
              </w:rPr>
            </w:pPr>
            <w:r w:rsidRPr="00EF1CC7">
              <w:rPr>
                <w:rFonts w:asciiTheme="majorBidi" w:hAnsiTheme="majorBidi" w:cstheme="majorBidi"/>
                <w:lang w:val="fr-FR"/>
              </w:rPr>
              <w:t>RG-SC</w:t>
            </w:r>
          </w:p>
        </w:tc>
        <w:tc>
          <w:tcPr>
            <w:tcW w:w="1970" w:type="dxa"/>
            <w:tcBorders>
              <w:top w:val="single" w:sz="4" w:space="0" w:color="auto"/>
              <w:bottom w:val="single" w:sz="4" w:space="0" w:color="auto"/>
            </w:tcBorders>
            <w:shd w:val="clear" w:color="auto" w:fill="auto"/>
          </w:tcPr>
          <w:p w14:paraId="25426806" w14:textId="77777777" w:rsidR="00043522" w:rsidRPr="00EF1CC7" w:rsidRDefault="00D740D4" w:rsidP="00E31B2B">
            <w:pPr>
              <w:pStyle w:val="Tabletext"/>
              <w:rPr>
                <w:rFonts w:asciiTheme="majorBidi" w:hAnsiTheme="majorBidi" w:cstheme="majorBidi"/>
                <w:lang w:val="fr-FR"/>
              </w:rPr>
            </w:pPr>
            <w:r w:rsidRPr="00EF1CC7">
              <w:rPr>
                <w:rFonts w:asciiTheme="majorBidi" w:hAnsiTheme="majorBidi" w:cstheme="majorBidi"/>
                <w:lang w:val="fr-FR"/>
              </w:rPr>
              <w:t>Renforcement de la collaboration</w:t>
            </w:r>
          </w:p>
        </w:tc>
        <w:tc>
          <w:tcPr>
            <w:tcW w:w="5812" w:type="dxa"/>
            <w:tcBorders>
              <w:top w:val="single" w:sz="4" w:space="0" w:color="auto"/>
              <w:bottom w:val="single" w:sz="4" w:space="0" w:color="auto"/>
            </w:tcBorders>
            <w:shd w:val="clear" w:color="auto" w:fill="auto"/>
          </w:tcPr>
          <w:p w14:paraId="7F9D7EB9" w14:textId="77777777" w:rsidR="00043522" w:rsidRPr="00EF1CC7" w:rsidRDefault="002A041E" w:rsidP="00E31B2B">
            <w:pPr>
              <w:pStyle w:val="Tabletext"/>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Glenn P</w:t>
            </w:r>
            <w:r w:rsidR="00317392" w:rsidRPr="00EF1CC7">
              <w:rPr>
                <w:rFonts w:asciiTheme="majorBidi" w:hAnsiTheme="majorBidi" w:cstheme="majorBidi"/>
                <w:lang w:val="fr-FR"/>
              </w:rPr>
              <w:t>arsons</w:t>
            </w:r>
            <w:r w:rsidR="00043522" w:rsidRPr="00EF1CC7">
              <w:rPr>
                <w:rFonts w:asciiTheme="majorBidi" w:hAnsiTheme="majorBidi" w:cstheme="majorBidi"/>
                <w:lang w:val="fr-FR"/>
              </w:rPr>
              <w:t>, Ericsson Canada.</w:t>
            </w:r>
          </w:p>
        </w:tc>
      </w:tr>
      <w:tr w:rsidR="00043522" w:rsidRPr="00EF1CC7" w14:paraId="5F8CD124" w14:textId="77777777" w:rsidTr="00500DB0">
        <w:trPr>
          <w:cantSplit/>
          <w:jc w:val="center"/>
        </w:trPr>
        <w:tc>
          <w:tcPr>
            <w:tcW w:w="1701" w:type="dxa"/>
            <w:tcBorders>
              <w:top w:val="single" w:sz="4" w:space="0" w:color="auto"/>
              <w:bottom w:val="single" w:sz="4" w:space="0" w:color="auto"/>
            </w:tcBorders>
            <w:shd w:val="clear" w:color="auto" w:fill="auto"/>
          </w:tcPr>
          <w:p w14:paraId="008FBF83" w14:textId="77777777" w:rsidR="00043522" w:rsidRPr="00EF1CC7" w:rsidRDefault="00043522" w:rsidP="00E31B2B">
            <w:pPr>
              <w:pStyle w:val="Tabletext"/>
              <w:rPr>
                <w:rFonts w:asciiTheme="majorBidi" w:hAnsiTheme="majorBidi" w:cstheme="majorBidi"/>
                <w:lang w:val="fr-FR"/>
              </w:rPr>
            </w:pPr>
            <w:r w:rsidRPr="00EF1CC7">
              <w:rPr>
                <w:rFonts w:asciiTheme="majorBidi" w:hAnsiTheme="majorBidi" w:cstheme="majorBidi"/>
                <w:lang w:val="fr-FR"/>
              </w:rPr>
              <w:t>RG-SOP</w:t>
            </w:r>
          </w:p>
        </w:tc>
        <w:tc>
          <w:tcPr>
            <w:tcW w:w="1970" w:type="dxa"/>
            <w:tcBorders>
              <w:top w:val="single" w:sz="4" w:space="0" w:color="auto"/>
              <w:bottom w:val="single" w:sz="4" w:space="0" w:color="auto"/>
            </w:tcBorders>
            <w:shd w:val="clear" w:color="auto" w:fill="auto"/>
          </w:tcPr>
          <w:p w14:paraId="25B2B24C" w14:textId="77777777" w:rsidR="00043522" w:rsidRPr="00EF1CC7" w:rsidRDefault="00D740D4" w:rsidP="00E31B2B">
            <w:pPr>
              <w:pStyle w:val="Tabletext"/>
              <w:rPr>
                <w:rFonts w:asciiTheme="majorBidi" w:hAnsiTheme="majorBidi" w:cstheme="majorBidi"/>
                <w:lang w:val="fr-FR"/>
              </w:rPr>
            </w:pPr>
            <w:r w:rsidRPr="00EF1CC7">
              <w:rPr>
                <w:rFonts w:asciiTheme="majorBidi" w:hAnsiTheme="majorBidi" w:cstheme="majorBidi"/>
                <w:lang w:val="fr-FR"/>
              </w:rPr>
              <w:t>Plan stratégique et plan opérationnel</w:t>
            </w:r>
          </w:p>
        </w:tc>
        <w:tc>
          <w:tcPr>
            <w:tcW w:w="5812" w:type="dxa"/>
            <w:tcBorders>
              <w:top w:val="single" w:sz="4" w:space="0" w:color="auto"/>
              <w:bottom w:val="single" w:sz="4" w:space="0" w:color="auto"/>
            </w:tcBorders>
            <w:shd w:val="clear" w:color="auto" w:fill="auto"/>
          </w:tcPr>
          <w:p w14:paraId="536EDFCE" w14:textId="77777777" w:rsidR="00043522" w:rsidRPr="00EF1CC7" w:rsidRDefault="002A041E" w:rsidP="00E31B2B">
            <w:pPr>
              <w:pStyle w:val="Tabletext"/>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Victor M</w:t>
            </w:r>
            <w:r w:rsidR="00317392" w:rsidRPr="00EF1CC7">
              <w:rPr>
                <w:rFonts w:asciiTheme="majorBidi" w:hAnsiTheme="majorBidi" w:cstheme="majorBidi"/>
                <w:lang w:val="fr-FR"/>
              </w:rPr>
              <w:t>artinez</w:t>
            </w:r>
            <w:r w:rsidR="00043522" w:rsidRPr="00EF1CC7">
              <w:rPr>
                <w:rFonts w:asciiTheme="majorBidi" w:hAnsiTheme="majorBidi" w:cstheme="majorBidi"/>
                <w:lang w:val="fr-FR"/>
              </w:rPr>
              <w:t xml:space="preserve"> V</w:t>
            </w:r>
            <w:r w:rsidR="00317392" w:rsidRPr="00EF1CC7">
              <w:rPr>
                <w:rFonts w:asciiTheme="majorBidi" w:hAnsiTheme="majorBidi" w:cstheme="majorBidi"/>
                <w:lang w:val="fr-FR"/>
              </w:rPr>
              <w:t>anegas</w:t>
            </w:r>
            <w:r w:rsidR="00043522" w:rsidRPr="00EF1CC7">
              <w:rPr>
                <w:rFonts w:asciiTheme="majorBidi" w:hAnsiTheme="majorBidi" w:cstheme="majorBidi"/>
                <w:lang w:val="fr-FR"/>
              </w:rPr>
              <w:t xml:space="preserve">, </w:t>
            </w:r>
            <w:r w:rsidR="00317392" w:rsidRPr="00EF1CC7">
              <w:rPr>
                <w:rFonts w:asciiTheme="majorBidi" w:hAnsiTheme="majorBidi" w:cstheme="majorBidi"/>
                <w:lang w:val="fr-FR"/>
              </w:rPr>
              <w:t>Mexique</w:t>
            </w:r>
            <w:r w:rsidR="00043522" w:rsidRPr="00EF1CC7">
              <w:rPr>
                <w:rFonts w:asciiTheme="majorBidi" w:hAnsiTheme="majorBidi" w:cstheme="majorBidi"/>
                <w:lang w:val="fr-FR"/>
              </w:rPr>
              <w:t>.</w:t>
            </w:r>
          </w:p>
        </w:tc>
      </w:tr>
      <w:tr w:rsidR="00043522" w:rsidRPr="00E31B2B" w14:paraId="0C78F511" w14:textId="77777777" w:rsidTr="00500DB0">
        <w:trPr>
          <w:cantSplit/>
          <w:jc w:val="center"/>
        </w:trPr>
        <w:tc>
          <w:tcPr>
            <w:tcW w:w="1701" w:type="dxa"/>
            <w:tcBorders>
              <w:top w:val="single" w:sz="4" w:space="0" w:color="auto"/>
            </w:tcBorders>
            <w:shd w:val="clear" w:color="auto" w:fill="auto"/>
          </w:tcPr>
          <w:p w14:paraId="3840386E" w14:textId="77777777" w:rsidR="00043522" w:rsidRPr="00EF1CC7" w:rsidRDefault="00043522" w:rsidP="00E31B2B">
            <w:pPr>
              <w:pStyle w:val="Tabletext"/>
              <w:rPr>
                <w:lang w:val="fr-FR"/>
              </w:rPr>
            </w:pPr>
            <w:r w:rsidRPr="00EF1CC7">
              <w:rPr>
                <w:rFonts w:asciiTheme="majorBidi" w:hAnsiTheme="majorBidi" w:cstheme="majorBidi"/>
                <w:lang w:val="fr-FR"/>
              </w:rPr>
              <w:t>RG-StdsStrat</w:t>
            </w:r>
          </w:p>
        </w:tc>
        <w:tc>
          <w:tcPr>
            <w:tcW w:w="1970" w:type="dxa"/>
            <w:tcBorders>
              <w:top w:val="single" w:sz="4" w:space="0" w:color="auto"/>
            </w:tcBorders>
            <w:shd w:val="clear" w:color="auto" w:fill="auto"/>
          </w:tcPr>
          <w:p w14:paraId="12C1B273" w14:textId="77777777" w:rsidR="00043522" w:rsidRPr="00EF1CC7" w:rsidRDefault="00434C35" w:rsidP="00E31B2B">
            <w:pPr>
              <w:pStyle w:val="Tabletext"/>
              <w:rPr>
                <w:lang w:val="fr-FR"/>
              </w:rPr>
            </w:pPr>
            <w:r w:rsidRPr="00EF1CC7">
              <w:rPr>
                <w:rFonts w:asciiTheme="majorBidi" w:hAnsiTheme="majorBidi" w:cstheme="majorBidi"/>
                <w:lang w:val="fr-FR"/>
              </w:rPr>
              <w:t>Stratégie en matière de normalisation</w:t>
            </w:r>
          </w:p>
        </w:tc>
        <w:tc>
          <w:tcPr>
            <w:tcW w:w="5812" w:type="dxa"/>
            <w:tcBorders>
              <w:top w:val="single" w:sz="4" w:space="0" w:color="auto"/>
            </w:tcBorders>
            <w:shd w:val="clear" w:color="auto" w:fill="auto"/>
          </w:tcPr>
          <w:p w14:paraId="2BE79B21" w14:textId="77777777" w:rsidR="00043522" w:rsidRPr="00EF1CC7" w:rsidRDefault="002A041E" w:rsidP="00E31B2B">
            <w:pPr>
              <w:pStyle w:val="Tabletext"/>
              <w:spacing w:before="120"/>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Yoichi M</w:t>
            </w:r>
            <w:r w:rsidR="00317392" w:rsidRPr="00EF1CC7">
              <w:rPr>
                <w:rFonts w:asciiTheme="majorBidi" w:hAnsiTheme="majorBidi" w:cstheme="majorBidi"/>
                <w:lang w:val="fr-FR"/>
              </w:rPr>
              <w:t>aeda</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 xml:space="preserve">, </w:t>
            </w:r>
            <w:r w:rsidR="00317392" w:rsidRPr="00EF1CC7">
              <w:rPr>
                <w:rFonts w:asciiTheme="majorBidi" w:hAnsiTheme="majorBidi" w:cstheme="majorBidi"/>
                <w:lang w:val="fr-FR"/>
              </w:rPr>
              <w:t>Japon</w:t>
            </w:r>
            <w:r w:rsidR="00043522" w:rsidRPr="00EF1CC7">
              <w:rPr>
                <w:rFonts w:asciiTheme="majorBidi" w:hAnsiTheme="majorBidi" w:cstheme="majorBidi"/>
                <w:lang w:val="fr-FR"/>
              </w:rPr>
              <w:t>;</w:t>
            </w:r>
          </w:p>
          <w:p w14:paraId="6F37010D" w14:textId="77777777" w:rsidR="00043522" w:rsidRPr="00EF1CC7" w:rsidRDefault="002A041E" w:rsidP="00E31B2B">
            <w:pPr>
              <w:pStyle w:val="Tabletext"/>
              <w:spacing w:before="120"/>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Stephen H</w:t>
            </w:r>
            <w:r w:rsidR="00317392" w:rsidRPr="00EF1CC7">
              <w:rPr>
                <w:rFonts w:asciiTheme="majorBidi" w:hAnsiTheme="majorBidi" w:cstheme="majorBidi"/>
                <w:lang w:val="fr-FR"/>
              </w:rPr>
              <w:t>ayes</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 xml:space="preserve">, Ericsson, </w:t>
            </w:r>
            <w:r w:rsidR="00317392" w:rsidRPr="00EF1CC7">
              <w:rPr>
                <w:rFonts w:asciiTheme="majorBidi" w:hAnsiTheme="majorBidi" w:cstheme="majorBidi"/>
                <w:lang w:val="fr-FR"/>
              </w:rPr>
              <w:t>États-Unis</w:t>
            </w:r>
            <w:r w:rsidR="00043522" w:rsidRPr="00EF1CC7">
              <w:rPr>
                <w:rFonts w:asciiTheme="majorBidi" w:hAnsiTheme="majorBidi" w:cstheme="majorBidi"/>
                <w:lang w:val="fr-FR"/>
              </w:rPr>
              <w:t>;</w:t>
            </w:r>
          </w:p>
          <w:p w14:paraId="2C30352D" w14:textId="77777777" w:rsidR="00043522" w:rsidRPr="00EF1CC7" w:rsidRDefault="002A041E" w:rsidP="00E31B2B">
            <w:pPr>
              <w:pStyle w:val="Tabletext"/>
              <w:spacing w:before="120"/>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Didier B</w:t>
            </w:r>
            <w:r w:rsidR="00317392" w:rsidRPr="00EF1CC7">
              <w:rPr>
                <w:rFonts w:asciiTheme="majorBidi" w:hAnsiTheme="majorBidi" w:cstheme="majorBidi"/>
                <w:lang w:val="fr-FR"/>
              </w:rPr>
              <w:t>erthoumieux</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 Nokia Bell Labs, France;</w:t>
            </w:r>
          </w:p>
          <w:p w14:paraId="5074D717" w14:textId="77777777" w:rsidR="00043522" w:rsidRPr="00EF1CC7" w:rsidRDefault="002A041E" w:rsidP="00E31B2B">
            <w:pPr>
              <w:pStyle w:val="Tabletext"/>
              <w:spacing w:before="120"/>
              <w:rPr>
                <w:rFonts w:asciiTheme="majorBidi" w:hAnsiTheme="majorBidi" w:cstheme="majorBidi"/>
                <w:lang w:val="fr-FR"/>
              </w:rPr>
            </w:pPr>
            <w:r w:rsidRPr="00EF1CC7">
              <w:rPr>
                <w:rFonts w:asciiTheme="majorBidi" w:hAnsiTheme="majorBidi" w:cstheme="majorBidi"/>
                <w:lang w:val="fr-FR"/>
              </w:rPr>
              <w:t>Mme</w:t>
            </w:r>
            <w:r w:rsidR="00043522" w:rsidRPr="00EF1CC7">
              <w:rPr>
                <w:rFonts w:asciiTheme="majorBidi" w:hAnsiTheme="majorBidi" w:cstheme="majorBidi"/>
                <w:lang w:val="fr-FR"/>
              </w:rPr>
              <w:t xml:space="preserve"> Rim B</w:t>
            </w:r>
            <w:r w:rsidR="00317392" w:rsidRPr="00EF1CC7">
              <w:rPr>
                <w:rFonts w:asciiTheme="majorBidi" w:hAnsiTheme="majorBidi" w:cstheme="majorBidi"/>
                <w:lang w:val="fr-FR"/>
              </w:rPr>
              <w:t>elhassine</w:t>
            </w:r>
            <w:r w:rsidR="00043522" w:rsidRPr="00EF1CC7">
              <w:rPr>
                <w:rFonts w:asciiTheme="majorBidi" w:hAnsiTheme="majorBidi" w:cstheme="majorBidi"/>
                <w:lang w:val="fr-FR"/>
              </w:rPr>
              <w:t>-C</w:t>
            </w:r>
            <w:r w:rsidR="00317392" w:rsidRPr="00EF1CC7">
              <w:rPr>
                <w:rFonts w:asciiTheme="majorBidi" w:hAnsiTheme="majorBidi" w:cstheme="majorBidi"/>
                <w:lang w:val="fr-FR"/>
              </w:rPr>
              <w:t>herif</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 xml:space="preserve">, Tunisie Telecom, </w:t>
            </w:r>
            <w:r w:rsidR="00317392" w:rsidRPr="00EF1CC7">
              <w:rPr>
                <w:rFonts w:asciiTheme="majorBidi" w:hAnsiTheme="majorBidi" w:cstheme="majorBidi"/>
                <w:lang w:val="fr-FR"/>
              </w:rPr>
              <w:t>Tunisie</w:t>
            </w:r>
            <w:r w:rsidR="00043522" w:rsidRPr="00EF1CC7">
              <w:rPr>
                <w:rFonts w:asciiTheme="majorBidi" w:hAnsiTheme="majorBidi" w:cstheme="majorBidi"/>
                <w:lang w:val="fr-FR"/>
              </w:rPr>
              <w:t>;</w:t>
            </w:r>
          </w:p>
          <w:p w14:paraId="2D6C5BBB" w14:textId="77777777" w:rsidR="00043522" w:rsidRPr="00EF1CC7" w:rsidRDefault="002A041E" w:rsidP="00E31B2B">
            <w:pPr>
              <w:pStyle w:val="Tabletext"/>
              <w:spacing w:before="120"/>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Vasily D</w:t>
            </w:r>
            <w:r w:rsidR="00317392" w:rsidRPr="00EF1CC7">
              <w:rPr>
                <w:rFonts w:asciiTheme="majorBidi" w:hAnsiTheme="majorBidi" w:cstheme="majorBidi"/>
                <w:lang w:val="fr-FR"/>
              </w:rPr>
              <w:t>olmatov</w:t>
            </w:r>
            <w:r w:rsidR="00043522" w:rsidRPr="00EF1CC7">
              <w:rPr>
                <w:rFonts w:asciiTheme="majorBidi" w:hAnsiTheme="majorBidi" w:cstheme="majorBidi"/>
                <w:lang w:val="fr-FR"/>
              </w:rPr>
              <w:t xml:space="preserve">, </w:t>
            </w:r>
            <w:r w:rsidR="00317392" w:rsidRPr="00EF1CC7">
              <w:rPr>
                <w:rFonts w:asciiTheme="majorBidi" w:hAnsiTheme="majorBidi" w:cstheme="majorBidi"/>
                <w:lang w:val="fr-FR"/>
              </w:rPr>
              <w:t>Fédération de Russie</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w:t>
            </w:r>
          </w:p>
          <w:p w14:paraId="3107EEA0" w14:textId="77777777" w:rsidR="00043522" w:rsidRPr="00EF1CC7" w:rsidRDefault="002A041E" w:rsidP="00E31B2B">
            <w:pPr>
              <w:pStyle w:val="Tabletext"/>
              <w:spacing w:before="120"/>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David W</w:t>
            </w:r>
            <w:r w:rsidR="00317392" w:rsidRPr="00EF1CC7">
              <w:rPr>
                <w:rFonts w:asciiTheme="majorBidi" w:hAnsiTheme="majorBidi" w:cstheme="majorBidi"/>
                <w:lang w:val="fr-FR"/>
              </w:rPr>
              <w:t>ard</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 Cisco;</w:t>
            </w:r>
          </w:p>
          <w:p w14:paraId="185A33DD" w14:textId="77777777" w:rsidR="00043522" w:rsidRPr="00EF1CC7" w:rsidRDefault="002A041E" w:rsidP="00E31B2B">
            <w:pPr>
              <w:pStyle w:val="Tabletext"/>
              <w:spacing w:before="120"/>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Arnaud T</w:t>
            </w:r>
            <w:r w:rsidR="00317392" w:rsidRPr="00EF1CC7">
              <w:rPr>
                <w:rFonts w:asciiTheme="majorBidi" w:hAnsiTheme="majorBidi" w:cstheme="majorBidi"/>
                <w:lang w:val="fr-FR"/>
              </w:rPr>
              <w:t>addei</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 Broadcom (</w:t>
            </w:r>
            <w:r w:rsidR="00317392" w:rsidRPr="00EF1CC7">
              <w:rPr>
                <w:rFonts w:asciiTheme="majorBidi" w:hAnsiTheme="majorBidi" w:cstheme="majorBidi"/>
                <w:lang w:val="fr-FR"/>
              </w:rPr>
              <w:t xml:space="preserve">anciennement </w:t>
            </w:r>
            <w:r w:rsidR="00043522" w:rsidRPr="00EF1CC7">
              <w:rPr>
                <w:rFonts w:asciiTheme="majorBidi" w:hAnsiTheme="majorBidi" w:cstheme="majorBidi"/>
                <w:lang w:val="fr-FR"/>
              </w:rPr>
              <w:t xml:space="preserve">Symantec), </w:t>
            </w:r>
            <w:r w:rsidR="00317392" w:rsidRPr="00EF1CC7">
              <w:rPr>
                <w:rFonts w:asciiTheme="majorBidi" w:hAnsiTheme="majorBidi" w:cstheme="majorBidi"/>
                <w:lang w:val="fr-FR"/>
              </w:rPr>
              <w:t>États</w:t>
            </w:r>
            <w:r w:rsidR="00CF505F" w:rsidRPr="00EF1CC7">
              <w:rPr>
                <w:rFonts w:asciiTheme="majorBidi" w:hAnsiTheme="majorBidi" w:cstheme="majorBidi"/>
                <w:lang w:val="fr-FR"/>
              </w:rPr>
              <w:noBreakHyphen/>
            </w:r>
            <w:r w:rsidR="00317392" w:rsidRPr="00EF1CC7">
              <w:rPr>
                <w:rFonts w:asciiTheme="majorBidi" w:hAnsiTheme="majorBidi" w:cstheme="majorBidi"/>
                <w:lang w:val="fr-FR"/>
              </w:rPr>
              <w:t>Unis</w:t>
            </w:r>
            <w:r w:rsidR="00043522" w:rsidRPr="00EF1CC7">
              <w:rPr>
                <w:rFonts w:asciiTheme="majorBidi" w:hAnsiTheme="majorBidi" w:cstheme="majorBidi"/>
                <w:lang w:val="fr-FR"/>
              </w:rPr>
              <w:t>;</w:t>
            </w:r>
          </w:p>
          <w:p w14:paraId="5784608D" w14:textId="77777777" w:rsidR="00043522" w:rsidRPr="00EF1CC7" w:rsidRDefault="002A041E" w:rsidP="00E31B2B">
            <w:pPr>
              <w:pStyle w:val="Tabletext"/>
              <w:spacing w:before="120"/>
              <w:rPr>
                <w:lang w:val="fr-FR"/>
              </w:rPr>
            </w:pPr>
            <w:r w:rsidRPr="00EF1CC7">
              <w:rPr>
                <w:rFonts w:asciiTheme="majorBidi" w:hAnsiTheme="majorBidi" w:cstheme="majorBidi"/>
                <w:lang w:val="fr-FR"/>
              </w:rPr>
              <w:t>Mme</w:t>
            </w:r>
            <w:r w:rsidR="00043522" w:rsidRPr="00EF1CC7">
              <w:rPr>
                <w:rFonts w:asciiTheme="majorBidi" w:hAnsiTheme="majorBidi" w:cstheme="majorBidi"/>
                <w:lang w:val="fr-FR"/>
              </w:rPr>
              <w:t xml:space="preserve"> Judy Z</w:t>
            </w:r>
            <w:r w:rsidR="00317392" w:rsidRPr="00EF1CC7">
              <w:rPr>
                <w:rFonts w:asciiTheme="majorBidi" w:hAnsiTheme="majorBidi" w:cstheme="majorBidi"/>
                <w:lang w:val="fr-FR"/>
              </w:rPr>
              <w:t>hu</w:t>
            </w:r>
            <w:r w:rsidR="00043522" w:rsidRPr="00EF1CC7">
              <w:rPr>
                <w:rFonts w:asciiTheme="majorBidi" w:hAnsiTheme="majorBidi" w:cstheme="majorBidi"/>
                <w:lang w:val="fr-FR"/>
              </w:rPr>
              <w:t xml:space="preserve">, Alibaba Group, </w:t>
            </w:r>
            <w:r w:rsidR="00317392" w:rsidRPr="00EF1CC7">
              <w:rPr>
                <w:rFonts w:asciiTheme="majorBidi" w:hAnsiTheme="majorBidi" w:cstheme="majorBidi"/>
                <w:lang w:val="fr-FR"/>
              </w:rPr>
              <w:t xml:space="preserve">Chine </w:t>
            </w:r>
            <w:r w:rsidR="00043522" w:rsidRPr="00EF1CC7">
              <w:rPr>
                <w:rFonts w:asciiTheme="majorBidi" w:hAnsiTheme="majorBidi" w:cstheme="majorBidi"/>
                <w:lang w:val="fr-FR"/>
              </w:rPr>
              <w:t>(</w:t>
            </w:r>
            <w:r w:rsidR="00317392" w:rsidRPr="00EF1CC7">
              <w:rPr>
                <w:rFonts w:asciiTheme="majorBidi" w:hAnsiTheme="majorBidi" w:cstheme="majorBidi"/>
                <w:lang w:val="fr-FR"/>
              </w:rPr>
              <w:t>République populaire de</w:t>
            </w:r>
            <w:r w:rsidR="00043522" w:rsidRPr="00EF1CC7">
              <w:rPr>
                <w:rFonts w:asciiTheme="majorBidi" w:hAnsiTheme="majorBidi" w:cstheme="majorBidi"/>
                <w:lang w:val="fr-FR"/>
              </w:rPr>
              <w:t>).</w:t>
            </w:r>
          </w:p>
        </w:tc>
      </w:tr>
      <w:tr w:rsidR="00043522" w:rsidRPr="00E31B2B" w14:paraId="552683CD" w14:textId="77777777" w:rsidTr="00500DB0">
        <w:trPr>
          <w:cantSplit/>
          <w:jc w:val="center"/>
        </w:trPr>
        <w:tc>
          <w:tcPr>
            <w:tcW w:w="1701" w:type="dxa"/>
            <w:tcBorders>
              <w:top w:val="single" w:sz="4" w:space="0" w:color="auto"/>
              <w:bottom w:val="single" w:sz="4" w:space="0" w:color="auto"/>
            </w:tcBorders>
            <w:shd w:val="clear" w:color="auto" w:fill="auto"/>
          </w:tcPr>
          <w:p w14:paraId="175E399C" w14:textId="77777777" w:rsidR="00043522" w:rsidRPr="00EF1CC7" w:rsidRDefault="00043522" w:rsidP="00E31B2B">
            <w:pPr>
              <w:pStyle w:val="Tabletext"/>
              <w:rPr>
                <w:rFonts w:asciiTheme="majorBidi" w:hAnsiTheme="majorBidi" w:cstheme="majorBidi"/>
                <w:lang w:val="fr-FR"/>
              </w:rPr>
            </w:pPr>
            <w:r w:rsidRPr="00EF1CC7">
              <w:rPr>
                <w:rFonts w:asciiTheme="majorBidi" w:hAnsiTheme="majorBidi" w:cstheme="majorBidi"/>
                <w:lang w:val="fr-FR"/>
              </w:rPr>
              <w:t>RG-WM</w:t>
            </w:r>
          </w:p>
        </w:tc>
        <w:tc>
          <w:tcPr>
            <w:tcW w:w="1970" w:type="dxa"/>
            <w:tcBorders>
              <w:top w:val="single" w:sz="4" w:space="0" w:color="auto"/>
              <w:bottom w:val="single" w:sz="4" w:space="0" w:color="auto"/>
            </w:tcBorders>
            <w:shd w:val="clear" w:color="auto" w:fill="auto"/>
          </w:tcPr>
          <w:p w14:paraId="14D4E480" w14:textId="77777777" w:rsidR="00043522" w:rsidRPr="00EF1CC7" w:rsidRDefault="00AC312E" w:rsidP="00E31B2B">
            <w:pPr>
              <w:pStyle w:val="Tabletext"/>
              <w:rPr>
                <w:rFonts w:asciiTheme="majorBidi" w:hAnsiTheme="majorBidi" w:cstheme="majorBidi"/>
                <w:lang w:val="fr-FR"/>
              </w:rPr>
            </w:pPr>
            <w:r w:rsidRPr="00EF1CC7">
              <w:rPr>
                <w:rFonts w:asciiTheme="majorBidi" w:hAnsiTheme="majorBidi" w:cstheme="majorBidi"/>
                <w:lang w:val="fr-FR"/>
              </w:rPr>
              <w:t>Méthodes de travail</w:t>
            </w:r>
          </w:p>
        </w:tc>
        <w:tc>
          <w:tcPr>
            <w:tcW w:w="5812" w:type="dxa"/>
            <w:tcBorders>
              <w:top w:val="single" w:sz="4" w:space="0" w:color="auto"/>
              <w:bottom w:val="single" w:sz="4" w:space="0" w:color="auto"/>
            </w:tcBorders>
            <w:shd w:val="clear" w:color="auto" w:fill="auto"/>
          </w:tcPr>
          <w:p w14:paraId="464EB946" w14:textId="77777777" w:rsidR="00043522" w:rsidRPr="00EF1CC7" w:rsidRDefault="002A041E" w:rsidP="00E31B2B">
            <w:pPr>
              <w:pStyle w:val="Tabletext"/>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Steve T</w:t>
            </w:r>
            <w:r w:rsidR="00317392" w:rsidRPr="00EF1CC7">
              <w:rPr>
                <w:rFonts w:asciiTheme="majorBidi" w:hAnsiTheme="majorBidi" w:cstheme="majorBidi"/>
                <w:lang w:val="fr-FR"/>
              </w:rPr>
              <w:t>rowbridge</w:t>
            </w:r>
            <w:r w:rsidR="00043522" w:rsidRPr="00EF1CC7">
              <w:rPr>
                <w:rFonts w:asciiTheme="majorBidi" w:hAnsiTheme="majorBidi" w:cstheme="majorBidi"/>
                <w:lang w:val="fr-FR"/>
              </w:rPr>
              <w:t>, Nokia (</w:t>
            </w:r>
            <w:r w:rsidR="005F6B1E" w:rsidRPr="00EF1CC7">
              <w:rPr>
                <w:rFonts w:asciiTheme="majorBidi" w:hAnsiTheme="majorBidi" w:cstheme="majorBidi"/>
                <w:lang w:val="fr-FR"/>
              </w:rPr>
              <w:t>États-Unis</w:t>
            </w:r>
            <w:r w:rsidR="00043522" w:rsidRPr="00EF1CC7">
              <w:rPr>
                <w:rFonts w:asciiTheme="majorBidi" w:hAnsiTheme="majorBidi" w:cstheme="majorBidi"/>
                <w:lang w:val="fr-FR"/>
              </w:rPr>
              <w:t xml:space="preserve">), </w:t>
            </w:r>
            <w:r w:rsidR="00317392" w:rsidRPr="00EF1CC7">
              <w:rPr>
                <w:rFonts w:asciiTheme="majorBidi" w:hAnsiTheme="majorBidi" w:cstheme="majorBidi"/>
                <w:lang w:val="fr-FR"/>
              </w:rPr>
              <w:t>États-Unis</w:t>
            </w:r>
            <w:r w:rsidR="00043522" w:rsidRPr="00EF1CC7">
              <w:rPr>
                <w:rFonts w:asciiTheme="majorBidi" w:hAnsiTheme="majorBidi" w:cstheme="majorBidi"/>
                <w:lang w:val="fr-FR"/>
              </w:rPr>
              <w:t>.</w:t>
            </w:r>
          </w:p>
        </w:tc>
      </w:tr>
      <w:tr w:rsidR="00043522" w:rsidRPr="00E31B2B" w14:paraId="67D3D454" w14:textId="77777777" w:rsidTr="00500DB0">
        <w:trPr>
          <w:cantSplit/>
          <w:jc w:val="center"/>
        </w:trPr>
        <w:tc>
          <w:tcPr>
            <w:tcW w:w="1701" w:type="dxa"/>
            <w:tcBorders>
              <w:top w:val="single" w:sz="4" w:space="0" w:color="auto"/>
              <w:bottom w:val="single" w:sz="4" w:space="0" w:color="auto"/>
            </w:tcBorders>
            <w:shd w:val="clear" w:color="auto" w:fill="auto"/>
          </w:tcPr>
          <w:p w14:paraId="419B335A" w14:textId="77777777" w:rsidR="00043522" w:rsidRPr="00EF1CC7" w:rsidRDefault="00043522" w:rsidP="00E31B2B">
            <w:pPr>
              <w:pStyle w:val="Tabletext"/>
              <w:rPr>
                <w:rFonts w:asciiTheme="majorBidi" w:hAnsiTheme="majorBidi" w:cstheme="majorBidi"/>
                <w:lang w:val="fr-FR"/>
              </w:rPr>
            </w:pPr>
            <w:r w:rsidRPr="00EF1CC7">
              <w:rPr>
                <w:rFonts w:asciiTheme="majorBidi" w:hAnsiTheme="majorBidi" w:cstheme="majorBidi"/>
                <w:lang w:val="fr-FR"/>
              </w:rPr>
              <w:t>RG-WP</w:t>
            </w:r>
          </w:p>
        </w:tc>
        <w:tc>
          <w:tcPr>
            <w:tcW w:w="1970" w:type="dxa"/>
            <w:tcBorders>
              <w:top w:val="single" w:sz="4" w:space="0" w:color="auto"/>
              <w:bottom w:val="single" w:sz="4" w:space="0" w:color="auto"/>
            </w:tcBorders>
            <w:shd w:val="clear" w:color="auto" w:fill="auto"/>
          </w:tcPr>
          <w:p w14:paraId="7A0DE267" w14:textId="1A3F97B6" w:rsidR="00043522" w:rsidRPr="00EF1CC7" w:rsidRDefault="0057057A" w:rsidP="00E31B2B">
            <w:pPr>
              <w:pStyle w:val="Tabletext"/>
              <w:rPr>
                <w:rFonts w:asciiTheme="majorBidi" w:hAnsiTheme="majorBidi" w:cstheme="majorBidi"/>
                <w:lang w:val="fr-FR"/>
              </w:rPr>
            </w:pPr>
            <w:r w:rsidRPr="00EF1CC7">
              <w:rPr>
                <w:rFonts w:asciiTheme="majorBidi" w:hAnsiTheme="majorBidi" w:cstheme="majorBidi"/>
                <w:lang w:val="fr-FR"/>
              </w:rPr>
              <w:t>Programme de travail et structure des commissions d</w:t>
            </w:r>
            <w:r w:rsidR="00E31B2B">
              <w:rPr>
                <w:rFonts w:asciiTheme="majorBidi" w:hAnsiTheme="majorBidi" w:cstheme="majorBidi"/>
                <w:lang w:val="fr-FR"/>
              </w:rPr>
              <w:t>'</w:t>
            </w:r>
            <w:r w:rsidRPr="00EF1CC7">
              <w:rPr>
                <w:rFonts w:asciiTheme="majorBidi" w:hAnsiTheme="majorBidi" w:cstheme="majorBidi"/>
                <w:lang w:val="fr-FR"/>
              </w:rPr>
              <w:t>études</w:t>
            </w:r>
          </w:p>
        </w:tc>
        <w:tc>
          <w:tcPr>
            <w:tcW w:w="5812" w:type="dxa"/>
            <w:tcBorders>
              <w:top w:val="single" w:sz="4" w:space="0" w:color="auto"/>
              <w:bottom w:val="single" w:sz="4" w:space="0" w:color="auto"/>
            </w:tcBorders>
            <w:shd w:val="clear" w:color="auto" w:fill="auto"/>
          </w:tcPr>
          <w:p w14:paraId="01B37A0A" w14:textId="77777777" w:rsidR="00043522" w:rsidRPr="00EF1CC7" w:rsidRDefault="002A041E" w:rsidP="00E31B2B">
            <w:pPr>
              <w:pStyle w:val="Tabletext"/>
              <w:rPr>
                <w:rFonts w:asciiTheme="majorBidi" w:hAnsiTheme="majorBidi" w:cstheme="majorBidi"/>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Reiner L</w:t>
            </w:r>
            <w:r w:rsidR="00317392" w:rsidRPr="00EF1CC7">
              <w:rPr>
                <w:rFonts w:asciiTheme="majorBidi" w:hAnsiTheme="majorBidi" w:cstheme="majorBidi"/>
                <w:lang w:val="fr-FR"/>
              </w:rPr>
              <w:t>iebler</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 xml:space="preserve">, </w:t>
            </w:r>
            <w:r w:rsidR="005F6B1E" w:rsidRPr="00EF1CC7">
              <w:rPr>
                <w:rFonts w:asciiTheme="majorBidi" w:hAnsiTheme="majorBidi" w:cstheme="majorBidi"/>
                <w:lang w:val="fr-FR"/>
              </w:rPr>
              <w:t>Allemagne</w:t>
            </w:r>
            <w:r w:rsidR="00043522" w:rsidRPr="00EF1CC7">
              <w:rPr>
                <w:rFonts w:asciiTheme="majorBidi" w:hAnsiTheme="majorBidi" w:cstheme="majorBidi"/>
                <w:lang w:val="fr-FR"/>
              </w:rPr>
              <w:t>.</w:t>
            </w:r>
          </w:p>
          <w:p w14:paraId="5D5D8568" w14:textId="77777777" w:rsidR="00043522" w:rsidRPr="00EF1CC7" w:rsidRDefault="002A041E" w:rsidP="00E31B2B">
            <w:pPr>
              <w:pStyle w:val="Tabletext"/>
              <w:rPr>
                <w:rFonts w:asciiTheme="majorBidi" w:hAnsiTheme="majorBidi" w:cstheme="majorBidi"/>
                <w:lang w:val="fr-FR"/>
              </w:rPr>
            </w:pPr>
            <w:r w:rsidRPr="00EF1CC7">
              <w:rPr>
                <w:rFonts w:asciiTheme="majorBidi" w:hAnsiTheme="majorBidi" w:cstheme="majorBidi"/>
                <w:lang w:val="fr-FR"/>
              </w:rPr>
              <w:t>Mme</w:t>
            </w:r>
            <w:r w:rsidR="00043522" w:rsidRPr="00EF1CC7">
              <w:rPr>
                <w:rFonts w:asciiTheme="majorBidi" w:hAnsiTheme="majorBidi" w:cstheme="majorBidi"/>
                <w:lang w:val="fr-FR"/>
              </w:rPr>
              <w:t xml:space="preserve"> Miho N</w:t>
            </w:r>
            <w:r w:rsidR="00317392" w:rsidRPr="00EF1CC7">
              <w:rPr>
                <w:rFonts w:asciiTheme="majorBidi" w:hAnsiTheme="majorBidi" w:cstheme="majorBidi"/>
                <w:lang w:val="fr-FR"/>
              </w:rPr>
              <w:t>aganuma</w:t>
            </w:r>
            <w:r w:rsidR="00043522" w:rsidRPr="00EF1CC7">
              <w:rPr>
                <w:rFonts w:asciiTheme="majorBidi" w:hAnsiTheme="majorBidi" w:cstheme="majorBidi"/>
                <w:vertAlign w:val="superscript"/>
                <w:lang w:val="fr-FR"/>
              </w:rPr>
              <w:t>($)</w:t>
            </w:r>
            <w:r w:rsidR="00043522" w:rsidRPr="00EF1CC7">
              <w:rPr>
                <w:rFonts w:asciiTheme="majorBidi" w:hAnsiTheme="majorBidi" w:cstheme="majorBidi"/>
                <w:lang w:val="fr-FR"/>
              </w:rPr>
              <w:t>, NEC Corporation.</w:t>
            </w:r>
          </w:p>
        </w:tc>
      </w:tr>
    </w:tbl>
    <w:p w14:paraId="44857A6D" w14:textId="77777777" w:rsidR="00043522" w:rsidRPr="00EF1CC7" w:rsidRDefault="00043522" w:rsidP="00E31B2B">
      <w:pPr>
        <w:spacing w:after="120"/>
        <w:rPr>
          <w:rFonts w:asciiTheme="majorBidi" w:hAnsiTheme="majorBidi" w:cstheme="majorBidi"/>
          <w:sz w:val="20"/>
          <w:lang w:val="fr-FR"/>
        </w:rPr>
      </w:pPr>
      <w:r w:rsidRPr="00EF1CC7">
        <w:rPr>
          <w:rFonts w:asciiTheme="majorBidi" w:hAnsiTheme="majorBidi" w:cstheme="majorBidi"/>
          <w:sz w:val="20"/>
          <w:lang w:val="fr-FR"/>
        </w:rPr>
        <w:t>(*):</w:t>
      </w:r>
      <w:r w:rsidR="00EA6DFD" w:rsidRPr="00EF1CC7">
        <w:rPr>
          <w:rFonts w:asciiTheme="majorBidi" w:hAnsiTheme="majorBidi" w:cstheme="majorBidi"/>
          <w:sz w:val="20"/>
          <w:lang w:val="fr-FR"/>
        </w:rPr>
        <w:t xml:space="preserve"> </w:t>
      </w:r>
      <w:r w:rsidRPr="00EF1CC7">
        <w:rPr>
          <w:rFonts w:asciiTheme="majorBidi" w:hAnsiTheme="majorBidi" w:cstheme="majorBidi"/>
          <w:sz w:val="20"/>
          <w:lang w:val="fr-FR"/>
        </w:rPr>
        <w:t xml:space="preserve">Rapporteur </w:t>
      </w:r>
      <w:r w:rsidR="00426326" w:rsidRPr="00EF1CC7">
        <w:rPr>
          <w:rFonts w:asciiTheme="majorBidi" w:hAnsiTheme="majorBidi" w:cstheme="majorBidi"/>
          <w:sz w:val="20"/>
          <w:lang w:val="fr-FR"/>
        </w:rPr>
        <w:t>par roulement du 1er mai 2017 au 2 mars 2018</w:t>
      </w:r>
      <w:r w:rsidRPr="00EF1CC7">
        <w:rPr>
          <w:rFonts w:asciiTheme="majorBidi" w:hAnsiTheme="majorBidi" w:cstheme="majorBidi"/>
          <w:sz w:val="20"/>
          <w:lang w:val="fr-FR"/>
        </w:rPr>
        <w:t>.</w:t>
      </w:r>
    </w:p>
    <w:p w14:paraId="4FB66E41" w14:textId="77777777" w:rsidR="00043522" w:rsidRPr="00EF1CC7" w:rsidRDefault="00043522" w:rsidP="00E31B2B">
      <w:pPr>
        <w:spacing w:after="120"/>
        <w:rPr>
          <w:rFonts w:asciiTheme="majorBidi" w:hAnsiTheme="majorBidi" w:cstheme="majorBidi"/>
          <w:sz w:val="20"/>
          <w:lang w:val="fr-FR"/>
        </w:rPr>
      </w:pPr>
      <w:r w:rsidRPr="00EF1CC7">
        <w:rPr>
          <w:rFonts w:asciiTheme="majorBidi" w:hAnsiTheme="majorBidi" w:cstheme="majorBidi"/>
          <w:sz w:val="20"/>
          <w:lang w:val="fr-FR"/>
        </w:rPr>
        <w:t>(**):</w:t>
      </w:r>
      <w:r w:rsidR="00EA6DFD" w:rsidRPr="00EF1CC7">
        <w:rPr>
          <w:rFonts w:asciiTheme="majorBidi" w:hAnsiTheme="majorBidi" w:cstheme="majorBidi"/>
          <w:sz w:val="20"/>
          <w:lang w:val="fr-FR"/>
        </w:rPr>
        <w:t xml:space="preserve"> </w:t>
      </w:r>
      <w:r w:rsidRPr="00EF1CC7">
        <w:rPr>
          <w:rFonts w:asciiTheme="majorBidi" w:hAnsiTheme="majorBidi" w:cstheme="majorBidi"/>
          <w:sz w:val="20"/>
          <w:lang w:val="fr-FR"/>
        </w:rPr>
        <w:t xml:space="preserve">Rapporteur </w:t>
      </w:r>
      <w:r w:rsidR="00426326" w:rsidRPr="00EF1CC7">
        <w:rPr>
          <w:rFonts w:asciiTheme="majorBidi" w:hAnsiTheme="majorBidi" w:cstheme="majorBidi"/>
          <w:sz w:val="20"/>
          <w:lang w:val="fr-FR"/>
        </w:rPr>
        <w:t xml:space="preserve">par roulement du </w:t>
      </w:r>
      <w:r w:rsidRPr="00EF1CC7">
        <w:rPr>
          <w:rFonts w:asciiTheme="majorBidi" w:hAnsiTheme="majorBidi" w:cstheme="majorBidi"/>
          <w:sz w:val="20"/>
          <w:lang w:val="fr-FR"/>
        </w:rPr>
        <w:t xml:space="preserve">3 mars </w:t>
      </w:r>
      <w:r w:rsidR="00426326" w:rsidRPr="00EF1CC7">
        <w:rPr>
          <w:rFonts w:asciiTheme="majorBidi" w:hAnsiTheme="majorBidi" w:cstheme="majorBidi"/>
          <w:sz w:val="20"/>
          <w:lang w:val="fr-FR"/>
        </w:rPr>
        <w:t xml:space="preserve">au </w:t>
      </w:r>
      <w:r w:rsidRPr="00EF1CC7">
        <w:rPr>
          <w:rFonts w:asciiTheme="majorBidi" w:hAnsiTheme="majorBidi" w:cstheme="majorBidi"/>
          <w:sz w:val="20"/>
          <w:lang w:val="fr-FR"/>
        </w:rPr>
        <w:t xml:space="preserve">14 décembre 2018, </w:t>
      </w:r>
      <w:r w:rsidR="00EA6DFD" w:rsidRPr="00EF1CC7">
        <w:rPr>
          <w:rFonts w:asciiTheme="majorBidi" w:hAnsiTheme="majorBidi" w:cstheme="majorBidi"/>
          <w:sz w:val="20"/>
          <w:lang w:val="fr-FR"/>
        </w:rPr>
        <w:t>et depuis le</w:t>
      </w:r>
      <w:r w:rsidRPr="00EF1CC7">
        <w:rPr>
          <w:rFonts w:asciiTheme="majorBidi" w:hAnsiTheme="majorBidi" w:cstheme="majorBidi"/>
          <w:sz w:val="20"/>
          <w:lang w:val="fr-FR"/>
        </w:rPr>
        <w:t xml:space="preserve"> 18 janvier 2021</w:t>
      </w:r>
      <w:r w:rsidR="00CF505F" w:rsidRPr="00EF1CC7">
        <w:rPr>
          <w:rFonts w:asciiTheme="majorBidi" w:hAnsiTheme="majorBidi" w:cstheme="majorBidi"/>
          <w:sz w:val="20"/>
          <w:lang w:val="fr-FR"/>
        </w:rPr>
        <w:t>.</w:t>
      </w:r>
    </w:p>
    <w:p w14:paraId="24B09878" w14:textId="77777777" w:rsidR="00043522" w:rsidRPr="00EF1CC7" w:rsidRDefault="00043522" w:rsidP="00E31B2B">
      <w:pPr>
        <w:spacing w:after="120"/>
        <w:rPr>
          <w:rFonts w:asciiTheme="majorBidi" w:hAnsiTheme="majorBidi" w:cstheme="majorBidi"/>
          <w:sz w:val="20"/>
          <w:lang w:val="fr-FR"/>
        </w:rPr>
      </w:pPr>
      <w:r w:rsidRPr="00EF1CC7">
        <w:rPr>
          <w:rFonts w:asciiTheme="majorBidi" w:hAnsiTheme="majorBidi" w:cstheme="majorBidi"/>
          <w:sz w:val="20"/>
          <w:lang w:val="fr-FR"/>
        </w:rPr>
        <w:t>(***):</w:t>
      </w:r>
      <w:r w:rsidR="00EA6DFD" w:rsidRPr="00EF1CC7">
        <w:rPr>
          <w:rFonts w:asciiTheme="majorBidi" w:hAnsiTheme="majorBidi" w:cstheme="majorBidi"/>
          <w:sz w:val="20"/>
          <w:lang w:val="fr-FR"/>
        </w:rPr>
        <w:t xml:space="preserve"> </w:t>
      </w:r>
      <w:r w:rsidRPr="00EF1CC7">
        <w:rPr>
          <w:rFonts w:asciiTheme="majorBidi" w:hAnsiTheme="majorBidi" w:cstheme="majorBidi"/>
          <w:sz w:val="20"/>
          <w:lang w:val="fr-FR"/>
        </w:rPr>
        <w:t xml:space="preserve">Rapporteur </w:t>
      </w:r>
      <w:r w:rsidR="00EA6DFD" w:rsidRPr="00EF1CC7">
        <w:rPr>
          <w:rFonts w:asciiTheme="majorBidi" w:hAnsiTheme="majorBidi" w:cstheme="majorBidi"/>
          <w:sz w:val="20"/>
          <w:lang w:val="fr-FR"/>
        </w:rPr>
        <w:t xml:space="preserve">par roulement du </w:t>
      </w:r>
      <w:r w:rsidRPr="00EF1CC7">
        <w:rPr>
          <w:rFonts w:asciiTheme="majorBidi" w:hAnsiTheme="majorBidi" w:cstheme="majorBidi"/>
          <w:sz w:val="20"/>
          <w:lang w:val="fr-FR"/>
        </w:rPr>
        <w:t xml:space="preserve">15 décembre 2018 </w:t>
      </w:r>
      <w:r w:rsidR="00EA6DFD" w:rsidRPr="00EF1CC7">
        <w:rPr>
          <w:rFonts w:asciiTheme="majorBidi" w:hAnsiTheme="majorBidi" w:cstheme="majorBidi"/>
          <w:sz w:val="20"/>
          <w:lang w:val="fr-FR"/>
        </w:rPr>
        <w:t xml:space="preserve">au </w:t>
      </w:r>
      <w:r w:rsidRPr="00EF1CC7">
        <w:rPr>
          <w:rFonts w:asciiTheme="majorBidi" w:hAnsiTheme="majorBidi" w:cstheme="majorBidi"/>
          <w:sz w:val="20"/>
          <w:lang w:val="fr-FR"/>
        </w:rPr>
        <w:t>27 septembre 2019.</w:t>
      </w:r>
    </w:p>
    <w:p w14:paraId="25D5F9CE" w14:textId="77777777" w:rsidR="00043522" w:rsidRPr="00EF1CC7" w:rsidRDefault="00043522" w:rsidP="00E31B2B">
      <w:pPr>
        <w:spacing w:after="120"/>
        <w:rPr>
          <w:rFonts w:asciiTheme="majorBidi" w:hAnsiTheme="majorBidi" w:cstheme="majorBidi"/>
          <w:sz w:val="20"/>
          <w:lang w:val="fr-FR"/>
        </w:rPr>
      </w:pPr>
      <w:r w:rsidRPr="00EF1CC7">
        <w:rPr>
          <w:rFonts w:asciiTheme="majorBidi" w:hAnsiTheme="majorBidi" w:cstheme="majorBidi"/>
          <w:sz w:val="20"/>
          <w:lang w:val="fr-FR"/>
        </w:rPr>
        <w:t xml:space="preserve">(#): </w:t>
      </w:r>
      <w:r w:rsidR="00EA6DFD" w:rsidRPr="00EF1CC7">
        <w:rPr>
          <w:rFonts w:asciiTheme="majorBidi" w:hAnsiTheme="majorBidi" w:cstheme="majorBidi"/>
          <w:sz w:val="20"/>
          <w:lang w:val="fr-FR"/>
        </w:rPr>
        <w:t>Cor</w:t>
      </w:r>
      <w:r w:rsidRPr="00EF1CC7">
        <w:rPr>
          <w:rFonts w:asciiTheme="majorBidi" w:hAnsiTheme="majorBidi" w:cstheme="majorBidi"/>
          <w:sz w:val="20"/>
          <w:lang w:val="fr-FR"/>
        </w:rPr>
        <w:t xml:space="preserve">apporteur </w:t>
      </w:r>
      <w:r w:rsidR="00EA6DFD" w:rsidRPr="00EF1CC7">
        <w:rPr>
          <w:rFonts w:asciiTheme="majorBidi" w:hAnsiTheme="majorBidi" w:cstheme="majorBidi"/>
          <w:sz w:val="20"/>
          <w:lang w:val="fr-FR"/>
        </w:rPr>
        <w:t xml:space="preserve">depuis le </w:t>
      </w:r>
      <w:r w:rsidRPr="00EF1CC7">
        <w:rPr>
          <w:rFonts w:asciiTheme="majorBidi" w:hAnsiTheme="majorBidi" w:cstheme="majorBidi"/>
          <w:sz w:val="20"/>
          <w:lang w:val="fr-FR"/>
        </w:rPr>
        <w:t xml:space="preserve">14 décembre 2018; Rapporteur </w:t>
      </w:r>
      <w:r w:rsidR="00EA6DFD" w:rsidRPr="00EF1CC7">
        <w:rPr>
          <w:rFonts w:asciiTheme="majorBidi" w:hAnsiTheme="majorBidi" w:cstheme="majorBidi"/>
          <w:sz w:val="20"/>
          <w:lang w:val="fr-FR"/>
        </w:rPr>
        <w:t xml:space="preserve">par roulement du </w:t>
      </w:r>
      <w:r w:rsidRPr="00EF1CC7">
        <w:rPr>
          <w:rFonts w:asciiTheme="majorBidi" w:hAnsiTheme="majorBidi" w:cstheme="majorBidi"/>
          <w:sz w:val="20"/>
          <w:lang w:val="fr-FR"/>
        </w:rPr>
        <w:t xml:space="preserve">28 septembre 2019 </w:t>
      </w:r>
      <w:r w:rsidR="00EA6DFD" w:rsidRPr="00EF1CC7">
        <w:rPr>
          <w:rFonts w:asciiTheme="majorBidi" w:hAnsiTheme="majorBidi" w:cstheme="majorBidi"/>
          <w:sz w:val="20"/>
          <w:lang w:val="fr-FR"/>
        </w:rPr>
        <w:t xml:space="preserve">au </w:t>
      </w:r>
      <w:r w:rsidRPr="00EF1CC7">
        <w:rPr>
          <w:rFonts w:asciiTheme="majorBidi" w:hAnsiTheme="majorBidi" w:cstheme="majorBidi"/>
          <w:sz w:val="20"/>
          <w:lang w:val="fr-FR"/>
        </w:rPr>
        <w:t>18 janvier 2021.</w:t>
      </w:r>
    </w:p>
    <w:p w14:paraId="1CDD0EE2" w14:textId="222998D0" w:rsidR="00043522" w:rsidRPr="00EF1CC7" w:rsidRDefault="00043522" w:rsidP="00E31B2B">
      <w:pPr>
        <w:spacing w:after="120"/>
        <w:rPr>
          <w:rFonts w:asciiTheme="majorBidi" w:hAnsiTheme="majorBidi" w:cstheme="majorBidi"/>
          <w:sz w:val="20"/>
          <w:lang w:val="fr-FR"/>
        </w:rPr>
      </w:pPr>
      <w:r w:rsidRPr="00EF1CC7">
        <w:rPr>
          <w:rFonts w:asciiTheme="majorBidi" w:hAnsiTheme="majorBidi" w:cstheme="majorBidi"/>
          <w:sz w:val="20"/>
          <w:lang w:val="fr-FR"/>
        </w:rPr>
        <w:t xml:space="preserve">(%): </w:t>
      </w:r>
      <w:r w:rsidR="00EA6DFD" w:rsidRPr="00EF1CC7">
        <w:rPr>
          <w:rFonts w:asciiTheme="majorBidi" w:hAnsiTheme="majorBidi" w:cstheme="majorBidi"/>
          <w:sz w:val="20"/>
          <w:lang w:val="fr-FR"/>
        </w:rPr>
        <w:t>Cor</w:t>
      </w:r>
      <w:r w:rsidRPr="00EF1CC7">
        <w:rPr>
          <w:rFonts w:asciiTheme="majorBidi" w:hAnsiTheme="majorBidi" w:cstheme="majorBidi"/>
          <w:sz w:val="20"/>
          <w:lang w:val="fr-FR"/>
        </w:rPr>
        <w:t xml:space="preserve">apporteur </w:t>
      </w:r>
      <w:r w:rsidR="004F428E" w:rsidRPr="00EF1CC7">
        <w:rPr>
          <w:rFonts w:asciiTheme="majorBidi" w:hAnsiTheme="majorBidi" w:cstheme="majorBidi"/>
          <w:sz w:val="20"/>
          <w:lang w:val="fr-FR"/>
        </w:rPr>
        <w:t>jusqu</w:t>
      </w:r>
      <w:r w:rsidR="00E31B2B">
        <w:rPr>
          <w:rFonts w:asciiTheme="majorBidi" w:hAnsiTheme="majorBidi" w:cstheme="majorBidi"/>
          <w:sz w:val="20"/>
          <w:lang w:val="fr-FR"/>
        </w:rPr>
        <w:t>'</w:t>
      </w:r>
      <w:r w:rsidR="004F428E" w:rsidRPr="00EF1CC7">
        <w:rPr>
          <w:rFonts w:asciiTheme="majorBidi" w:hAnsiTheme="majorBidi" w:cstheme="majorBidi"/>
          <w:sz w:val="20"/>
          <w:lang w:val="fr-FR"/>
        </w:rPr>
        <w:t xml:space="preserve">à </w:t>
      </w:r>
      <w:r w:rsidRPr="00EF1CC7">
        <w:rPr>
          <w:rFonts w:asciiTheme="majorBidi" w:hAnsiTheme="majorBidi" w:cstheme="majorBidi"/>
          <w:sz w:val="20"/>
          <w:lang w:val="fr-FR"/>
        </w:rPr>
        <w:t>décembre 2018.</w:t>
      </w:r>
    </w:p>
    <w:p w14:paraId="6790ACAC" w14:textId="6D128B23" w:rsidR="00043522" w:rsidRPr="00EF1CC7" w:rsidRDefault="00043522" w:rsidP="00E31B2B">
      <w:pPr>
        <w:spacing w:after="120"/>
        <w:rPr>
          <w:rFonts w:asciiTheme="majorBidi" w:hAnsiTheme="majorBidi" w:cstheme="majorBidi"/>
          <w:sz w:val="20"/>
          <w:lang w:val="fr-FR"/>
        </w:rPr>
      </w:pPr>
      <w:r w:rsidRPr="00EF1CC7">
        <w:rPr>
          <w:rFonts w:asciiTheme="majorBidi" w:hAnsiTheme="majorBidi" w:cstheme="majorBidi"/>
          <w:sz w:val="20"/>
          <w:lang w:val="fr-FR"/>
        </w:rPr>
        <w:t xml:space="preserve">(@): Rapporteur </w:t>
      </w:r>
      <w:r w:rsidR="004F428E" w:rsidRPr="00EF1CC7">
        <w:rPr>
          <w:rFonts w:asciiTheme="majorBidi" w:hAnsiTheme="majorBidi" w:cstheme="majorBidi"/>
          <w:sz w:val="20"/>
          <w:lang w:val="fr-FR"/>
        </w:rPr>
        <w:t>jusqu</w:t>
      </w:r>
      <w:r w:rsidR="00E31B2B">
        <w:rPr>
          <w:rFonts w:asciiTheme="majorBidi" w:hAnsiTheme="majorBidi" w:cstheme="majorBidi"/>
          <w:sz w:val="20"/>
          <w:lang w:val="fr-FR"/>
        </w:rPr>
        <w:t>'</w:t>
      </w:r>
      <w:r w:rsidR="004F428E" w:rsidRPr="00EF1CC7">
        <w:rPr>
          <w:rFonts w:asciiTheme="majorBidi" w:hAnsiTheme="majorBidi" w:cstheme="majorBidi"/>
          <w:sz w:val="20"/>
          <w:lang w:val="fr-FR"/>
        </w:rPr>
        <w:t xml:space="preserve">au </w:t>
      </w:r>
      <w:r w:rsidRPr="00EF1CC7">
        <w:rPr>
          <w:rFonts w:asciiTheme="majorBidi" w:hAnsiTheme="majorBidi" w:cstheme="majorBidi"/>
          <w:sz w:val="20"/>
          <w:lang w:val="fr-FR"/>
        </w:rPr>
        <w:t>18 janvier 2021.</w:t>
      </w:r>
    </w:p>
    <w:p w14:paraId="343D21A5" w14:textId="77777777" w:rsidR="00043522" w:rsidRPr="00EF1CC7" w:rsidRDefault="00043522" w:rsidP="00E31B2B">
      <w:pPr>
        <w:spacing w:after="120"/>
        <w:rPr>
          <w:rFonts w:asciiTheme="majorBidi" w:hAnsiTheme="majorBidi" w:cstheme="majorBidi"/>
          <w:sz w:val="20"/>
          <w:lang w:val="fr-FR"/>
        </w:rPr>
      </w:pPr>
      <w:r w:rsidRPr="00EF1CC7">
        <w:rPr>
          <w:rFonts w:asciiTheme="majorBidi" w:hAnsiTheme="majorBidi" w:cstheme="majorBidi"/>
          <w:sz w:val="20"/>
          <w:lang w:val="fr-FR"/>
        </w:rPr>
        <w:t xml:space="preserve">($): Rapporteur </w:t>
      </w:r>
      <w:r w:rsidR="004F428E" w:rsidRPr="00EF1CC7">
        <w:rPr>
          <w:rFonts w:asciiTheme="majorBidi" w:hAnsiTheme="majorBidi" w:cstheme="majorBidi"/>
          <w:sz w:val="20"/>
          <w:lang w:val="fr-FR"/>
        </w:rPr>
        <w:t xml:space="preserve">depuis le </w:t>
      </w:r>
      <w:r w:rsidRPr="00EF1CC7">
        <w:rPr>
          <w:rFonts w:asciiTheme="majorBidi" w:hAnsiTheme="majorBidi" w:cstheme="majorBidi"/>
          <w:sz w:val="20"/>
          <w:lang w:val="fr-FR"/>
        </w:rPr>
        <w:t>18 janvier 2021.</w:t>
      </w:r>
    </w:p>
    <w:p w14:paraId="284084A5" w14:textId="77777777" w:rsidR="00043522" w:rsidRPr="00EF1CC7" w:rsidRDefault="00043522" w:rsidP="00E31B2B">
      <w:pPr>
        <w:pStyle w:val="TableNo"/>
        <w:rPr>
          <w:sz w:val="24"/>
          <w:lang w:val="fr-FR"/>
        </w:rPr>
      </w:pPr>
      <w:r w:rsidRPr="00EF1CC7">
        <w:rPr>
          <w:sz w:val="24"/>
          <w:lang w:val="fr-FR"/>
        </w:rPr>
        <w:lastRenderedPageBreak/>
        <w:t>TABLEAU 3</w:t>
      </w:r>
    </w:p>
    <w:p w14:paraId="4E2D6F47" w14:textId="2F5250C6" w:rsidR="00043522" w:rsidRPr="00EF1CC7" w:rsidRDefault="005C45E2" w:rsidP="00E31B2B">
      <w:pPr>
        <w:pStyle w:val="Tabletitle"/>
        <w:rPr>
          <w:sz w:val="24"/>
          <w:lang w:val="fr-FR"/>
        </w:rPr>
      </w:pPr>
      <w:r w:rsidRPr="00EF1CC7">
        <w:rPr>
          <w:sz w:val="24"/>
          <w:lang w:val="fr-FR"/>
        </w:rPr>
        <w:t>Groupes spécialisés de l</w:t>
      </w:r>
      <w:r w:rsidR="00E31B2B">
        <w:rPr>
          <w:sz w:val="24"/>
          <w:lang w:val="fr-FR"/>
        </w:rPr>
        <w:t>'</w:t>
      </w:r>
      <w:r w:rsidRPr="00EF1CC7">
        <w:rPr>
          <w:sz w:val="24"/>
          <w:lang w:val="fr-FR"/>
        </w:rPr>
        <w:t>UIT-T</w:t>
      </w:r>
      <w:r w:rsidR="00043522" w:rsidRPr="00EF1CC7">
        <w:rPr>
          <w:sz w:val="24"/>
          <w:lang w:val="fr-FR"/>
        </w:rPr>
        <w:t xml:space="preserve"> (</w:t>
      </w:r>
      <w:r w:rsidRPr="00EF1CC7">
        <w:rPr>
          <w:sz w:val="24"/>
          <w:lang w:val="fr-FR"/>
        </w:rPr>
        <w:t>rattachés au GCNT</w:t>
      </w:r>
      <w:r w:rsidR="00043522" w:rsidRPr="00EF1CC7">
        <w:rPr>
          <w:sz w:val="24"/>
          <w:lang w:val="fr-FR"/>
        </w:rPr>
        <w:t>)</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2265"/>
        <w:gridCol w:w="5225"/>
      </w:tblGrid>
      <w:tr w:rsidR="00043522" w:rsidRPr="00EF1CC7" w14:paraId="6AAE8751" w14:textId="77777777" w:rsidTr="00500DB0">
        <w:trPr>
          <w:cantSplit/>
          <w:tblHeader/>
          <w:jc w:val="center"/>
        </w:trPr>
        <w:tc>
          <w:tcPr>
            <w:tcW w:w="2112" w:type="dxa"/>
            <w:tcBorders>
              <w:top w:val="single" w:sz="12" w:space="0" w:color="auto"/>
              <w:bottom w:val="single" w:sz="12" w:space="0" w:color="auto"/>
            </w:tcBorders>
            <w:shd w:val="clear" w:color="auto" w:fill="auto"/>
            <w:vAlign w:val="center"/>
          </w:tcPr>
          <w:p w14:paraId="4012DF9E" w14:textId="77777777" w:rsidR="00043522" w:rsidRPr="00EF1CC7" w:rsidRDefault="005C45E2" w:rsidP="00E31B2B">
            <w:pPr>
              <w:pStyle w:val="Tablehead"/>
              <w:rPr>
                <w:lang w:val="fr-FR"/>
              </w:rPr>
            </w:pPr>
            <w:r w:rsidRPr="00EF1CC7">
              <w:rPr>
                <w:lang w:val="fr-FR"/>
              </w:rPr>
              <w:t xml:space="preserve">Nom du </w:t>
            </w:r>
            <w:r w:rsidR="00A42B33" w:rsidRPr="00EF1CC7">
              <w:rPr>
                <w:lang w:val="fr-FR"/>
              </w:rPr>
              <w:t>g</w:t>
            </w:r>
            <w:r w:rsidRPr="00EF1CC7">
              <w:rPr>
                <w:lang w:val="fr-FR"/>
              </w:rPr>
              <w:t>roupe spécialisé</w:t>
            </w:r>
          </w:p>
        </w:tc>
        <w:tc>
          <w:tcPr>
            <w:tcW w:w="2265" w:type="dxa"/>
            <w:tcBorders>
              <w:top w:val="single" w:sz="12" w:space="0" w:color="auto"/>
              <w:bottom w:val="single" w:sz="12" w:space="0" w:color="auto"/>
            </w:tcBorders>
            <w:shd w:val="clear" w:color="auto" w:fill="auto"/>
            <w:vAlign w:val="center"/>
          </w:tcPr>
          <w:p w14:paraId="2F198EA9" w14:textId="77777777" w:rsidR="00043522" w:rsidRPr="00EF1CC7" w:rsidRDefault="00A42B33" w:rsidP="00E31B2B">
            <w:pPr>
              <w:pStyle w:val="Tablehead"/>
              <w:rPr>
                <w:lang w:val="fr-FR"/>
              </w:rPr>
            </w:pPr>
            <w:r w:rsidRPr="00EF1CC7">
              <w:rPr>
                <w:lang w:val="fr-FR"/>
              </w:rPr>
              <w:t>Président</w:t>
            </w:r>
            <w:r w:rsidR="00043522" w:rsidRPr="00EF1CC7">
              <w:rPr>
                <w:lang w:val="fr-FR"/>
              </w:rPr>
              <w:t>,</w:t>
            </w:r>
            <w:r w:rsidR="00043522" w:rsidRPr="00EF1CC7">
              <w:rPr>
                <w:lang w:val="fr-FR"/>
              </w:rPr>
              <w:br/>
            </w:r>
            <w:r w:rsidRPr="00EF1CC7">
              <w:rPr>
                <w:lang w:val="fr-FR"/>
              </w:rPr>
              <w:t>Coprésidents</w:t>
            </w:r>
          </w:p>
        </w:tc>
        <w:tc>
          <w:tcPr>
            <w:tcW w:w="5225" w:type="dxa"/>
            <w:tcBorders>
              <w:top w:val="single" w:sz="12" w:space="0" w:color="auto"/>
              <w:bottom w:val="single" w:sz="12" w:space="0" w:color="auto"/>
            </w:tcBorders>
            <w:shd w:val="clear" w:color="auto" w:fill="auto"/>
            <w:vAlign w:val="center"/>
          </w:tcPr>
          <w:p w14:paraId="0282B035" w14:textId="77777777" w:rsidR="00043522" w:rsidRPr="00EF1CC7" w:rsidRDefault="00A42B33" w:rsidP="00E31B2B">
            <w:pPr>
              <w:pStyle w:val="Tablehead"/>
              <w:rPr>
                <w:lang w:val="fr-FR"/>
              </w:rPr>
            </w:pPr>
            <w:r w:rsidRPr="00EF1CC7">
              <w:rPr>
                <w:lang w:val="fr-FR"/>
              </w:rPr>
              <w:t>Vice-Présidents</w:t>
            </w:r>
          </w:p>
        </w:tc>
      </w:tr>
      <w:tr w:rsidR="00043522" w:rsidRPr="00E31B2B" w14:paraId="72116247" w14:textId="77777777" w:rsidTr="00500DB0">
        <w:trPr>
          <w:cantSplit/>
          <w:tblHeader/>
          <w:jc w:val="center"/>
        </w:trPr>
        <w:tc>
          <w:tcPr>
            <w:tcW w:w="2112" w:type="dxa"/>
            <w:tcBorders>
              <w:top w:val="single" w:sz="12" w:space="0" w:color="auto"/>
            </w:tcBorders>
            <w:shd w:val="clear" w:color="auto" w:fill="auto"/>
          </w:tcPr>
          <w:p w14:paraId="448A12C2" w14:textId="77777777" w:rsidR="000543AF" w:rsidRPr="00EF1CC7" w:rsidRDefault="000543AF" w:rsidP="00E31B2B">
            <w:pPr>
              <w:pStyle w:val="Tabletext"/>
              <w:rPr>
                <w:lang w:val="fr-FR"/>
              </w:rPr>
            </w:pPr>
            <w:r w:rsidRPr="00EF1CC7">
              <w:rPr>
                <w:lang w:val="fr-FR"/>
              </w:rPr>
              <w:t>Monnaie numérique, y</w:t>
            </w:r>
            <w:r w:rsidR="00DC42BA">
              <w:rPr>
                <w:lang w:val="fr-FR"/>
              </w:rPr>
              <w:t> </w:t>
            </w:r>
            <w:r w:rsidRPr="00EF1CC7">
              <w:rPr>
                <w:lang w:val="fr-FR"/>
              </w:rPr>
              <w:t>compris la monnaie fiduciaire numérique (FG-DFC)</w:t>
            </w:r>
          </w:p>
        </w:tc>
        <w:tc>
          <w:tcPr>
            <w:tcW w:w="2265" w:type="dxa"/>
            <w:tcBorders>
              <w:top w:val="single" w:sz="12" w:space="0" w:color="auto"/>
            </w:tcBorders>
            <w:shd w:val="clear" w:color="auto" w:fill="auto"/>
          </w:tcPr>
          <w:p w14:paraId="7FFE6F45" w14:textId="77777777" w:rsidR="00043522" w:rsidRPr="00EF1CC7" w:rsidRDefault="002A041E" w:rsidP="00E31B2B">
            <w:pPr>
              <w:pStyle w:val="Tabletext"/>
              <w:rPr>
                <w:lang w:val="fr-FR"/>
              </w:rPr>
            </w:pPr>
            <w:r w:rsidRPr="00EF1CC7">
              <w:rPr>
                <w:bCs/>
                <w:lang w:val="fr-FR"/>
              </w:rPr>
              <w:t>M.</w:t>
            </w:r>
            <w:r w:rsidR="00043522" w:rsidRPr="00EF1CC7">
              <w:rPr>
                <w:bCs/>
                <w:lang w:val="fr-FR"/>
              </w:rPr>
              <w:t xml:space="preserve"> David </w:t>
            </w:r>
            <w:r w:rsidR="000543AF" w:rsidRPr="00EF1CC7">
              <w:rPr>
                <w:bCs/>
                <w:lang w:val="fr-FR"/>
              </w:rPr>
              <w:t xml:space="preserve">Wen </w:t>
            </w:r>
            <w:r w:rsidR="00043522" w:rsidRPr="00EF1CC7">
              <w:rPr>
                <w:bCs/>
                <w:lang w:val="fr-FR"/>
              </w:rPr>
              <w:t>(eCurrency).</w:t>
            </w:r>
          </w:p>
        </w:tc>
        <w:tc>
          <w:tcPr>
            <w:tcW w:w="5225" w:type="dxa"/>
            <w:tcBorders>
              <w:top w:val="single" w:sz="12" w:space="0" w:color="auto"/>
            </w:tcBorders>
            <w:shd w:val="clear" w:color="auto" w:fill="auto"/>
          </w:tcPr>
          <w:p w14:paraId="5EFF9F41" w14:textId="77777777" w:rsidR="00043522" w:rsidRPr="00EF1CC7" w:rsidRDefault="002A041E" w:rsidP="00E31B2B">
            <w:pPr>
              <w:pStyle w:val="Tabletext"/>
              <w:rPr>
                <w:lang w:val="fr-FR"/>
              </w:rPr>
            </w:pPr>
            <w:r w:rsidRPr="00EF1CC7">
              <w:rPr>
                <w:lang w:val="fr-FR"/>
              </w:rPr>
              <w:t>M.</w:t>
            </w:r>
            <w:r w:rsidR="00043522" w:rsidRPr="00EF1CC7">
              <w:rPr>
                <w:lang w:val="fr-FR"/>
              </w:rPr>
              <w:t xml:space="preserve"> Yao Q</w:t>
            </w:r>
            <w:r w:rsidR="000543AF" w:rsidRPr="00EF1CC7">
              <w:rPr>
                <w:lang w:val="fr-FR"/>
              </w:rPr>
              <w:t>ian</w:t>
            </w:r>
            <w:r w:rsidR="00043522" w:rsidRPr="00EF1CC7">
              <w:rPr>
                <w:lang w:val="fr-FR"/>
              </w:rPr>
              <w:t xml:space="preserve">, </w:t>
            </w:r>
            <w:r w:rsidR="006779C9" w:rsidRPr="00EF1CC7">
              <w:rPr>
                <w:lang w:val="fr-FR"/>
              </w:rPr>
              <w:t>Institut de recherche sur la monnaie numérique</w:t>
            </w:r>
            <w:r w:rsidR="00043522" w:rsidRPr="00EF1CC7">
              <w:rPr>
                <w:lang w:val="fr-FR"/>
              </w:rPr>
              <w:t xml:space="preserve">, </w:t>
            </w:r>
            <w:r w:rsidR="006779C9" w:rsidRPr="00EF1CC7">
              <w:rPr>
                <w:lang w:val="fr-FR"/>
              </w:rPr>
              <w:t>Banque populaire de Chine</w:t>
            </w:r>
            <w:r w:rsidR="00043522" w:rsidRPr="00EF1CC7">
              <w:rPr>
                <w:lang w:val="fr-FR"/>
              </w:rPr>
              <w:t>;</w:t>
            </w:r>
          </w:p>
          <w:p w14:paraId="0F8D5DC1" w14:textId="6148AF12" w:rsidR="00043522" w:rsidRPr="00EF1CC7" w:rsidRDefault="002A041E" w:rsidP="00E31B2B">
            <w:pPr>
              <w:pStyle w:val="Tabletext"/>
              <w:rPr>
                <w:lang w:val="fr-FR"/>
              </w:rPr>
            </w:pPr>
            <w:r w:rsidRPr="00EF1CC7">
              <w:rPr>
                <w:lang w:val="fr-FR"/>
              </w:rPr>
              <w:t>M.</w:t>
            </w:r>
            <w:r w:rsidR="00043522" w:rsidRPr="00EF1CC7">
              <w:rPr>
                <w:lang w:val="fr-FR"/>
              </w:rPr>
              <w:t xml:space="preserve"> Jacques F</w:t>
            </w:r>
            <w:r w:rsidR="000543AF" w:rsidRPr="00EF1CC7">
              <w:rPr>
                <w:lang w:val="fr-FR"/>
              </w:rPr>
              <w:t>rancoeur</w:t>
            </w:r>
            <w:r w:rsidR="00043522" w:rsidRPr="00EF1CC7">
              <w:rPr>
                <w:lang w:val="fr-FR"/>
              </w:rPr>
              <w:t xml:space="preserve">, </w:t>
            </w:r>
            <w:r w:rsidR="006779C9" w:rsidRPr="00EF1CC7">
              <w:rPr>
                <w:lang w:val="fr-FR"/>
              </w:rPr>
              <w:t>Université d</w:t>
            </w:r>
            <w:r w:rsidR="00E31B2B">
              <w:rPr>
                <w:lang w:val="fr-FR"/>
              </w:rPr>
              <w:t>'</w:t>
            </w:r>
            <w:r w:rsidR="006779C9" w:rsidRPr="00EF1CC7">
              <w:rPr>
                <w:lang w:val="fr-FR"/>
              </w:rPr>
              <w:t>État de San José</w:t>
            </w:r>
            <w:r w:rsidR="00043522" w:rsidRPr="00EF1CC7">
              <w:rPr>
                <w:lang w:val="fr-FR"/>
              </w:rPr>
              <w:t xml:space="preserve">, </w:t>
            </w:r>
            <w:r w:rsidR="006779C9" w:rsidRPr="00EF1CC7">
              <w:rPr>
                <w:lang w:val="fr-FR"/>
              </w:rPr>
              <w:t>États</w:t>
            </w:r>
            <w:r w:rsidR="00CF505F" w:rsidRPr="00EF1CC7">
              <w:rPr>
                <w:lang w:val="fr-FR"/>
              </w:rPr>
              <w:noBreakHyphen/>
            </w:r>
            <w:r w:rsidR="006779C9" w:rsidRPr="00EF1CC7">
              <w:rPr>
                <w:lang w:val="fr-FR"/>
              </w:rPr>
              <w:t>Unis</w:t>
            </w:r>
            <w:r w:rsidR="00043522" w:rsidRPr="00EF1CC7">
              <w:rPr>
                <w:lang w:val="fr-FR"/>
              </w:rPr>
              <w:t>;</w:t>
            </w:r>
          </w:p>
          <w:p w14:paraId="3D52601F" w14:textId="77777777" w:rsidR="00043522" w:rsidRPr="00CF3B78" w:rsidRDefault="002A041E" w:rsidP="00E31B2B">
            <w:pPr>
              <w:pStyle w:val="Tabletext"/>
              <w:rPr>
                <w:lang w:val="en-US"/>
              </w:rPr>
            </w:pPr>
            <w:r w:rsidRPr="00CF3B78">
              <w:rPr>
                <w:lang w:val="en-US"/>
              </w:rPr>
              <w:t>M.</w:t>
            </w:r>
            <w:r w:rsidR="00043522" w:rsidRPr="00CF3B78">
              <w:rPr>
                <w:lang w:val="en-US"/>
              </w:rPr>
              <w:t xml:space="preserve"> Ahmed S</w:t>
            </w:r>
            <w:r w:rsidR="000543AF" w:rsidRPr="00CF3B78">
              <w:rPr>
                <w:lang w:val="en-US"/>
              </w:rPr>
              <w:t>aid</w:t>
            </w:r>
            <w:r w:rsidR="00043522" w:rsidRPr="00CF3B78">
              <w:rPr>
                <w:lang w:val="en-US"/>
              </w:rPr>
              <w:t xml:space="preserve">, NTRA, </w:t>
            </w:r>
            <w:r w:rsidR="00A9548E" w:rsidRPr="00CF3B78">
              <w:rPr>
                <w:lang w:val="en-US"/>
              </w:rPr>
              <w:t>Égypte</w:t>
            </w:r>
            <w:r w:rsidR="00043522" w:rsidRPr="00CF3B78">
              <w:rPr>
                <w:lang w:val="en-US"/>
              </w:rPr>
              <w:t>;</w:t>
            </w:r>
          </w:p>
          <w:p w14:paraId="1C3E6925" w14:textId="77777777" w:rsidR="00043522" w:rsidRPr="00EF1CC7" w:rsidRDefault="002A041E" w:rsidP="00E31B2B">
            <w:pPr>
              <w:pStyle w:val="Tabletext"/>
              <w:rPr>
                <w:lang w:val="fr-FR"/>
              </w:rPr>
            </w:pPr>
            <w:r w:rsidRPr="00EF1CC7">
              <w:rPr>
                <w:lang w:val="fr-FR"/>
              </w:rPr>
              <w:t>M.</w:t>
            </w:r>
            <w:r w:rsidR="00043522" w:rsidRPr="00EF1CC7">
              <w:rPr>
                <w:lang w:val="fr-FR"/>
              </w:rPr>
              <w:t xml:space="preserve"> Mandar D</w:t>
            </w:r>
            <w:r w:rsidR="000543AF" w:rsidRPr="00EF1CC7">
              <w:rPr>
                <w:lang w:val="fr-FR"/>
              </w:rPr>
              <w:t>eshpande</w:t>
            </w:r>
            <w:r w:rsidR="00043522" w:rsidRPr="00EF1CC7">
              <w:rPr>
                <w:lang w:val="fr-FR"/>
              </w:rPr>
              <w:t xml:space="preserve">, </w:t>
            </w:r>
            <w:r w:rsidR="00A9548E" w:rsidRPr="00EF1CC7">
              <w:rPr>
                <w:lang w:val="fr-FR"/>
              </w:rPr>
              <w:t>Ministère des communications</w:t>
            </w:r>
            <w:r w:rsidR="00043522" w:rsidRPr="00EF1CC7">
              <w:rPr>
                <w:lang w:val="fr-FR"/>
              </w:rPr>
              <w:t xml:space="preserve">, </w:t>
            </w:r>
            <w:r w:rsidR="00A9548E" w:rsidRPr="00EF1CC7">
              <w:rPr>
                <w:lang w:val="fr-FR"/>
              </w:rPr>
              <w:t>Inde</w:t>
            </w:r>
            <w:r w:rsidR="00043522" w:rsidRPr="00EF1CC7">
              <w:rPr>
                <w:lang w:val="fr-FR"/>
              </w:rPr>
              <w:t>;</w:t>
            </w:r>
          </w:p>
          <w:p w14:paraId="215468CA" w14:textId="5DE13A79" w:rsidR="00043522" w:rsidRPr="00EF1CC7" w:rsidRDefault="002A041E" w:rsidP="00E31B2B">
            <w:pPr>
              <w:pStyle w:val="Tabletext"/>
              <w:rPr>
                <w:lang w:val="fr-FR"/>
              </w:rPr>
            </w:pPr>
            <w:r w:rsidRPr="00EF1CC7">
              <w:rPr>
                <w:lang w:val="fr-FR"/>
              </w:rPr>
              <w:t>M.</w:t>
            </w:r>
            <w:r w:rsidR="00043522" w:rsidRPr="00EF1CC7">
              <w:rPr>
                <w:lang w:val="fr-FR"/>
              </w:rPr>
              <w:t xml:space="preserve"> Njunga N</w:t>
            </w:r>
            <w:r w:rsidR="00E31B2B">
              <w:rPr>
                <w:lang w:val="fr-FR"/>
              </w:rPr>
              <w:t>'</w:t>
            </w:r>
            <w:r w:rsidR="000543AF" w:rsidRPr="00EF1CC7">
              <w:rPr>
                <w:lang w:val="fr-FR"/>
              </w:rPr>
              <w:t>dungu</w:t>
            </w:r>
            <w:r w:rsidR="00043522" w:rsidRPr="00EF1CC7">
              <w:rPr>
                <w:lang w:val="fr-FR"/>
              </w:rPr>
              <w:t xml:space="preserve">, </w:t>
            </w:r>
            <w:r w:rsidR="00C44D12" w:rsidRPr="00EF1CC7">
              <w:rPr>
                <w:lang w:val="fr-FR"/>
              </w:rPr>
              <w:t>ancien Gouverneur de la Banque centrale du Kenya</w:t>
            </w:r>
            <w:r w:rsidR="00043522" w:rsidRPr="00EF1CC7">
              <w:rPr>
                <w:lang w:val="fr-FR"/>
              </w:rPr>
              <w:t>;</w:t>
            </w:r>
          </w:p>
          <w:p w14:paraId="3E44D7A3" w14:textId="5587780D" w:rsidR="00043522" w:rsidRPr="00EF1CC7" w:rsidRDefault="002A041E" w:rsidP="00E31B2B">
            <w:pPr>
              <w:pStyle w:val="Tabletext"/>
              <w:rPr>
                <w:lang w:val="fr-FR"/>
              </w:rPr>
            </w:pPr>
            <w:r w:rsidRPr="00EF1CC7">
              <w:rPr>
                <w:lang w:val="fr-FR"/>
              </w:rPr>
              <w:t>M.</w:t>
            </w:r>
            <w:r w:rsidR="00043522" w:rsidRPr="00EF1CC7">
              <w:rPr>
                <w:lang w:val="fr-FR"/>
              </w:rPr>
              <w:t xml:space="preserve"> Sami T</w:t>
            </w:r>
            <w:r w:rsidR="000543AF" w:rsidRPr="00EF1CC7">
              <w:rPr>
                <w:lang w:val="fr-FR"/>
              </w:rPr>
              <w:t>rimech</w:t>
            </w:r>
            <w:r w:rsidR="00043522" w:rsidRPr="00EF1CC7">
              <w:rPr>
                <w:lang w:val="fr-FR"/>
              </w:rPr>
              <w:t xml:space="preserve">, </w:t>
            </w:r>
            <w:r w:rsidR="00CB0F2E" w:rsidRPr="00EF1CC7">
              <w:rPr>
                <w:lang w:val="fr-FR"/>
              </w:rPr>
              <w:t>Organisation arabe des technologies de l</w:t>
            </w:r>
            <w:r w:rsidR="00E31B2B">
              <w:rPr>
                <w:lang w:val="fr-FR"/>
              </w:rPr>
              <w:t>'</w:t>
            </w:r>
            <w:r w:rsidR="00CB0F2E" w:rsidRPr="00EF1CC7">
              <w:rPr>
                <w:lang w:val="fr-FR"/>
              </w:rPr>
              <w:t>information et de la communication</w:t>
            </w:r>
            <w:r w:rsidR="00043522" w:rsidRPr="00EF1CC7">
              <w:rPr>
                <w:lang w:val="fr-FR"/>
              </w:rPr>
              <w:t>.</w:t>
            </w:r>
          </w:p>
        </w:tc>
      </w:tr>
      <w:tr w:rsidR="00043522" w:rsidRPr="00E31B2B" w14:paraId="59E1EE20" w14:textId="77777777" w:rsidTr="00500DB0">
        <w:trPr>
          <w:cantSplit/>
          <w:tblHeader/>
          <w:jc w:val="center"/>
        </w:trPr>
        <w:tc>
          <w:tcPr>
            <w:tcW w:w="2112" w:type="dxa"/>
            <w:shd w:val="clear" w:color="auto" w:fill="auto"/>
          </w:tcPr>
          <w:p w14:paraId="1FF4245F" w14:textId="77777777" w:rsidR="00043522" w:rsidRPr="00EF1CC7" w:rsidRDefault="00043522" w:rsidP="00E31B2B">
            <w:pPr>
              <w:pStyle w:val="Tabletext"/>
              <w:rPr>
                <w:lang w:val="fr-FR"/>
              </w:rPr>
            </w:pPr>
            <w:r w:rsidRPr="00EF1CC7">
              <w:rPr>
                <w:rFonts w:asciiTheme="majorBidi" w:hAnsiTheme="majorBidi" w:cstheme="majorBidi"/>
                <w:lang w:val="fr-FR"/>
              </w:rPr>
              <w:t xml:space="preserve">Application </w:t>
            </w:r>
            <w:r w:rsidR="00996A41" w:rsidRPr="00EF1CC7">
              <w:rPr>
                <w:rFonts w:asciiTheme="majorBidi" w:hAnsiTheme="majorBidi" w:cstheme="majorBidi"/>
                <w:lang w:val="fr-FR"/>
              </w:rPr>
              <w:t>de la technologie des registres distribués</w:t>
            </w:r>
            <w:r w:rsidRPr="00EF1CC7">
              <w:rPr>
                <w:rFonts w:asciiTheme="majorBidi" w:hAnsiTheme="majorBidi" w:cstheme="majorBidi"/>
                <w:lang w:val="fr-FR"/>
              </w:rPr>
              <w:t xml:space="preserve"> (FG-DLT)</w:t>
            </w:r>
          </w:p>
        </w:tc>
        <w:tc>
          <w:tcPr>
            <w:tcW w:w="2265" w:type="dxa"/>
            <w:shd w:val="clear" w:color="auto" w:fill="auto"/>
          </w:tcPr>
          <w:p w14:paraId="74241D9C" w14:textId="77777777" w:rsidR="00043522" w:rsidRPr="00EF1CC7" w:rsidRDefault="002A041E" w:rsidP="00E31B2B">
            <w:pPr>
              <w:pStyle w:val="Tabletext"/>
              <w:rPr>
                <w:lang w:val="fr-FR"/>
              </w:rPr>
            </w:pPr>
            <w:r w:rsidRPr="00EF1CC7">
              <w:rPr>
                <w:rFonts w:asciiTheme="majorBidi" w:hAnsiTheme="majorBidi" w:cstheme="majorBidi"/>
                <w:lang w:val="fr-FR"/>
              </w:rPr>
              <w:t>M.</w:t>
            </w:r>
            <w:r w:rsidR="00043522" w:rsidRPr="00EF1CC7">
              <w:rPr>
                <w:rFonts w:asciiTheme="majorBidi" w:hAnsiTheme="majorBidi" w:cstheme="majorBidi"/>
                <w:lang w:val="fr-FR"/>
              </w:rPr>
              <w:t xml:space="preserve"> David W</w:t>
            </w:r>
            <w:r w:rsidR="000543AF" w:rsidRPr="00EF1CC7">
              <w:rPr>
                <w:rFonts w:asciiTheme="majorBidi" w:hAnsiTheme="majorBidi" w:cstheme="majorBidi"/>
                <w:lang w:val="fr-FR"/>
              </w:rPr>
              <w:t>atrin</w:t>
            </w:r>
            <w:r w:rsidR="00043522" w:rsidRPr="00EF1CC7">
              <w:rPr>
                <w:rFonts w:asciiTheme="majorBidi" w:hAnsiTheme="majorBidi" w:cstheme="majorBidi"/>
                <w:lang w:val="fr-FR"/>
              </w:rPr>
              <w:t xml:space="preserve"> (Swisscom).</w:t>
            </w:r>
          </w:p>
        </w:tc>
        <w:tc>
          <w:tcPr>
            <w:tcW w:w="5225" w:type="dxa"/>
            <w:shd w:val="clear" w:color="auto" w:fill="auto"/>
          </w:tcPr>
          <w:p w14:paraId="2890E65B" w14:textId="77777777" w:rsidR="00043522" w:rsidRPr="00EF1CC7" w:rsidRDefault="002A041E" w:rsidP="00E31B2B">
            <w:pPr>
              <w:pStyle w:val="Tabletext"/>
              <w:rPr>
                <w:lang w:val="fr-FR"/>
              </w:rPr>
            </w:pPr>
            <w:r w:rsidRPr="00EF1CC7">
              <w:rPr>
                <w:lang w:val="fr-FR"/>
              </w:rPr>
              <w:t>Mme</w:t>
            </w:r>
            <w:r w:rsidR="00043522" w:rsidRPr="00EF1CC7">
              <w:rPr>
                <w:lang w:val="fr-FR"/>
              </w:rPr>
              <w:t xml:space="preserve"> Suzana M</w:t>
            </w:r>
            <w:r w:rsidR="000543AF" w:rsidRPr="00EF1CC7">
              <w:rPr>
                <w:lang w:val="fr-FR"/>
              </w:rPr>
              <w:t>aranhão</w:t>
            </w:r>
            <w:r w:rsidR="00043522" w:rsidRPr="00EF1CC7">
              <w:rPr>
                <w:lang w:val="fr-FR"/>
              </w:rPr>
              <w:t xml:space="preserve">, </w:t>
            </w:r>
            <w:r w:rsidR="00BA3BFF" w:rsidRPr="00EF1CC7">
              <w:rPr>
                <w:lang w:val="fr-FR"/>
              </w:rPr>
              <w:t xml:space="preserve">Banque de développement du Brésil </w:t>
            </w:r>
            <w:r w:rsidR="00043522" w:rsidRPr="00EF1CC7">
              <w:rPr>
                <w:lang w:val="fr-FR"/>
              </w:rPr>
              <w:t xml:space="preserve">(BNDES), </w:t>
            </w:r>
            <w:r w:rsidR="00BA3BFF" w:rsidRPr="00EF1CC7">
              <w:rPr>
                <w:lang w:val="fr-FR"/>
              </w:rPr>
              <w:t>Brésil</w:t>
            </w:r>
            <w:r w:rsidR="00043522" w:rsidRPr="00EF1CC7">
              <w:rPr>
                <w:lang w:val="fr-FR"/>
              </w:rPr>
              <w:t>.</w:t>
            </w:r>
          </w:p>
        </w:tc>
      </w:tr>
      <w:tr w:rsidR="00043522" w:rsidRPr="00E31B2B" w14:paraId="642C9E63" w14:textId="77777777" w:rsidTr="00500DB0">
        <w:trPr>
          <w:cantSplit/>
          <w:tblHeader/>
          <w:jc w:val="center"/>
        </w:trPr>
        <w:tc>
          <w:tcPr>
            <w:tcW w:w="2112" w:type="dxa"/>
            <w:shd w:val="clear" w:color="auto" w:fill="auto"/>
          </w:tcPr>
          <w:p w14:paraId="4B791CE3" w14:textId="77777777" w:rsidR="00043522" w:rsidRPr="00EF1CC7" w:rsidRDefault="006A6612" w:rsidP="00E31B2B">
            <w:pPr>
              <w:pStyle w:val="Tabletext"/>
              <w:rPr>
                <w:lang w:val="fr-FR"/>
              </w:rPr>
            </w:pPr>
            <w:r w:rsidRPr="00EF1CC7">
              <w:rPr>
                <w:lang w:val="fr-FR"/>
              </w:rPr>
              <w:t>Informatique quantique pour les réseaux</w:t>
            </w:r>
            <w:r w:rsidR="00043522" w:rsidRPr="00EF1CC7">
              <w:rPr>
                <w:lang w:val="fr-FR"/>
              </w:rPr>
              <w:t xml:space="preserve"> (FG</w:t>
            </w:r>
            <w:r w:rsidR="00CF505F" w:rsidRPr="00EF1CC7">
              <w:rPr>
                <w:lang w:val="fr-FR"/>
              </w:rPr>
              <w:noBreakHyphen/>
            </w:r>
            <w:r w:rsidR="00043522" w:rsidRPr="00EF1CC7">
              <w:rPr>
                <w:lang w:val="fr-FR"/>
              </w:rPr>
              <w:t>QIT4N)</w:t>
            </w:r>
          </w:p>
        </w:tc>
        <w:tc>
          <w:tcPr>
            <w:tcW w:w="2265" w:type="dxa"/>
            <w:shd w:val="clear" w:color="auto" w:fill="auto"/>
          </w:tcPr>
          <w:p w14:paraId="00561373" w14:textId="77777777" w:rsidR="00043522" w:rsidRPr="00EF1CC7" w:rsidRDefault="002A041E" w:rsidP="00E31B2B">
            <w:pPr>
              <w:pStyle w:val="Tabletext"/>
              <w:rPr>
                <w:lang w:val="fr-FR"/>
              </w:rPr>
            </w:pPr>
            <w:r w:rsidRPr="00EF1CC7">
              <w:rPr>
                <w:lang w:val="fr-FR"/>
              </w:rPr>
              <w:t>M.</w:t>
            </w:r>
            <w:r w:rsidR="00043522" w:rsidRPr="00EF1CC7">
              <w:rPr>
                <w:lang w:val="fr-FR"/>
              </w:rPr>
              <w:t xml:space="preserve"> Q</w:t>
            </w:r>
            <w:r w:rsidR="000543AF" w:rsidRPr="00EF1CC7">
              <w:rPr>
                <w:lang w:val="fr-FR"/>
              </w:rPr>
              <w:t>iang</w:t>
            </w:r>
            <w:r w:rsidR="00043522" w:rsidRPr="00EF1CC7">
              <w:rPr>
                <w:lang w:val="fr-FR"/>
              </w:rPr>
              <w:t xml:space="preserve"> Z</w:t>
            </w:r>
            <w:r w:rsidR="000543AF" w:rsidRPr="00EF1CC7">
              <w:rPr>
                <w:lang w:val="fr-FR"/>
              </w:rPr>
              <w:t>hang</w:t>
            </w:r>
            <w:r w:rsidR="00043522" w:rsidRPr="00EF1CC7">
              <w:rPr>
                <w:lang w:val="fr-FR"/>
              </w:rPr>
              <w:t xml:space="preserve">, </w:t>
            </w:r>
            <w:r w:rsidR="00996A41" w:rsidRPr="00EF1CC7">
              <w:rPr>
                <w:lang w:val="fr-FR"/>
              </w:rPr>
              <w:t>Université chinoise des sciences et des technologies</w:t>
            </w:r>
            <w:r w:rsidR="00043522" w:rsidRPr="00EF1CC7">
              <w:rPr>
                <w:lang w:val="fr-FR"/>
              </w:rPr>
              <w:t xml:space="preserve"> (USTC), </w:t>
            </w:r>
            <w:r w:rsidR="00996A41" w:rsidRPr="00EF1CC7">
              <w:rPr>
                <w:lang w:val="fr-FR"/>
              </w:rPr>
              <w:t>Chine (République populaire de)</w:t>
            </w:r>
            <w:r w:rsidR="00043522" w:rsidRPr="00EF1CC7">
              <w:rPr>
                <w:lang w:val="fr-FR"/>
              </w:rPr>
              <w:t>;</w:t>
            </w:r>
          </w:p>
          <w:p w14:paraId="0134D43C" w14:textId="77777777" w:rsidR="00043522" w:rsidRPr="00EF1CC7" w:rsidRDefault="002A041E" w:rsidP="00E31B2B">
            <w:pPr>
              <w:pStyle w:val="Tabletext"/>
              <w:spacing w:before="120" w:after="120"/>
              <w:rPr>
                <w:lang w:val="fr-FR"/>
              </w:rPr>
            </w:pPr>
            <w:r w:rsidRPr="00EF1CC7">
              <w:rPr>
                <w:lang w:val="fr-FR"/>
              </w:rPr>
              <w:t>M.</w:t>
            </w:r>
            <w:r w:rsidR="00043522" w:rsidRPr="00EF1CC7">
              <w:rPr>
                <w:lang w:val="fr-FR"/>
              </w:rPr>
              <w:t xml:space="preserve"> Alexey B</w:t>
            </w:r>
            <w:r w:rsidR="000543AF" w:rsidRPr="00EF1CC7">
              <w:rPr>
                <w:lang w:val="fr-FR"/>
              </w:rPr>
              <w:t>orodin</w:t>
            </w:r>
            <w:r w:rsidR="00043522" w:rsidRPr="00EF1CC7">
              <w:rPr>
                <w:lang w:val="fr-FR"/>
              </w:rPr>
              <w:t xml:space="preserve">, (Rostelecom, </w:t>
            </w:r>
            <w:r w:rsidR="00DA6E23" w:rsidRPr="00EF1CC7">
              <w:rPr>
                <w:lang w:val="fr-FR"/>
              </w:rPr>
              <w:t>Fédération de Russie</w:t>
            </w:r>
            <w:r w:rsidR="00043522" w:rsidRPr="00EF1CC7">
              <w:rPr>
                <w:lang w:val="fr-FR"/>
              </w:rPr>
              <w:t>);</w:t>
            </w:r>
          </w:p>
          <w:p w14:paraId="62BEB0C7" w14:textId="5782DA2B" w:rsidR="00043522" w:rsidRPr="00EF1CC7" w:rsidRDefault="002A041E" w:rsidP="00E31B2B">
            <w:pPr>
              <w:pStyle w:val="Tabletext"/>
              <w:rPr>
                <w:lang w:val="fr-FR"/>
              </w:rPr>
            </w:pPr>
            <w:r w:rsidRPr="00EF1CC7">
              <w:rPr>
                <w:lang w:val="fr-FR"/>
              </w:rPr>
              <w:t>M.</w:t>
            </w:r>
            <w:r w:rsidR="00043522" w:rsidRPr="00EF1CC7">
              <w:rPr>
                <w:lang w:val="fr-FR"/>
              </w:rPr>
              <w:t xml:space="preserve"> James N</w:t>
            </w:r>
            <w:r w:rsidR="000543AF" w:rsidRPr="00EF1CC7">
              <w:rPr>
                <w:lang w:val="fr-FR"/>
              </w:rPr>
              <w:t>agel</w:t>
            </w:r>
            <w:r w:rsidR="00043522" w:rsidRPr="00EF1CC7">
              <w:rPr>
                <w:lang w:val="fr-FR"/>
              </w:rPr>
              <w:t xml:space="preserve">, (L3Harris Technologies, </w:t>
            </w:r>
            <w:r w:rsidR="007B6226" w:rsidRPr="00EF1CC7">
              <w:rPr>
                <w:lang w:val="fr-FR"/>
              </w:rPr>
              <w:t>États-Unis d</w:t>
            </w:r>
            <w:r w:rsidR="00E31B2B">
              <w:rPr>
                <w:lang w:val="fr-FR"/>
              </w:rPr>
              <w:t>'</w:t>
            </w:r>
            <w:r w:rsidR="007B6226" w:rsidRPr="00EF1CC7">
              <w:rPr>
                <w:lang w:val="fr-FR"/>
              </w:rPr>
              <w:t>Amérique</w:t>
            </w:r>
            <w:r w:rsidR="00043522" w:rsidRPr="00EF1CC7">
              <w:rPr>
                <w:lang w:val="fr-FR"/>
              </w:rPr>
              <w:t>).</w:t>
            </w:r>
          </w:p>
        </w:tc>
        <w:tc>
          <w:tcPr>
            <w:tcW w:w="5225" w:type="dxa"/>
            <w:shd w:val="clear" w:color="auto" w:fill="auto"/>
          </w:tcPr>
          <w:p w14:paraId="4890A63C" w14:textId="77777777" w:rsidR="00043522" w:rsidRPr="00EF1CC7" w:rsidRDefault="002A041E" w:rsidP="00E31B2B">
            <w:pPr>
              <w:pStyle w:val="Tabletext"/>
              <w:rPr>
                <w:lang w:val="fr-FR"/>
              </w:rPr>
            </w:pPr>
            <w:r w:rsidRPr="00EF1CC7">
              <w:rPr>
                <w:lang w:val="fr-FR"/>
              </w:rPr>
              <w:t>M.</w:t>
            </w:r>
            <w:r w:rsidR="00043522" w:rsidRPr="00EF1CC7">
              <w:rPr>
                <w:lang w:val="fr-FR"/>
              </w:rPr>
              <w:t xml:space="preserve"> Dong-Hi S</w:t>
            </w:r>
            <w:r w:rsidR="000543AF" w:rsidRPr="00EF1CC7">
              <w:rPr>
                <w:lang w:val="fr-FR"/>
              </w:rPr>
              <w:t>im</w:t>
            </w:r>
            <w:r w:rsidR="00043522" w:rsidRPr="00EF1CC7">
              <w:rPr>
                <w:lang w:val="fr-FR"/>
              </w:rPr>
              <w:t xml:space="preserve">, SK Telecom, </w:t>
            </w:r>
            <w:r w:rsidR="00EC6EEA" w:rsidRPr="00EF1CC7">
              <w:rPr>
                <w:lang w:val="fr-FR"/>
              </w:rPr>
              <w:t>Corée (Rép. de)</w:t>
            </w:r>
            <w:r w:rsidR="00043522" w:rsidRPr="00EF1CC7">
              <w:rPr>
                <w:lang w:val="fr-FR"/>
              </w:rPr>
              <w:t>;</w:t>
            </w:r>
          </w:p>
          <w:p w14:paraId="70462615" w14:textId="482DC44B" w:rsidR="00043522" w:rsidRPr="00EF1CC7" w:rsidRDefault="002A041E" w:rsidP="00E31B2B">
            <w:pPr>
              <w:pStyle w:val="Tabletext"/>
              <w:rPr>
                <w:lang w:val="fr-FR"/>
              </w:rPr>
            </w:pPr>
            <w:r w:rsidRPr="00EF1CC7">
              <w:rPr>
                <w:lang w:val="fr-FR"/>
              </w:rPr>
              <w:t>M.</w:t>
            </w:r>
            <w:r w:rsidR="00043522" w:rsidRPr="00EF1CC7">
              <w:rPr>
                <w:lang w:val="fr-FR"/>
              </w:rPr>
              <w:t xml:space="preserve"> Fahad A</w:t>
            </w:r>
            <w:r w:rsidR="000543AF" w:rsidRPr="00EF1CC7">
              <w:rPr>
                <w:lang w:val="fr-FR"/>
              </w:rPr>
              <w:t>lduraibi</w:t>
            </w:r>
            <w:r w:rsidR="00043522" w:rsidRPr="00EF1CC7">
              <w:rPr>
                <w:lang w:val="fr-FR"/>
              </w:rPr>
              <w:t xml:space="preserve">, </w:t>
            </w:r>
            <w:r w:rsidR="00EC6EEA" w:rsidRPr="00EF1CC7">
              <w:rPr>
                <w:lang w:val="fr-FR"/>
              </w:rPr>
              <w:t>Commission des technologies de la communication et de l</w:t>
            </w:r>
            <w:r w:rsidR="00E31B2B">
              <w:rPr>
                <w:lang w:val="fr-FR"/>
              </w:rPr>
              <w:t>'</w:t>
            </w:r>
            <w:r w:rsidR="00EC6EEA" w:rsidRPr="00EF1CC7">
              <w:rPr>
                <w:lang w:val="fr-FR"/>
              </w:rPr>
              <w:t>information (CITC)</w:t>
            </w:r>
            <w:r w:rsidR="00043522" w:rsidRPr="00EF1CC7">
              <w:rPr>
                <w:lang w:val="fr-FR"/>
              </w:rPr>
              <w:t xml:space="preserve">, </w:t>
            </w:r>
            <w:r w:rsidR="00EC6EEA" w:rsidRPr="00EF1CC7">
              <w:rPr>
                <w:lang w:val="fr-FR"/>
              </w:rPr>
              <w:t>Arabie saoudite</w:t>
            </w:r>
            <w:r w:rsidR="00043522" w:rsidRPr="00EF1CC7">
              <w:rPr>
                <w:lang w:val="fr-FR"/>
              </w:rPr>
              <w:t>;</w:t>
            </w:r>
          </w:p>
          <w:p w14:paraId="4E2FEF1C" w14:textId="77777777" w:rsidR="00043522" w:rsidRPr="00CF3B78" w:rsidRDefault="002A041E" w:rsidP="00E31B2B">
            <w:pPr>
              <w:pStyle w:val="Tabletext"/>
              <w:rPr>
                <w:lang w:val="en-US"/>
              </w:rPr>
            </w:pPr>
            <w:r w:rsidRPr="00CF3B78">
              <w:rPr>
                <w:lang w:val="en-US"/>
              </w:rPr>
              <w:t>M.</w:t>
            </w:r>
            <w:r w:rsidR="00043522" w:rsidRPr="00CF3B78">
              <w:rPr>
                <w:lang w:val="en-US"/>
              </w:rPr>
              <w:t xml:space="preserve"> Helmut G</w:t>
            </w:r>
            <w:r w:rsidR="000543AF" w:rsidRPr="00CF3B78">
              <w:rPr>
                <w:lang w:val="en-US"/>
              </w:rPr>
              <w:t>riesser</w:t>
            </w:r>
            <w:r w:rsidR="00043522" w:rsidRPr="00CF3B78">
              <w:rPr>
                <w:lang w:val="en-US"/>
              </w:rPr>
              <w:t xml:space="preserve">, Adva Optical Networking, </w:t>
            </w:r>
            <w:r w:rsidR="000A67D9" w:rsidRPr="00CF3B78">
              <w:rPr>
                <w:lang w:val="en-US"/>
              </w:rPr>
              <w:t>Allemagne</w:t>
            </w:r>
            <w:r w:rsidR="00043522" w:rsidRPr="00CF3B78">
              <w:rPr>
                <w:lang w:val="en-US"/>
              </w:rPr>
              <w:t>;</w:t>
            </w:r>
          </w:p>
          <w:p w14:paraId="1FF4EC33" w14:textId="77777777" w:rsidR="00043522" w:rsidRPr="00EF1CC7" w:rsidRDefault="002A041E" w:rsidP="00E31B2B">
            <w:pPr>
              <w:pStyle w:val="Tabletext"/>
              <w:rPr>
                <w:lang w:val="fr-FR"/>
              </w:rPr>
            </w:pPr>
            <w:r w:rsidRPr="00EF1CC7">
              <w:rPr>
                <w:lang w:val="fr-FR"/>
              </w:rPr>
              <w:t>M.</w:t>
            </w:r>
            <w:r w:rsidR="00043522" w:rsidRPr="00EF1CC7">
              <w:rPr>
                <w:lang w:val="fr-FR"/>
              </w:rPr>
              <w:t xml:space="preserve"> Hyungsoo (Hans) K</w:t>
            </w:r>
            <w:r w:rsidR="000543AF" w:rsidRPr="00EF1CC7">
              <w:rPr>
                <w:lang w:val="fr-FR"/>
              </w:rPr>
              <w:t>im</w:t>
            </w:r>
            <w:r w:rsidR="00043522" w:rsidRPr="00EF1CC7">
              <w:rPr>
                <w:lang w:val="fr-FR"/>
              </w:rPr>
              <w:t xml:space="preserve">, KT Corporation, </w:t>
            </w:r>
            <w:r w:rsidR="005932C3" w:rsidRPr="00EF1CC7">
              <w:rPr>
                <w:lang w:val="fr-FR"/>
              </w:rPr>
              <w:t>Corée (Rép. de)</w:t>
            </w:r>
            <w:r w:rsidR="00043522" w:rsidRPr="00EF1CC7">
              <w:rPr>
                <w:lang w:val="fr-FR"/>
              </w:rPr>
              <w:t>;</w:t>
            </w:r>
          </w:p>
          <w:p w14:paraId="12163101" w14:textId="77777777" w:rsidR="00043522" w:rsidRPr="00EF1CC7" w:rsidRDefault="002A041E" w:rsidP="00E31B2B">
            <w:pPr>
              <w:pStyle w:val="Tabletext"/>
              <w:rPr>
                <w:lang w:val="fr-FR"/>
              </w:rPr>
            </w:pPr>
            <w:r w:rsidRPr="00EF1CC7">
              <w:rPr>
                <w:lang w:val="fr-FR"/>
              </w:rPr>
              <w:t>M.</w:t>
            </w:r>
            <w:r w:rsidR="00043522" w:rsidRPr="00EF1CC7">
              <w:rPr>
                <w:lang w:val="fr-FR"/>
              </w:rPr>
              <w:t xml:space="preserve"> Jiajun M</w:t>
            </w:r>
            <w:r w:rsidR="000543AF" w:rsidRPr="00EF1CC7">
              <w:rPr>
                <w:lang w:val="fr-FR"/>
              </w:rPr>
              <w:t>a</w:t>
            </w:r>
            <w:r w:rsidR="00043522" w:rsidRPr="00EF1CC7">
              <w:rPr>
                <w:lang w:val="fr-FR"/>
              </w:rPr>
              <w:t xml:space="preserve">, QuantumCTek Co. Ltd., </w:t>
            </w:r>
            <w:r w:rsidR="00163EAB" w:rsidRPr="00EF1CC7">
              <w:rPr>
                <w:lang w:val="fr-FR"/>
              </w:rPr>
              <w:t xml:space="preserve">Chine </w:t>
            </w:r>
            <w:r w:rsidR="00043522" w:rsidRPr="00EF1CC7">
              <w:rPr>
                <w:lang w:val="fr-FR"/>
              </w:rPr>
              <w:t>(</w:t>
            </w:r>
            <w:r w:rsidR="00163EAB" w:rsidRPr="00EF1CC7">
              <w:rPr>
                <w:lang w:val="fr-FR"/>
              </w:rPr>
              <w:t>République populaire de</w:t>
            </w:r>
            <w:r w:rsidR="00043522" w:rsidRPr="00EF1CC7">
              <w:rPr>
                <w:lang w:val="fr-FR"/>
              </w:rPr>
              <w:t>);</w:t>
            </w:r>
          </w:p>
          <w:p w14:paraId="7862A9FC" w14:textId="3828194D" w:rsidR="00043522" w:rsidRPr="00EF1CC7" w:rsidRDefault="002A041E" w:rsidP="00E31B2B">
            <w:pPr>
              <w:pStyle w:val="Tabletext"/>
              <w:rPr>
                <w:lang w:val="fr-FR"/>
              </w:rPr>
            </w:pPr>
            <w:r w:rsidRPr="00EF1CC7">
              <w:rPr>
                <w:lang w:val="fr-FR"/>
              </w:rPr>
              <w:t>M.</w:t>
            </w:r>
            <w:r w:rsidR="00043522" w:rsidRPr="00EF1CC7">
              <w:rPr>
                <w:lang w:val="fr-FR"/>
              </w:rPr>
              <w:t xml:space="preserve"> Junsen L</w:t>
            </w:r>
            <w:r w:rsidR="000543AF" w:rsidRPr="00EF1CC7">
              <w:rPr>
                <w:lang w:val="fr-FR"/>
              </w:rPr>
              <w:t>ai</w:t>
            </w:r>
            <w:r w:rsidR="00043522" w:rsidRPr="00EF1CC7">
              <w:rPr>
                <w:lang w:val="fr-FR"/>
              </w:rPr>
              <w:t xml:space="preserve">, </w:t>
            </w:r>
            <w:r w:rsidR="002C2233" w:rsidRPr="00EF1CC7">
              <w:rPr>
                <w:lang w:val="fr-FR"/>
              </w:rPr>
              <w:t>Académie chinoise des technologies de l</w:t>
            </w:r>
            <w:r w:rsidR="00E31B2B">
              <w:rPr>
                <w:lang w:val="fr-FR"/>
              </w:rPr>
              <w:t>'</w:t>
            </w:r>
            <w:r w:rsidR="002C2233" w:rsidRPr="00EF1CC7">
              <w:rPr>
                <w:lang w:val="fr-FR"/>
              </w:rPr>
              <w:t>information et de la communication (CAICT)</w:t>
            </w:r>
            <w:r w:rsidR="00043522" w:rsidRPr="00EF1CC7">
              <w:rPr>
                <w:lang w:val="fr-FR"/>
              </w:rPr>
              <w:t xml:space="preserve">, </w:t>
            </w:r>
            <w:r w:rsidR="002C2233" w:rsidRPr="00EF1CC7">
              <w:rPr>
                <w:lang w:val="fr-FR"/>
              </w:rPr>
              <w:t>Chine (République populaire de)</w:t>
            </w:r>
            <w:r w:rsidR="00043522" w:rsidRPr="00EF1CC7">
              <w:rPr>
                <w:lang w:val="fr-FR"/>
              </w:rPr>
              <w:t>;</w:t>
            </w:r>
          </w:p>
          <w:p w14:paraId="7C201258" w14:textId="6BCA084D" w:rsidR="00043522" w:rsidRPr="00EF1CC7" w:rsidRDefault="002A041E" w:rsidP="00E31B2B">
            <w:pPr>
              <w:pStyle w:val="Tabletext"/>
              <w:rPr>
                <w:lang w:val="fr-FR"/>
              </w:rPr>
            </w:pPr>
            <w:r w:rsidRPr="00EF1CC7">
              <w:rPr>
                <w:lang w:val="fr-FR"/>
              </w:rPr>
              <w:t>M.</w:t>
            </w:r>
            <w:r w:rsidR="00043522" w:rsidRPr="00EF1CC7">
              <w:rPr>
                <w:lang w:val="fr-FR"/>
              </w:rPr>
              <w:t xml:space="preserve"> Kaoru K</w:t>
            </w:r>
            <w:r w:rsidR="000543AF" w:rsidRPr="00EF1CC7">
              <w:rPr>
                <w:lang w:val="fr-FR"/>
              </w:rPr>
              <w:t>enyoshi</w:t>
            </w:r>
            <w:r w:rsidR="00043522" w:rsidRPr="00EF1CC7">
              <w:rPr>
                <w:lang w:val="fr-FR"/>
              </w:rPr>
              <w:t xml:space="preserve">, </w:t>
            </w:r>
            <w:r w:rsidR="00333279" w:rsidRPr="00EF1CC7">
              <w:rPr>
                <w:lang w:val="fr-FR"/>
              </w:rPr>
              <w:t>Institut national des technologies de l</w:t>
            </w:r>
            <w:r w:rsidR="00E31B2B">
              <w:rPr>
                <w:lang w:val="fr-FR"/>
              </w:rPr>
              <w:t>'</w:t>
            </w:r>
            <w:r w:rsidR="00333279" w:rsidRPr="00EF1CC7">
              <w:rPr>
                <w:lang w:val="fr-FR"/>
              </w:rPr>
              <w:t>information et de la communication (NICT)</w:t>
            </w:r>
            <w:r w:rsidR="00043522" w:rsidRPr="00EF1CC7">
              <w:rPr>
                <w:lang w:val="fr-FR"/>
              </w:rPr>
              <w:t xml:space="preserve">, </w:t>
            </w:r>
            <w:r w:rsidR="00333279" w:rsidRPr="00EF1CC7">
              <w:rPr>
                <w:lang w:val="fr-FR"/>
              </w:rPr>
              <w:t>Japon</w:t>
            </w:r>
            <w:r w:rsidR="00043522" w:rsidRPr="00EF1CC7">
              <w:rPr>
                <w:lang w:val="fr-FR"/>
              </w:rPr>
              <w:t>;</w:t>
            </w:r>
          </w:p>
          <w:p w14:paraId="756CA616" w14:textId="77777777" w:rsidR="00043522" w:rsidRPr="00EF1CC7" w:rsidRDefault="002A041E" w:rsidP="00E31B2B">
            <w:pPr>
              <w:pStyle w:val="Tabletext"/>
              <w:rPr>
                <w:lang w:val="fr-FR"/>
              </w:rPr>
            </w:pPr>
            <w:r w:rsidRPr="00EF1CC7">
              <w:rPr>
                <w:lang w:val="fr-FR"/>
              </w:rPr>
              <w:t>M.</w:t>
            </w:r>
            <w:r w:rsidR="00043522" w:rsidRPr="00EF1CC7">
              <w:rPr>
                <w:lang w:val="fr-FR"/>
              </w:rPr>
              <w:t xml:space="preserve"> Momtchil P</w:t>
            </w:r>
            <w:r w:rsidR="000543AF" w:rsidRPr="00EF1CC7">
              <w:rPr>
                <w:lang w:val="fr-FR"/>
              </w:rPr>
              <w:t>eev</w:t>
            </w:r>
            <w:r w:rsidR="00043522" w:rsidRPr="00EF1CC7">
              <w:rPr>
                <w:lang w:val="fr-FR"/>
              </w:rPr>
              <w:t xml:space="preserve">, Huawei Technologies Duesseldorf GmbH (HWDU), </w:t>
            </w:r>
            <w:r w:rsidR="008E1F43" w:rsidRPr="00EF1CC7">
              <w:rPr>
                <w:lang w:val="fr-FR"/>
              </w:rPr>
              <w:t>Allemagne</w:t>
            </w:r>
            <w:r w:rsidR="00043522" w:rsidRPr="00EF1CC7">
              <w:rPr>
                <w:lang w:val="fr-FR"/>
              </w:rPr>
              <w:t>.</w:t>
            </w:r>
          </w:p>
        </w:tc>
      </w:tr>
    </w:tbl>
    <w:p w14:paraId="1EC53AAC" w14:textId="77777777" w:rsidR="00043522" w:rsidRPr="00EF1CC7" w:rsidRDefault="00043522" w:rsidP="00E31B2B">
      <w:pPr>
        <w:pStyle w:val="TableNo"/>
        <w:rPr>
          <w:sz w:val="24"/>
          <w:lang w:val="fr-FR"/>
        </w:rPr>
      </w:pPr>
      <w:r w:rsidRPr="00EF1CC7">
        <w:rPr>
          <w:sz w:val="24"/>
          <w:lang w:val="fr-FR"/>
        </w:rPr>
        <w:lastRenderedPageBreak/>
        <w:t>TABLEAU 3</w:t>
      </w:r>
    </w:p>
    <w:p w14:paraId="0F6891E2" w14:textId="77777777" w:rsidR="00043522" w:rsidRPr="00EF1CC7" w:rsidRDefault="0080585C" w:rsidP="00E31B2B">
      <w:pPr>
        <w:pStyle w:val="Tabletitle"/>
        <w:rPr>
          <w:sz w:val="24"/>
          <w:lang w:val="fr-FR"/>
        </w:rPr>
      </w:pPr>
      <w:r w:rsidRPr="00EF1CC7">
        <w:rPr>
          <w:sz w:val="24"/>
          <w:lang w:val="fr-FR"/>
        </w:rPr>
        <w:t>Autres groupes (le cas échéant)</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71"/>
        <w:gridCol w:w="2268"/>
        <w:gridCol w:w="3663"/>
      </w:tblGrid>
      <w:tr w:rsidR="00043522" w:rsidRPr="00EF1CC7" w14:paraId="5A6102AF" w14:textId="77777777" w:rsidTr="00500DB0">
        <w:trPr>
          <w:cantSplit/>
          <w:tblHeader/>
          <w:jc w:val="center"/>
        </w:trPr>
        <w:tc>
          <w:tcPr>
            <w:tcW w:w="3671" w:type="dxa"/>
            <w:tcBorders>
              <w:top w:val="single" w:sz="12" w:space="0" w:color="auto"/>
              <w:bottom w:val="single" w:sz="12" w:space="0" w:color="auto"/>
            </w:tcBorders>
            <w:shd w:val="clear" w:color="auto" w:fill="auto"/>
            <w:vAlign w:val="center"/>
          </w:tcPr>
          <w:p w14:paraId="39B143D3" w14:textId="77777777" w:rsidR="00043522" w:rsidRPr="00EF1CC7" w:rsidRDefault="00164F8C" w:rsidP="00E31B2B">
            <w:pPr>
              <w:pStyle w:val="Tablehead"/>
              <w:keepNext w:val="0"/>
              <w:rPr>
                <w:lang w:val="fr-FR"/>
              </w:rPr>
            </w:pPr>
            <w:r w:rsidRPr="00EF1CC7">
              <w:rPr>
                <w:lang w:val="fr-FR"/>
              </w:rPr>
              <w:t>Nom du groupe</w:t>
            </w:r>
            <w:r w:rsidR="00D63605" w:rsidRPr="00EF1CC7">
              <w:rPr>
                <w:lang w:val="fr-FR"/>
              </w:rPr>
              <w:t xml:space="preserve"> spécialisé</w:t>
            </w:r>
          </w:p>
        </w:tc>
        <w:tc>
          <w:tcPr>
            <w:tcW w:w="2268" w:type="dxa"/>
            <w:tcBorders>
              <w:top w:val="single" w:sz="12" w:space="0" w:color="auto"/>
              <w:bottom w:val="single" w:sz="12" w:space="0" w:color="auto"/>
            </w:tcBorders>
            <w:shd w:val="clear" w:color="auto" w:fill="auto"/>
            <w:vAlign w:val="center"/>
          </w:tcPr>
          <w:p w14:paraId="6083BC62" w14:textId="77777777" w:rsidR="00043522" w:rsidRPr="00EF1CC7" w:rsidRDefault="00164F8C" w:rsidP="00E31B2B">
            <w:pPr>
              <w:pStyle w:val="Tablehead"/>
              <w:rPr>
                <w:lang w:val="fr-FR"/>
              </w:rPr>
            </w:pPr>
            <w:r w:rsidRPr="00EF1CC7">
              <w:rPr>
                <w:lang w:val="fr-FR"/>
              </w:rPr>
              <w:t>Président</w:t>
            </w:r>
          </w:p>
        </w:tc>
        <w:tc>
          <w:tcPr>
            <w:tcW w:w="3663" w:type="dxa"/>
            <w:tcBorders>
              <w:top w:val="single" w:sz="12" w:space="0" w:color="auto"/>
              <w:bottom w:val="single" w:sz="12" w:space="0" w:color="auto"/>
            </w:tcBorders>
            <w:shd w:val="clear" w:color="auto" w:fill="auto"/>
            <w:vAlign w:val="center"/>
          </w:tcPr>
          <w:p w14:paraId="38DEE76D" w14:textId="77777777" w:rsidR="00043522" w:rsidRPr="00EF1CC7" w:rsidRDefault="004C058E" w:rsidP="00E31B2B">
            <w:pPr>
              <w:pStyle w:val="Tablehead"/>
              <w:rPr>
                <w:lang w:val="fr-FR"/>
              </w:rPr>
            </w:pPr>
            <w:r w:rsidRPr="00EF1CC7">
              <w:rPr>
                <w:lang w:val="fr-FR"/>
              </w:rPr>
              <w:t>Coprésidents/Vice-Présidents</w:t>
            </w:r>
          </w:p>
        </w:tc>
      </w:tr>
      <w:tr w:rsidR="00043522" w:rsidRPr="00E31B2B" w14:paraId="4C13442A" w14:textId="77777777" w:rsidTr="00500DB0">
        <w:trPr>
          <w:cantSplit/>
          <w:tblHeader/>
          <w:jc w:val="center"/>
        </w:trPr>
        <w:tc>
          <w:tcPr>
            <w:tcW w:w="3671" w:type="dxa"/>
            <w:tcBorders>
              <w:top w:val="single" w:sz="12" w:space="0" w:color="auto"/>
              <w:bottom w:val="single" w:sz="4" w:space="0" w:color="auto"/>
            </w:tcBorders>
            <w:shd w:val="clear" w:color="auto" w:fill="auto"/>
          </w:tcPr>
          <w:p w14:paraId="56B0D55B" w14:textId="54B22BC1" w:rsidR="003502AD" w:rsidRPr="00EF1CC7" w:rsidRDefault="003502AD" w:rsidP="00E31B2B">
            <w:pPr>
              <w:pStyle w:val="Tabletext"/>
              <w:rPr>
                <w:lang w:val="fr-FR"/>
              </w:rPr>
            </w:pPr>
            <w:r w:rsidRPr="00EF1CC7">
              <w:rPr>
                <w:lang w:val="fr-FR"/>
              </w:rPr>
              <w:t>Groupe ad hoc de l</w:t>
            </w:r>
            <w:r w:rsidR="00E31B2B">
              <w:rPr>
                <w:lang w:val="fr-FR"/>
              </w:rPr>
              <w:t>'</w:t>
            </w:r>
            <w:r w:rsidRPr="00EF1CC7">
              <w:rPr>
                <w:lang w:val="fr-FR"/>
              </w:rPr>
              <w:t>UIT-T sur la gouvernance et la gestion des réunions électroniques (AHG-GME)</w:t>
            </w:r>
          </w:p>
        </w:tc>
        <w:tc>
          <w:tcPr>
            <w:tcW w:w="2268" w:type="dxa"/>
            <w:tcBorders>
              <w:top w:val="single" w:sz="12" w:space="0" w:color="auto"/>
              <w:bottom w:val="single" w:sz="4" w:space="0" w:color="auto"/>
            </w:tcBorders>
            <w:shd w:val="clear" w:color="auto" w:fill="auto"/>
          </w:tcPr>
          <w:p w14:paraId="58F5DF78" w14:textId="77777777" w:rsidR="00043522" w:rsidRPr="00EF1CC7" w:rsidRDefault="002A041E" w:rsidP="00E31B2B">
            <w:pPr>
              <w:pStyle w:val="Tabletext"/>
              <w:rPr>
                <w:lang w:val="fr-FR"/>
              </w:rPr>
            </w:pPr>
            <w:r w:rsidRPr="00EF1CC7">
              <w:rPr>
                <w:lang w:val="fr-FR"/>
              </w:rPr>
              <w:t>M.</w:t>
            </w:r>
            <w:r w:rsidR="00043522" w:rsidRPr="00EF1CC7">
              <w:rPr>
                <w:lang w:val="fr-FR"/>
              </w:rPr>
              <w:t xml:space="preserve"> Philip R</w:t>
            </w:r>
            <w:r w:rsidR="00550A53" w:rsidRPr="00EF1CC7">
              <w:rPr>
                <w:lang w:val="fr-FR"/>
              </w:rPr>
              <w:t>ushton</w:t>
            </w:r>
            <w:r w:rsidR="00043522" w:rsidRPr="00EF1CC7">
              <w:rPr>
                <w:lang w:val="fr-FR"/>
              </w:rPr>
              <w:t xml:space="preserve"> (</w:t>
            </w:r>
            <w:r w:rsidR="005A246B" w:rsidRPr="00EF1CC7">
              <w:rPr>
                <w:lang w:val="fr-FR"/>
              </w:rPr>
              <w:t>Royaume-Uni</w:t>
            </w:r>
            <w:r w:rsidR="00043522" w:rsidRPr="00EF1CC7">
              <w:rPr>
                <w:lang w:val="fr-FR"/>
              </w:rPr>
              <w:t>)</w:t>
            </w:r>
          </w:p>
        </w:tc>
        <w:tc>
          <w:tcPr>
            <w:tcW w:w="3663" w:type="dxa"/>
            <w:tcBorders>
              <w:top w:val="single" w:sz="12" w:space="0" w:color="auto"/>
              <w:bottom w:val="single" w:sz="4" w:space="0" w:color="auto"/>
            </w:tcBorders>
            <w:shd w:val="clear" w:color="auto" w:fill="auto"/>
          </w:tcPr>
          <w:p w14:paraId="6B8AEF82" w14:textId="77777777" w:rsidR="00043522" w:rsidRPr="00EF1CC7" w:rsidRDefault="00043522" w:rsidP="00E31B2B">
            <w:pPr>
              <w:pStyle w:val="Tabletext"/>
              <w:rPr>
                <w:lang w:val="fr-FR"/>
              </w:rPr>
            </w:pPr>
          </w:p>
        </w:tc>
      </w:tr>
      <w:tr w:rsidR="00043522" w:rsidRPr="00E31B2B" w14:paraId="4FEAF76E" w14:textId="77777777" w:rsidTr="00500DB0">
        <w:trPr>
          <w:cantSplit/>
          <w:tblHeader/>
          <w:jc w:val="center"/>
        </w:trPr>
        <w:tc>
          <w:tcPr>
            <w:tcW w:w="3671" w:type="dxa"/>
            <w:tcBorders>
              <w:top w:val="single" w:sz="4" w:space="0" w:color="auto"/>
              <w:bottom w:val="single" w:sz="4" w:space="0" w:color="auto"/>
            </w:tcBorders>
            <w:shd w:val="clear" w:color="auto" w:fill="auto"/>
          </w:tcPr>
          <w:p w14:paraId="1A2AD581" w14:textId="5D77CBC7" w:rsidR="00065A52" w:rsidRPr="00EF1CC7" w:rsidRDefault="00065A52" w:rsidP="00E31B2B">
            <w:pPr>
              <w:pStyle w:val="Tabletext"/>
              <w:rPr>
                <w:lang w:val="fr-FR"/>
              </w:rPr>
            </w:pPr>
            <w:r w:rsidRPr="00EF1CC7">
              <w:rPr>
                <w:lang w:val="fr-FR"/>
              </w:rPr>
              <w:t>Groupe de travail par correspondance de l</w:t>
            </w:r>
            <w:r w:rsidR="00E31B2B">
              <w:rPr>
                <w:lang w:val="fr-FR"/>
              </w:rPr>
              <w:t>'</w:t>
            </w:r>
            <w:r w:rsidRPr="00EF1CC7">
              <w:rPr>
                <w:lang w:val="fr-FR"/>
              </w:rPr>
              <w:t xml:space="preserve">UIT-T sur la restructuration des </w:t>
            </w:r>
            <w:r w:rsidR="00CF505F" w:rsidRPr="00EF1CC7">
              <w:rPr>
                <w:lang w:val="fr-FR"/>
              </w:rPr>
              <w:t>C</w:t>
            </w:r>
            <w:r w:rsidRPr="00EF1CC7">
              <w:rPr>
                <w:lang w:val="fr-FR"/>
              </w:rPr>
              <w:t>ommissions d</w:t>
            </w:r>
            <w:r w:rsidR="00E31B2B">
              <w:rPr>
                <w:lang w:val="fr-FR"/>
              </w:rPr>
              <w:t>'</w:t>
            </w:r>
            <w:r w:rsidRPr="00EF1CC7">
              <w:rPr>
                <w:lang w:val="fr-FR"/>
              </w:rPr>
              <w:t>études de l</w:t>
            </w:r>
            <w:r w:rsidR="00E31B2B">
              <w:rPr>
                <w:lang w:val="fr-FR"/>
              </w:rPr>
              <w:t>'</w:t>
            </w:r>
            <w:r w:rsidRPr="00EF1CC7">
              <w:rPr>
                <w:lang w:val="fr-FR"/>
              </w:rPr>
              <w:t>UIT-T</w:t>
            </w:r>
          </w:p>
        </w:tc>
        <w:tc>
          <w:tcPr>
            <w:tcW w:w="2268" w:type="dxa"/>
            <w:tcBorders>
              <w:top w:val="single" w:sz="4" w:space="0" w:color="auto"/>
              <w:bottom w:val="single" w:sz="4" w:space="0" w:color="auto"/>
            </w:tcBorders>
            <w:shd w:val="clear" w:color="auto" w:fill="auto"/>
          </w:tcPr>
          <w:p w14:paraId="784D6BF5" w14:textId="77777777" w:rsidR="00043522" w:rsidRPr="00EF1CC7" w:rsidRDefault="002A041E" w:rsidP="00E31B2B">
            <w:pPr>
              <w:pStyle w:val="Tabletext"/>
              <w:rPr>
                <w:lang w:val="fr-FR"/>
              </w:rPr>
            </w:pPr>
            <w:r w:rsidRPr="00EF1CC7">
              <w:rPr>
                <w:lang w:val="fr-FR"/>
              </w:rPr>
              <w:t>M.</w:t>
            </w:r>
            <w:r w:rsidR="00043522" w:rsidRPr="00EF1CC7">
              <w:rPr>
                <w:lang w:val="fr-FR"/>
              </w:rPr>
              <w:t xml:space="preserve"> Philip R</w:t>
            </w:r>
            <w:r w:rsidR="00550A53" w:rsidRPr="00EF1CC7">
              <w:rPr>
                <w:lang w:val="fr-FR"/>
              </w:rPr>
              <w:t>ushton</w:t>
            </w:r>
            <w:r w:rsidR="00043522" w:rsidRPr="00EF1CC7">
              <w:rPr>
                <w:lang w:val="fr-FR"/>
              </w:rPr>
              <w:t xml:space="preserve"> (</w:t>
            </w:r>
            <w:r w:rsidR="00250FB9" w:rsidRPr="00EF1CC7">
              <w:rPr>
                <w:lang w:val="fr-FR"/>
              </w:rPr>
              <w:t>Royaume-Uni</w:t>
            </w:r>
            <w:r w:rsidR="00043522" w:rsidRPr="00EF1CC7">
              <w:rPr>
                <w:lang w:val="fr-FR"/>
              </w:rPr>
              <w:t>)</w:t>
            </w:r>
          </w:p>
        </w:tc>
        <w:tc>
          <w:tcPr>
            <w:tcW w:w="3663" w:type="dxa"/>
            <w:tcBorders>
              <w:top w:val="single" w:sz="4" w:space="0" w:color="auto"/>
              <w:bottom w:val="single" w:sz="4" w:space="0" w:color="auto"/>
            </w:tcBorders>
            <w:shd w:val="clear" w:color="auto" w:fill="auto"/>
          </w:tcPr>
          <w:p w14:paraId="4D339BC0" w14:textId="77777777" w:rsidR="00043522" w:rsidRPr="00EF1CC7" w:rsidRDefault="00043522" w:rsidP="00E31B2B">
            <w:pPr>
              <w:pStyle w:val="Tabletext"/>
              <w:rPr>
                <w:lang w:val="fr-FR"/>
              </w:rPr>
            </w:pPr>
          </w:p>
        </w:tc>
      </w:tr>
      <w:tr w:rsidR="00043522" w:rsidRPr="00EF1CC7" w14:paraId="5FA29737" w14:textId="77777777" w:rsidTr="00500DB0">
        <w:trPr>
          <w:cantSplit/>
          <w:tblHeader/>
          <w:jc w:val="center"/>
        </w:trPr>
        <w:tc>
          <w:tcPr>
            <w:tcW w:w="3671" w:type="dxa"/>
            <w:tcBorders>
              <w:top w:val="single" w:sz="4" w:space="0" w:color="auto"/>
              <w:bottom w:val="single" w:sz="4" w:space="0" w:color="auto"/>
            </w:tcBorders>
            <w:shd w:val="clear" w:color="auto" w:fill="auto"/>
          </w:tcPr>
          <w:p w14:paraId="04231945" w14:textId="0D063A08" w:rsidR="00C3597B" w:rsidRPr="00EF1CC7" w:rsidRDefault="00C3597B" w:rsidP="00E31B2B">
            <w:pPr>
              <w:pStyle w:val="Tabletext"/>
              <w:rPr>
                <w:lang w:val="fr-FR"/>
              </w:rPr>
            </w:pPr>
            <w:r w:rsidRPr="00EF1CC7">
              <w:rPr>
                <w:lang w:val="fr-FR"/>
              </w:rPr>
              <w:t>Activité de coordination conjointe de l</w:t>
            </w:r>
            <w:r w:rsidR="00E31B2B">
              <w:rPr>
                <w:lang w:val="fr-FR"/>
              </w:rPr>
              <w:t>'</w:t>
            </w:r>
            <w:r w:rsidRPr="00EF1CC7">
              <w:rPr>
                <w:lang w:val="fr-FR"/>
              </w:rPr>
              <w:t>UIT-T sur l</w:t>
            </w:r>
            <w:r w:rsidR="00E31B2B">
              <w:rPr>
                <w:lang w:val="fr-FR"/>
              </w:rPr>
              <w:t>'</w:t>
            </w:r>
            <w:r w:rsidRPr="00EF1CC7">
              <w:rPr>
                <w:lang w:val="fr-FR"/>
              </w:rPr>
              <w:t>accessibilité et les facteurs humains (JCA-AHF)</w:t>
            </w:r>
          </w:p>
        </w:tc>
        <w:tc>
          <w:tcPr>
            <w:tcW w:w="2268" w:type="dxa"/>
            <w:tcBorders>
              <w:top w:val="single" w:sz="4" w:space="0" w:color="auto"/>
              <w:bottom w:val="single" w:sz="4" w:space="0" w:color="auto"/>
            </w:tcBorders>
            <w:shd w:val="clear" w:color="auto" w:fill="auto"/>
          </w:tcPr>
          <w:p w14:paraId="518D2B88" w14:textId="77777777" w:rsidR="00043522" w:rsidRPr="00EF1CC7" w:rsidRDefault="002A041E" w:rsidP="00E31B2B">
            <w:pPr>
              <w:pStyle w:val="Tabletext"/>
              <w:rPr>
                <w:lang w:val="fr-FR"/>
              </w:rPr>
            </w:pPr>
            <w:r w:rsidRPr="00EF1CC7">
              <w:rPr>
                <w:lang w:val="fr-FR"/>
              </w:rPr>
              <w:t>Mme</w:t>
            </w:r>
            <w:r w:rsidR="00043522" w:rsidRPr="00EF1CC7">
              <w:rPr>
                <w:lang w:val="fr-FR"/>
              </w:rPr>
              <w:t xml:space="preserve"> Andrea S</w:t>
            </w:r>
            <w:r w:rsidR="00550A53" w:rsidRPr="00EF1CC7">
              <w:rPr>
                <w:lang w:val="fr-FR"/>
              </w:rPr>
              <w:t>aks</w:t>
            </w:r>
            <w:r w:rsidR="00043522" w:rsidRPr="00EF1CC7">
              <w:rPr>
                <w:lang w:val="fr-FR"/>
              </w:rPr>
              <w:t xml:space="preserve"> (</w:t>
            </w:r>
            <w:r w:rsidR="00250FB9" w:rsidRPr="00EF1CC7">
              <w:rPr>
                <w:lang w:val="fr-FR"/>
              </w:rPr>
              <w:t>États-Unis</w:t>
            </w:r>
            <w:r w:rsidR="00043522" w:rsidRPr="00EF1CC7">
              <w:rPr>
                <w:lang w:val="fr-FR"/>
              </w:rPr>
              <w:t>)</w:t>
            </w:r>
          </w:p>
        </w:tc>
        <w:tc>
          <w:tcPr>
            <w:tcW w:w="3663" w:type="dxa"/>
            <w:tcBorders>
              <w:top w:val="single" w:sz="4" w:space="0" w:color="auto"/>
              <w:bottom w:val="single" w:sz="4" w:space="0" w:color="auto"/>
            </w:tcBorders>
            <w:shd w:val="clear" w:color="auto" w:fill="auto"/>
          </w:tcPr>
          <w:p w14:paraId="2FCBD47A" w14:textId="77777777" w:rsidR="00043522" w:rsidRPr="00EF1CC7" w:rsidRDefault="002A041E" w:rsidP="00E31B2B">
            <w:pPr>
              <w:pStyle w:val="Tabletext"/>
              <w:rPr>
                <w:lang w:val="fr-FR"/>
              </w:rPr>
            </w:pPr>
            <w:r w:rsidRPr="00EF1CC7">
              <w:rPr>
                <w:lang w:val="fr-FR"/>
              </w:rPr>
              <w:t>M.</w:t>
            </w:r>
            <w:r w:rsidR="00043522" w:rsidRPr="00EF1CC7">
              <w:rPr>
                <w:lang w:val="fr-FR"/>
              </w:rPr>
              <w:t xml:space="preserve"> Floris L. V</w:t>
            </w:r>
            <w:r w:rsidR="009943F3" w:rsidRPr="00EF1CC7">
              <w:rPr>
                <w:lang w:val="fr-FR"/>
              </w:rPr>
              <w:t>an</w:t>
            </w:r>
            <w:r w:rsidR="00043522" w:rsidRPr="00EF1CC7">
              <w:rPr>
                <w:lang w:val="fr-FR"/>
              </w:rPr>
              <w:t xml:space="preserve"> N</w:t>
            </w:r>
            <w:r w:rsidR="009943F3" w:rsidRPr="00EF1CC7">
              <w:rPr>
                <w:lang w:val="fr-FR"/>
              </w:rPr>
              <w:t>es</w:t>
            </w:r>
            <w:r w:rsidR="00043522" w:rsidRPr="00EF1CC7">
              <w:rPr>
                <w:vertAlign w:val="superscript"/>
                <w:lang w:val="fr-FR"/>
              </w:rPr>
              <w:t>(*)</w:t>
            </w:r>
            <w:r w:rsidR="00043522" w:rsidRPr="00EF1CC7">
              <w:rPr>
                <w:lang w:val="fr-FR"/>
              </w:rPr>
              <w:t>;</w:t>
            </w:r>
          </w:p>
          <w:p w14:paraId="39A31E84" w14:textId="77777777" w:rsidR="00043522" w:rsidRPr="00EF1CC7" w:rsidRDefault="002A041E" w:rsidP="00E31B2B">
            <w:pPr>
              <w:pStyle w:val="Tabletext"/>
              <w:rPr>
                <w:lang w:val="fr-FR"/>
              </w:rPr>
            </w:pPr>
            <w:r w:rsidRPr="00EF1CC7">
              <w:rPr>
                <w:lang w:val="fr-FR"/>
              </w:rPr>
              <w:t>M.</w:t>
            </w:r>
            <w:r w:rsidR="00043522" w:rsidRPr="00EF1CC7">
              <w:rPr>
                <w:lang w:val="fr-FR"/>
              </w:rPr>
              <w:t xml:space="preserve"> Christopher J</w:t>
            </w:r>
            <w:r w:rsidR="009943F3" w:rsidRPr="00EF1CC7">
              <w:rPr>
                <w:lang w:val="fr-FR"/>
              </w:rPr>
              <w:t>ones</w:t>
            </w:r>
            <w:r w:rsidR="00043522" w:rsidRPr="00EF1CC7">
              <w:rPr>
                <w:vertAlign w:val="superscript"/>
                <w:lang w:val="fr-FR"/>
              </w:rPr>
              <w:t>(*)</w:t>
            </w:r>
            <w:r w:rsidR="00043522" w:rsidRPr="00EF1CC7">
              <w:rPr>
                <w:lang w:val="fr-FR"/>
              </w:rPr>
              <w:t>;</w:t>
            </w:r>
          </w:p>
          <w:p w14:paraId="41D691C2" w14:textId="77777777" w:rsidR="00043522" w:rsidRPr="00EF1CC7" w:rsidRDefault="002A041E" w:rsidP="00E31B2B">
            <w:pPr>
              <w:pStyle w:val="Tabletext"/>
              <w:rPr>
                <w:lang w:val="fr-FR"/>
              </w:rPr>
            </w:pPr>
            <w:r w:rsidRPr="00EF1CC7">
              <w:rPr>
                <w:lang w:val="fr-FR"/>
              </w:rPr>
              <w:t>M.</w:t>
            </w:r>
            <w:r w:rsidR="00043522" w:rsidRPr="00EF1CC7">
              <w:rPr>
                <w:lang w:val="fr-FR"/>
              </w:rPr>
              <w:t xml:space="preserve"> Gerry E</w:t>
            </w:r>
            <w:r w:rsidR="009943F3" w:rsidRPr="00EF1CC7">
              <w:rPr>
                <w:lang w:val="fr-FR"/>
              </w:rPr>
              <w:t>llis</w:t>
            </w:r>
            <w:r w:rsidR="00043522" w:rsidRPr="00EF1CC7">
              <w:rPr>
                <w:vertAlign w:val="superscript"/>
                <w:lang w:val="fr-FR"/>
              </w:rPr>
              <w:t>(*)</w:t>
            </w:r>
            <w:r w:rsidR="00043522" w:rsidRPr="00EF1CC7">
              <w:rPr>
                <w:lang w:val="fr-FR"/>
              </w:rPr>
              <w:t>.</w:t>
            </w:r>
          </w:p>
        </w:tc>
      </w:tr>
      <w:tr w:rsidR="00043522" w:rsidRPr="00E31B2B" w14:paraId="50CE625D" w14:textId="77777777" w:rsidTr="00500DB0">
        <w:trPr>
          <w:cantSplit/>
          <w:tblHeader/>
          <w:jc w:val="center"/>
        </w:trPr>
        <w:tc>
          <w:tcPr>
            <w:tcW w:w="3671" w:type="dxa"/>
            <w:tcBorders>
              <w:top w:val="single" w:sz="4" w:space="0" w:color="auto"/>
              <w:bottom w:val="single" w:sz="4" w:space="0" w:color="auto"/>
            </w:tcBorders>
            <w:shd w:val="clear" w:color="auto" w:fill="auto"/>
          </w:tcPr>
          <w:p w14:paraId="7B900DB7" w14:textId="1B6E51D5" w:rsidR="00043522" w:rsidRPr="00EF1CC7" w:rsidRDefault="00C3597B" w:rsidP="00E31B2B">
            <w:pPr>
              <w:pStyle w:val="Tabletext"/>
              <w:rPr>
                <w:lang w:val="fr-FR"/>
              </w:rPr>
            </w:pPr>
            <w:r w:rsidRPr="00EF1CC7">
              <w:rPr>
                <w:lang w:val="fr-FR"/>
              </w:rPr>
              <w:t>Activité de coordination conjointe de l</w:t>
            </w:r>
            <w:r w:rsidR="00E31B2B">
              <w:rPr>
                <w:lang w:val="fr-FR"/>
              </w:rPr>
              <w:t>'</w:t>
            </w:r>
            <w:r w:rsidRPr="00EF1CC7">
              <w:rPr>
                <w:lang w:val="fr-FR"/>
              </w:rPr>
              <w:t>UIT-T sur le certificat COVID numérique (JCA-DCC)</w:t>
            </w:r>
          </w:p>
        </w:tc>
        <w:tc>
          <w:tcPr>
            <w:tcW w:w="2268" w:type="dxa"/>
            <w:tcBorders>
              <w:top w:val="single" w:sz="4" w:space="0" w:color="auto"/>
              <w:bottom w:val="single" w:sz="4" w:space="0" w:color="auto"/>
            </w:tcBorders>
            <w:shd w:val="clear" w:color="auto" w:fill="auto"/>
          </w:tcPr>
          <w:p w14:paraId="606B2588" w14:textId="77777777" w:rsidR="00043522" w:rsidRPr="00EF1CC7" w:rsidRDefault="002A041E" w:rsidP="00E31B2B">
            <w:pPr>
              <w:pStyle w:val="Tabletext"/>
              <w:rPr>
                <w:lang w:val="fr-FR"/>
              </w:rPr>
            </w:pPr>
            <w:r w:rsidRPr="00EF1CC7">
              <w:rPr>
                <w:lang w:val="fr-FR"/>
              </w:rPr>
              <w:t>M.</w:t>
            </w:r>
            <w:r w:rsidR="00043522" w:rsidRPr="00EF1CC7">
              <w:rPr>
                <w:lang w:val="fr-FR"/>
              </w:rPr>
              <w:t xml:space="preserve"> Heung-Youl Y</w:t>
            </w:r>
            <w:r w:rsidR="00550A53" w:rsidRPr="00EF1CC7">
              <w:rPr>
                <w:lang w:val="fr-FR"/>
              </w:rPr>
              <w:t>oum</w:t>
            </w:r>
            <w:r w:rsidR="00043522" w:rsidRPr="00EF1CC7">
              <w:rPr>
                <w:lang w:val="fr-FR"/>
              </w:rPr>
              <w:t xml:space="preserve"> (</w:t>
            </w:r>
            <w:r w:rsidR="0095605C" w:rsidRPr="00EF1CC7">
              <w:rPr>
                <w:lang w:val="fr-FR"/>
              </w:rPr>
              <w:t>Corée, Rép. de</w:t>
            </w:r>
            <w:r w:rsidR="00043522" w:rsidRPr="00EF1CC7">
              <w:rPr>
                <w:lang w:val="fr-FR"/>
              </w:rPr>
              <w:t>)</w:t>
            </w:r>
          </w:p>
        </w:tc>
        <w:tc>
          <w:tcPr>
            <w:tcW w:w="3663" w:type="dxa"/>
            <w:tcBorders>
              <w:top w:val="single" w:sz="4" w:space="0" w:color="auto"/>
              <w:bottom w:val="single" w:sz="4" w:space="0" w:color="auto"/>
            </w:tcBorders>
            <w:shd w:val="clear" w:color="auto" w:fill="auto"/>
          </w:tcPr>
          <w:p w14:paraId="098BBC95" w14:textId="77777777" w:rsidR="00043522" w:rsidRPr="00EF1CC7" w:rsidRDefault="00043522" w:rsidP="00E31B2B">
            <w:pPr>
              <w:pStyle w:val="Tabletext"/>
              <w:rPr>
                <w:lang w:val="fr-FR"/>
              </w:rPr>
            </w:pPr>
          </w:p>
        </w:tc>
      </w:tr>
      <w:tr w:rsidR="00043522" w:rsidRPr="00E31B2B" w14:paraId="5E6600E2" w14:textId="77777777" w:rsidTr="00500DB0">
        <w:trPr>
          <w:cantSplit/>
          <w:tblHeader/>
          <w:jc w:val="center"/>
        </w:trPr>
        <w:tc>
          <w:tcPr>
            <w:tcW w:w="3671" w:type="dxa"/>
            <w:tcBorders>
              <w:top w:val="single" w:sz="4" w:space="0" w:color="auto"/>
              <w:bottom w:val="single" w:sz="4" w:space="0" w:color="auto"/>
            </w:tcBorders>
            <w:shd w:val="clear" w:color="auto" w:fill="auto"/>
          </w:tcPr>
          <w:p w14:paraId="18A07982" w14:textId="058C335D" w:rsidR="00043522" w:rsidRPr="00EF1CC7" w:rsidRDefault="009C51FD" w:rsidP="00E31B2B">
            <w:pPr>
              <w:pStyle w:val="Tabletext"/>
              <w:rPr>
                <w:lang w:val="fr-FR"/>
              </w:rPr>
            </w:pPr>
            <w:r w:rsidRPr="00EF1CC7">
              <w:rPr>
                <w:lang w:val="fr-FR"/>
              </w:rPr>
              <w:t>Comité de normalisation pour le vocabulaire (SCV) de l</w:t>
            </w:r>
            <w:r w:rsidR="00E31B2B">
              <w:rPr>
                <w:lang w:val="fr-FR"/>
              </w:rPr>
              <w:t>'</w:t>
            </w:r>
            <w:r w:rsidRPr="00EF1CC7">
              <w:rPr>
                <w:lang w:val="fr-FR"/>
              </w:rPr>
              <w:t>UIT-T</w:t>
            </w:r>
          </w:p>
        </w:tc>
        <w:tc>
          <w:tcPr>
            <w:tcW w:w="2268" w:type="dxa"/>
            <w:tcBorders>
              <w:top w:val="single" w:sz="4" w:space="0" w:color="auto"/>
              <w:bottom w:val="single" w:sz="4" w:space="0" w:color="auto"/>
            </w:tcBorders>
            <w:shd w:val="clear" w:color="auto" w:fill="auto"/>
          </w:tcPr>
          <w:p w14:paraId="5F621D08" w14:textId="77777777" w:rsidR="00043522" w:rsidRPr="00EF1CC7" w:rsidRDefault="002A041E" w:rsidP="00E31B2B">
            <w:pPr>
              <w:pStyle w:val="Tabletext"/>
              <w:rPr>
                <w:lang w:val="fr-FR"/>
              </w:rPr>
            </w:pPr>
            <w:r w:rsidRPr="00EF1CC7">
              <w:rPr>
                <w:lang w:val="fr-FR"/>
              </w:rPr>
              <w:t>Mme</w:t>
            </w:r>
            <w:r w:rsidR="00043522" w:rsidRPr="00EF1CC7">
              <w:rPr>
                <w:lang w:val="fr-FR"/>
              </w:rPr>
              <w:t xml:space="preserve"> Rim B</w:t>
            </w:r>
            <w:r w:rsidR="00550A53" w:rsidRPr="00EF1CC7">
              <w:rPr>
                <w:lang w:val="fr-FR"/>
              </w:rPr>
              <w:t>elhaj</w:t>
            </w:r>
            <w:r w:rsidR="00043522" w:rsidRPr="00EF1CC7">
              <w:rPr>
                <w:lang w:val="fr-FR"/>
              </w:rPr>
              <w:t xml:space="preserve"> (</w:t>
            </w:r>
            <w:r w:rsidR="0095605C" w:rsidRPr="00EF1CC7">
              <w:rPr>
                <w:lang w:val="fr-FR"/>
              </w:rPr>
              <w:t>Tunisie</w:t>
            </w:r>
            <w:r w:rsidR="00043522" w:rsidRPr="00EF1CC7">
              <w:rPr>
                <w:lang w:val="fr-FR"/>
              </w:rPr>
              <w:t>)</w:t>
            </w:r>
          </w:p>
        </w:tc>
        <w:tc>
          <w:tcPr>
            <w:tcW w:w="3663" w:type="dxa"/>
            <w:tcBorders>
              <w:top w:val="single" w:sz="4" w:space="0" w:color="auto"/>
              <w:bottom w:val="single" w:sz="4" w:space="0" w:color="auto"/>
            </w:tcBorders>
            <w:shd w:val="clear" w:color="auto" w:fill="auto"/>
          </w:tcPr>
          <w:p w14:paraId="5200AD92" w14:textId="77777777" w:rsidR="00043522" w:rsidRPr="00EF1CC7" w:rsidRDefault="002A041E" w:rsidP="00E31B2B">
            <w:pPr>
              <w:pStyle w:val="Tabletext"/>
              <w:rPr>
                <w:lang w:val="fr-FR"/>
              </w:rPr>
            </w:pPr>
            <w:r w:rsidRPr="00EF1CC7">
              <w:rPr>
                <w:lang w:val="fr-FR"/>
              </w:rPr>
              <w:t>M.</w:t>
            </w:r>
            <w:r w:rsidR="00043522" w:rsidRPr="00EF1CC7">
              <w:rPr>
                <w:lang w:val="fr-FR"/>
              </w:rPr>
              <w:t xml:space="preserve"> Tong W</w:t>
            </w:r>
            <w:r w:rsidR="006E7B2F" w:rsidRPr="00EF1CC7">
              <w:rPr>
                <w:lang w:val="fr-FR"/>
              </w:rPr>
              <w:t>u</w:t>
            </w:r>
            <w:r w:rsidR="00043522" w:rsidRPr="00EF1CC7">
              <w:rPr>
                <w:lang w:val="fr-FR"/>
              </w:rPr>
              <w:t xml:space="preserve"> (</w:t>
            </w:r>
            <w:r w:rsidR="009C51FD" w:rsidRPr="00EF1CC7">
              <w:rPr>
                <w:lang w:val="fr-FR"/>
              </w:rPr>
              <w:t>Chine</w:t>
            </w:r>
            <w:r w:rsidR="00043522" w:rsidRPr="00EF1CC7">
              <w:rPr>
                <w:lang w:val="fr-FR"/>
              </w:rPr>
              <w:t>)</w:t>
            </w:r>
            <w:r w:rsidR="00043522" w:rsidRPr="00EF1CC7">
              <w:rPr>
                <w:vertAlign w:val="superscript"/>
                <w:lang w:val="fr-FR"/>
              </w:rPr>
              <w:t>(**)</w:t>
            </w:r>
            <w:r w:rsidR="00043522" w:rsidRPr="00EF1CC7">
              <w:rPr>
                <w:lang w:val="fr-FR"/>
              </w:rPr>
              <w:t>;</w:t>
            </w:r>
          </w:p>
          <w:p w14:paraId="7F0FA8EE" w14:textId="77777777" w:rsidR="00043522" w:rsidRPr="00EF1CC7" w:rsidRDefault="002A041E" w:rsidP="00E31B2B">
            <w:pPr>
              <w:pStyle w:val="Tabletext"/>
              <w:rPr>
                <w:lang w:val="fr-FR"/>
              </w:rPr>
            </w:pPr>
            <w:r w:rsidRPr="00EF1CC7">
              <w:rPr>
                <w:lang w:val="fr-FR"/>
              </w:rPr>
              <w:t>M.</w:t>
            </w:r>
            <w:r w:rsidR="00043522" w:rsidRPr="00EF1CC7">
              <w:rPr>
                <w:lang w:val="fr-FR"/>
              </w:rPr>
              <w:t xml:space="preserve"> Konstantin T</w:t>
            </w:r>
            <w:r w:rsidR="006E7B2F" w:rsidRPr="00EF1CC7">
              <w:rPr>
                <w:lang w:val="fr-FR"/>
              </w:rPr>
              <w:t>rofimov</w:t>
            </w:r>
            <w:r w:rsidR="00043522" w:rsidRPr="00EF1CC7">
              <w:rPr>
                <w:lang w:val="fr-FR"/>
              </w:rPr>
              <w:t xml:space="preserve"> (</w:t>
            </w:r>
            <w:r w:rsidR="009C51FD" w:rsidRPr="00EF1CC7">
              <w:rPr>
                <w:lang w:val="fr-FR"/>
              </w:rPr>
              <w:t>Fédération de Russie</w:t>
            </w:r>
            <w:r w:rsidR="00043522" w:rsidRPr="00EF1CC7">
              <w:rPr>
                <w:lang w:val="fr-FR"/>
              </w:rPr>
              <w:t>)</w:t>
            </w:r>
            <w:r w:rsidR="00043522" w:rsidRPr="00EF1CC7">
              <w:rPr>
                <w:vertAlign w:val="superscript"/>
                <w:lang w:val="fr-FR"/>
              </w:rPr>
              <w:t>(**)</w:t>
            </w:r>
            <w:r w:rsidR="00043522" w:rsidRPr="00EF1CC7">
              <w:rPr>
                <w:lang w:val="fr-FR"/>
              </w:rPr>
              <w:t>;</w:t>
            </w:r>
          </w:p>
          <w:p w14:paraId="16D0AC13" w14:textId="77777777" w:rsidR="00043522" w:rsidRPr="00EF1CC7" w:rsidRDefault="002A041E" w:rsidP="00E31B2B">
            <w:pPr>
              <w:pStyle w:val="Tabletext"/>
              <w:rPr>
                <w:lang w:val="fr-FR"/>
              </w:rPr>
            </w:pPr>
            <w:r w:rsidRPr="00EF1CC7">
              <w:rPr>
                <w:lang w:val="fr-FR"/>
              </w:rPr>
              <w:t>M.</w:t>
            </w:r>
            <w:r w:rsidR="00043522" w:rsidRPr="00EF1CC7">
              <w:rPr>
                <w:lang w:val="fr-FR"/>
              </w:rPr>
              <w:t xml:space="preserve"> Paul N</w:t>
            </w:r>
            <w:r w:rsidR="006E7B2F" w:rsidRPr="00EF1CC7">
              <w:rPr>
                <w:lang w:val="fr-FR"/>
              </w:rPr>
              <w:t>ajarian</w:t>
            </w:r>
            <w:r w:rsidR="00043522" w:rsidRPr="00EF1CC7">
              <w:rPr>
                <w:lang w:val="fr-FR"/>
              </w:rPr>
              <w:t xml:space="preserve"> (</w:t>
            </w:r>
            <w:r w:rsidR="0099786D" w:rsidRPr="00EF1CC7">
              <w:rPr>
                <w:lang w:val="fr-FR"/>
              </w:rPr>
              <w:t>États-Unis</w:t>
            </w:r>
            <w:r w:rsidR="00043522" w:rsidRPr="00EF1CC7">
              <w:rPr>
                <w:lang w:val="fr-FR"/>
              </w:rPr>
              <w:t>)</w:t>
            </w:r>
            <w:r w:rsidR="00043522" w:rsidRPr="00EF1CC7">
              <w:rPr>
                <w:vertAlign w:val="superscript"/>
                <w:lang w:val="fr-FR"/>
              </w:rPr>
              <w:t>(**)</w:t>
            </w:r>
            <w:r w:rsidR="00043522" w:rsidRPr="00EF1CC7">
              <w:rPr>
                <w:lang w:val="fr-FR"/>
              </w:rPr>
              <w:t>.</w:t>
            </w:r>
          </w:p>
        </w:tc>
      </w:tr>
      <w:tr w:rsidR="00043522" w:rsidRPr="00EF1CC7" w14:paraId="7CCC0BFC" w14:textId="77777777" w:rsidTr="00500DB0">
        <w:trPr>
          <w:cantSplit/>
          <w:tblHeader/>
          <w:jc w:val="center"/>
        </w:trPr>
        <w:tc>
          <w:tcPr>
            <w:tcW w:w="3671" w:type="dxa"/>
            <w:tcBorders>
              <w:top w:val="single" w:sz="4" w:space="0" w:color="auto"/>
            </w:tcBorders>
            <w:shd w:val="clear" w:color="auto" w:fill="auto"/>
          </w:tcPr>
          <w:p w14:paraId="0A3CCFD9" w14:textId="4C002132" w:rsidR="00043522" w:rsidRPr="00EF1CC7" w:rsidRDefault="009C51FD" w:rsidP="00E31B2B">
            <w:pPr>
              <w:pStyle w:val="Tabletext"/>
              <w:rPr>
                <w:lang w:val="fr-FR"/>
              </w:rPr>
            </w:pPr>
            <w:r w:rsidRPr="00EF1CC7">
              <w:rPr>
                <w:lang w:val="fr-FR"/>
              </w:rPr>
              <w:t>Groupe de coordination du programme de normalisation (SPGC) du Comité de gestion des normes (SMB) de la CEI/Bureau de gestion technique (TMB) de l</w:t>
            </w:r>
            <w:r w:rsidR="00E31B2B">
              <w:rPr>
                <w:lang w:val="fr-FR"/>
              </w:rPr>
              <w:t>'</w:t>
            </w:r>
            <w:r w:rsidRPr="00EF1CC7">
              <w:rPr>
                <w:lang w:val="fr-FR"/>
              </w:rPr>
              <w:t>ISO/GCNT de l</w:t>
            </w:r>
            <w:r w:rsidR="00E31B2B">
              <w:rPr>
                <w:lang w:val="fr-FR"/>
              </w:rPr>
              <w:t>'</w:t>
            </w:r>
            <w:r w:rsidRPr="00EF1CC7">
              <w:rPr>
                <w:lang w:val="fr-FR"/>
              </w:rPr>
              <w:t>UIT-T</w:t>
            </w:r>
          </w:p>
        </w:tc>
        <w:tc>
          <w:tcPr>
            <w:tcW w:w="2268" w:type="dxa"/>
            <w:tcBorders>
              <w:top w:val="single" w:sz="4" w:space="0" w:color="auto"/>
            </w:tcBorders>
            <w:shd w:val="clear" w:color="auto" w:fill="auto"/>
          </w:tcPr>
          <w:p w14:paraId="59FE60F7" w14:textId="77777777" w:rsidR="00043522" w:rsidRPr="00EF1CC7" w:rsidRDefault="002A041E" w:rsidP="00E31B2B">
            <w:pPr>
              <w:pStyle w:val="Tabletext"/>
              <w:rPr>
                <w:lang w:val="fr-FR"/>
              </w:rPr>
            </w:pPr>
            <w:r w:rsidRPr="00EF1CC7">
              <w:rPr>
                <w:lang w:val="fr-FR"/>
              </w:rPr>
              <w:t>Mme</w:t>
            </w:r>
            <w:r w:rsidR="00043522" w:rsidRPr="00EF1CC7">
              <w:rPr>
                <w:lang w:val="fr-FR"/>
              </w:rPr>
              <w:t xml:space="preserve"> Amanda R</w:t>
            </w:r>
            <w:r w:rsidR="00550A53" w:rsidRPr="00EF1CC7">
              <w:rPr>
                <w:lang w:val="fr-FR"/>
              </w:rPr>
              <w:t>ichardson</w:t>
            </w:r>
            <w:r w:rsidR="00043522" w:rsidRPr="00EF1CC7">
              <w:rPr>
                <w:lang w:val="fr-FR"/>
              </w:rPr>
              <w:t xml:space="preserve"> (ISO, BSI)</w:t>
            </w:r>
          </w:p>
        </w:tc>
        <w:tc>
          <w:tcPr>
            <w:tcW w:w="3663" w:type="dxa"/>
            <w:tcBorders>
              <w:top w:val="single" w:sz="4" w:space="0" w:color="auto"/>
            </w:tcBorders>
            <w:shd w:val="clear" w:color="auto" w:fill="auto"/>
          </w:tcPr>
          <w:p w14:paraId="0EDAD939" w14:textId="77777777" w:rsidR="00043522" w:rsidRPr="00EF1CC7" w:rsidRDefault="00CF505F" w:rsidP="00E31B2B">
            <w:pPr>
              <w:pStyle w:val="Tabletext"/>
              <w:rPr>
                <w:lang w:val="fr-FR"/>
              </w:rPr>
            </w:pPr>
            <w:r w:rsidRPr="00EF1CC7">
              <w:rPr>
                <w:lang w:val="fr-FR"/>
              </w:rPr>
              <w:t>–</w:t>
            </w:r>
          </w:p>
        </w:tc>
      </w:tr>
    </w:tbl>
    <w:p w14:paraId="3AF4D029" w14:textId="77777777" w:rsidR="00043522" w:rsidRPr="00EF1CC7" w:rsidRDefault="00043522" w:rsidP="00E31B2B">
      <w:pPr>
        <w:pStyle w:val="Tablelegend"/>
        <w:rPr>
          <w:lang w:val="fr-FR"/>
        </w:rPr>
      </w:pPr>
      <w:r w:rsidRPr="00EF1CC7">
        <w:rPr>
          <w:lang w:val="fr-FR"/>
        </w:rPr>
        <w:t xml:space="preserve">(*): </w:t>
      </w:r>
      <w:r w:rsidR="00FF2604" w:rsidRPr="00EF1CC7">
        <w:rPr>
          <w:lang w:val="fr-FR"/>
        </w:rPr>
        <w:t>Coprésident</w:t>
      </w:r>
    </w:p>
    <w:p w14:paraId="5CE29A6C" w14:textId="77777777" w:rsidR="00043522" w:rsidRPr="00EF1CC7" w:rsidRDefault="00043522" w:rsidP="00E31B2B">
      <w:pPr>
        <w:pStyle w:val="Tablelegend"/>
        <w:rPr>
          <w:lang w:val="fr-FR"/>
        </w:rPr>
      </w:pPr>
      <w:r w:rsidRPr="00EF1CC7">
        <w:rPr>
          <w:lang w:val="fr-FR"/>
        </w:rPr>
        <w:t xml:space="preserve">(**): </w:t>
      </w:r>
      <w:r w:rsidR="00FF2604" w:rsidRPr="00EF1CC7">
        <w:rPr>
          <w:lang w:val="fr-FR"/>
        </w:rPr>
        <w:t>Vice-Président</w:t>
      </w:r>
    </w:p>
    <w:p w14:paraId="7C4AFFCA" w14:textId="4DC992F9" w:rsidR="005011B0" w:rsidRPr="00EF1CC7" w:rsidRDefault="00043522" w:rsidP="00E31B2B">
      <w:pPr>
        <w:spacing w:before="240"/>
        <w:rPr>
          <w:lang w:val="fr-FR"/>
        </w:rPr>
      </w:pPr>
      <w:r w:rsidRPr="00EF1CC7">
        <w:rPr>
          <w:b/>
          <w:lang w:val="fr-FR"/>
        </w:rPr>
        <w:t>2.1.4</w:t>
      </w:r>
      <w:r w:rsidRPr="00EF1CC7">
        <w:rPr>
          <w:lang w:val="fr-FR"/>
        </w:rPr>
        <w:tab/>
      </w:r>
      <w:r w:rsidR="005011B0" w:rsidRPr="00EF1CC7">
        <w:rPr>
          <w:lang w:val="fr-FR"/>
        </w:rPr>
        <w:t xml:space="preserve">Le GCNT a </w:t>
      </w:r>
      <w:r w:rsidR="00F51111" w:rsidRPr="00EF1CC7">
        <w:rPr>
          <w:lang w:val="fr-FR"/>
        </w:rPr>
        <w:t xml:space="preserve">poursuivi </w:t>
      </w:r>
      <w:r w:rsidR="00F51111" w:rsidRPr="00EF1CC7">
        <w:rPr>
          <w:color w:val="000000"/>
          <w:lang w:val="fr-FR"/>
        </w:rPr>
        <w:t xml:space="preserve">les travaux menés dans le cadre de </w:t>
      </w:r>
      <w:r w:rsidR="005011B0" w:rsidRPr="00EF1CC7">
        <w:rPr>
          <w:lang w:val="fr-FR"/>
        </w:rPr>
        <w:t>l</w:t>
      </w:r>
      <w:r w:rsidR="00E31B2B">
        <w:rPr>
          <w:lang w:val="fr-FR"/>
        </w:rPr>
        <w:t>'</w:t>
      </w:r>
      <w:r w:rsidR="005011B0" w:rsidRPr="00EF1CC7">
        <w:rPr>
          <w:lang w:val="fr-FR"/>
        </w:rPr>
        <w:t>Activité de coordination conjointe de l</w:t>
      </w:r>
      <w:r w:rsidR="00E31B2B">
        <w:rPr>
          <w:lang w:val="fr-FR"/>
        </w:rPr>
        <w:t>'</w:t>
      </w:r>
      <w:r w:rsidR="005011B0" w:rsidRPr="00EF1CC7">
        <w:rPr>
          <w:lang w:val="fr-FR"/>
        </w:rPr>
        <w:t>UIT-T sur l</w:t>
      </w:r>
      <w:r w:rsidR="00E31B2B">
        <w:rPr>
          <w:lang w:val="fr-FR"/>
        </w:rPr>
        <w:t>'</w:t>
      </w:r>
      <w:r w:rsidR="005011B0" w:rsidRPr="00EF1CC7">
        <w:rPr>
          <w:lang w:val="fr-FR"/>
        </w:rPr>
        <w:t xml:space="preserve">accessibilité et les facteurs humains (JCA-AHF) (voir le Tableau </w:t>
      </w:r>
      <w:r w:rsidR="00511BC1" w:rsidRPr="00EF1CC7">
        <w:rPr>
          <w:lang w:val="fr-FR"/>
        </w:rPr>
        <w:t>3</w:t>
      </w:r>
      <w:r w:rsidR="00AF21FA" w:rsidRPr="00EF1CC7">
        <w:rPr>
          <w:lang w:val="fr-FR"/>
        </w:rPr>
        <w:t>)</w:t>
      </w:r>
      <w:r w:rsidR="00F579C8" w:rsidRPr="00EF1CC7">
        <w:rPr>
          <w:lang w:val="fr-FR"/>
        </w:rPr>
        <w:t>,</w:t>
      </w:r>
      <w:r w:rsidR="00AF21FA" w:rsidRPr="00EF1CC7">
        <w:rPr>
          <w:lang w:val="fr-FR"/>
        </w:rPr>
        <w:t xml:space="preserve"> </w:t>
      </w:r>
      <w:r w:rsidR="00B12766" w:rsidRPr="00EF1CC7">
        <w:rPr>
          <w:lang w:val="fr-FR"/>
        </w:rPr>
        <w:t xml:space="preserve">avec un mandat révisé </w:t>
      </w:r>
      <w:r w:rsidR="00F579C8" w:rsidRPr="00EF1CC7">
        <w:rPr>
          <w:lang w:val="fr-FR"/>
        </w:rPr>
        <w:t xml:space="preserve">(voir </w:t>
      </w:r>
      <w:hyperlink r:id="rId21" w:history="1">
        <w:r w:rsidR="00F579C8" w:rsidRPr="00EF1CC7">
          <w:rPr>
            <w:lang w:val="fr-FR"/>
          </w:rPr>
          <w:t>l</w:t>
        </w:r>
        <w:r w:rsidR="00E31B2B">
          <w:rPr>
            <w:lang w:val="fr-FR"/>
          </w:rPr>
          <w:t>'</w:t>
        </w:r>
        <w:r w:rsidR="00F579C8" w:rsidRPr="00EF1CC7">
          <w:rPr>
            <w:rStyle w:val="Hyperlink"/>
            <w:lang w:val="fr-FR"/>
          </w:rPr>
          <w:t>Annexe E du Document</w:t>
        </w:r>
        <w:r w:rsidR="00F51111" w:rsidRPr="00EF1CC7">
          <w:rPr>
            <w:rStyle w:val="Hyperlink"/>
            <w:lang w:val="fr-FR"/>
          </w:rPr>
          <w:t xml:space="preserve"> TSAG R1</w:t>
        </w:r>
      </w:hyperlink>
      <w:r w:rsidR="00F579C8" w:rsidRPr="00EF1CC7">
        <w:rPr>
          <w:lang w:val="fr-FR"/>
        </w:rPr>
        <w:t xml:space="preserve">), et a examiné à chacune de ses réunions </w:t>
      </w:r>
      <w:r w:rsidR="00213E59" w:rsidRPr="00EF1CC7">
        <w:rPr>
          <w:lang w:val="fr-FR"/>
        </w:rPr>
        <w:t>le rapport d</w:t>
      </w:r>
      <w:r w:rsidR="00E31B2B">
        <w:rPr>
          <w:lang w:val="fr-FR"/>
        </w:rPr>
        <w:t>'</w:t>
      </w:r>
      <w:r w:rsidR="00213E59" w:rsidRPr="00EF1CC7">
        <w:rPr>
          <w:lang w:val="fr-FR"/>
        </w:rPr>
        <w:t xml:space="preserve">activité de la JCA-AHF. Le </w:t>
      </w:r>
      <w:r w:rsidR="00053967" w:rsidRPr="00EF1CC7">
        <w:rPr>
          <w:lang w:val="fr-FR"/>
        </w:rPr>
        <w:t xml:space="preserve">29 octobre 2021, le </w:t>
      </w:r>
      <w:r w:rsidR="00213E59" w:rsidRPr="00EF1CC7">
        <w:rPr>
          <w:lang w:val="fr-FR"/>
        </w:rPr>
        <w:t xml:space="preserve">GCNT a </w:t>
      </w:r>
      <w:r w:rsidR="00F51111" w:rsidRPr="00EF1CC7">
        <w:rPr>
          <w:lang w:val="fr-FR"/>
        </w:rPr>
        <w:t xml:space="preserve">créé </w:t>
      </w:r>
      <w:r w:rsidR="00213E59" w:rsidRPr="00EF1CC7">
        <w:rPr>
          <w:lang w:val="fr-FR"/>
        </w:rPr>
        <w:t>une nouvelle Activité de coordination conjointe de l</w:t>
      </w:r>
      <w:r w:rsidR="00E31B2B">
        <w:rPr>
          <w:lang w:val="fr-FR"/>
        </w:rPr>
        <w:t>'</w:t>
      </w:r>
      <w:r w:rsidR="00213E59" w:rsidRPr="00EF1CC7">
        <w:rPr>
          <w:lang w:val="fr-FR"/>
        </w:rPr>
        <w:t>UIT-T sur le certificat COVID numérique (JCA-DCC</w:t>
      </w:r>
      <w:r w:rsidR="00F51111" w:rsidRPr="00EF1CC7">
        <w:rPr>
          <w:color w:val="000000"/>
          <w:lang w:val="fr-FR"/>
        </w:rPr>
        <w:t xml:space="preserve"> de l</w:t>
      </w:r>
      <w:r w:rsidR="00E31B2B">
        <w:rPr>
          <w:color w:val="000000"/>
          <w:lang w:val="fr-FR"/>
        </w:rPr>
        <w:t>'</w:t>
      </w:r>
      <w:r w:rsidR="00F51111" w:rsidRPr="00EF1CC7">
        <w:rPr>
          <w:color w:val="000000"/>
          <w:lang w:val="fr-FR"/>
        </w:rPr>
        <w:t>UIT-T</w:t>
      </w:r>
      <w:r w:rsidR="00213E59" w:rsidRPr="00EF1CC7">
        <w:rPr>
          <w:lang w:val="fr-FR"/>
        </w:rPr>
        <w:t>)</w:t>
      </w:r>
      <w:r w:rsidR="00053967" w:rsidRPr="00EF1CC7">
        <w:rPr>
          <w:lang w:val="fr-FR"/>
        </w:rPr>
        <w:t xml:space="preserve">, dont </w:t>
      </w:r>
      <w:r w:rsidR="0076550E" w:rsidRPr="00EF1CC7">
        <w:rPr>
          <w:lang w:val="fr-FR"/>
        </w:rPr>
        <w:t>le mandat approuvé à titre provisoire figure dans l</w:t>
      </w:r>
      <w:r w:rsidR="00E31B2B">
        <w:rPr>
          <w:lang w:val="fr-FR"/>
        </w:rPr>
        <w:t>'</w:t>
      </w:r>
      <w:hyperlink r:id="rId22" w:history="1">
        <w:r w:rsidR="0076550E" w:rsidRPr="00EF1CC7">
          <w:rPr>
            <w:rStyle w:val="Hyperlink"/>
            <w:lang w:val="fr-FR"/>
          </w:rPr>
          <w:t xml:space="preserve">Annexe D du Document </w:t>
        </w:r>
        <w:hyperlink r:id="rId23" w:history="1">
          <w:r w:rsidR="00F51111" w:rsidRPr="00EF1CC7">
            <w:rPr>
              <w:rStyle w:val="Hyperlink"/>
              <w:lang w:val="fr-FR"/>
            </w:rPr>
            <w:t>TSAG R12</w:t>
          </w:r>
        </w:hyperlink>
      </w:hyperlink>
      <w:r w:rsidR="0076550E" w:rsidRPr="00EF1CC7">
        <w:rPr>
          <w:lang w:val="fr-FR"/>
        </w:rPr>
        <w:t>.</w:t>
      </w:r>
    </w:p>
    <w:p w14:paraId="6443F16D" w14:textId="40CBF715" w:rsidR="009A4493" w:rsidRPr="00EF1CC7" w:rsidRDefault="00043522" w:rsidP="00E31B2B">
      <w:pPr>
        <w:rPr>
          <w:lang w:val="fr-FR"/>
        </w:rPr>
      </w:pPr>
      <w:r w:rsidRPr="00EF1CC7">
        <w:rPr>
          <w:b/>
          <w:lang w:val="fr-FR"/>
        </w:rPr>
        <w:t>2.1.5</w:t>
      </w:r>
      <w:r w:rsidRPr="00EF1CC7">
        <w:rPr>
          <w:lang w:val="fr-FR"/>
        </w:rPr>
        <w:tab/>
      </w:r>
      <w:r w:rsidR="009A4493" w:rsidRPr="00EF1CC7">
        <w:rPr>
          <w:lang w:val="fr-FR"/>
        </w:rPr>
        <w:t>Le Comité de normalisation pour le vocabulaire (SCV) de l</w:t>
      </w:r>
      <w:r w:rsidR="00E31B2B">
        <w:rPr>
          <w:lang w:val="fr-FR"/>
        </w:rPr>
        <w:t>'</w:t>
      </w:r>
      <w:r w:rsidR="009A4493" w:rsidRPr="00EF1CC7">
        <w:rPr>
          <w:lang w:val="fr-FR"/>
        </w:rPr>
        <w:t xml:space="preserve">UIT-T a poursuivi ses travaux et </w:t>
      </w:r>
      <w:r w:rsidR="00192317" w:rsidRPr="00EF1CC7">
        <w:rPr>
          <w:lang w:val="fr-FR"/>
        </w:rPr>
        <w:t xml:space="preserve">fait rapport </w:t>
      </w:r>
      <w:r w:rsidR="00B305EC" w:rsidRPr="00EF1CC7">
        <w:rPr>
          <w:lang w:val="fr-FR"/>
        </w:rPr>
        <w:t>au GCNT sur leur avancement</w:t>
      </w:r>
      <w:r w:rsidR="006C3380" w:rsidRPr="00EF1CC7">
        <w:rPr>
          <w:lang w:val="fr-FR"/>
        </w:rPr>
        <w:t xml:space="preserve"> (voir le paragraphe 3.4.1).</w:t>
      </w:r>
    </w:p>
    <w:p w14:paraId="1D91C4FB" w14:textId="2266B79D" w:rsidR="006C3380" w:rsidRPr="00EF1CC7" w:rsidRDefault="00043522" w:rsidP="00E31B2B">
      <w:pPr>
        <w:rPr>
          <w:rFonts w:asciiTheme="majorBidi" w:hAnsiTheme="majorBidi" w:cstheme="majorBidi"/>
          <w:szCs w:val="24"/>
          <w:lang w:val="fr-FR"/>
        </w:rPr>
      </w:pPr>
      <w:bookmarkStart w:id="9" w:name="_Toc6227379"/>
      <w:r w:rsidRPr="00EF1CC7">
        <w:rPr>
          <w:rFonts w:asciiTheme="majorBidi" w:hAnsiTheme="majorBidi" w:cstheme="majorBidi"/>
          <w:b/>
          <w:bCs/>
          <w:szCs w:val="24"/>
          <w:lang w:val="fr-FR"/>
        </w:rPr>
        <w:t>2.1.</w:t>
      </w:r>
      <w:r w:rsidR="00092C72" w:rsidRPr="00EF1CC7">
        <w:rPr>
          <w:rFonts w:asciiTheme="majorBidi" w:hAnsiTheme="majorBidi" w:cstheme="majorBidi"/>
          <w:b/>
          <w:bCs/>
          <w:szCs w:val="24"/>
          <w:lang w:val="fr-FR"/>
        </w:rPr>
        <w:t>6</w:t>
      </w:r>
      <w:r w:rsidRPr="00EF1CC7">
        <w:rPr>
          <w:rFonts w:asciiTheme="majorBidi" w:hAnsiTheme="majorBidi" w:cstheme="majorBidi"/>
          <w:szCs w:val="24"/>
          <w:lang w:val="fr-FR"/>
        </w:rPr>
        <w:tab/>
      </w:r>
      <w:bookmarkEnd w:id="9"/>
      <w:r w:rsidR="00E335F3" w:rsidRPr="00EF1CC7">
        <w:rPr>
          <w:rFonts w:asciiTheme="majorBidi" w:hAnsiTheme="majorBidi" w:cstheme="majorBidi"/>
          <w:szCs w:val="24"/>
          <w:lang w:val="fr-FR"/>
        </w:rPr>
        <w:t xml:space="preserve">Le GCNT a approuvé </w:t>
      </w:r>
      <w:r w:rsidR="007D2FA0" w:rsidRPr="00EF1CC7">
        <w:rPr>
          <w:rFonts w:asciiTheme="majorBidi" w:hAnsiTheme="majorBidi" w:cstheme="majorBidi"/>
          <w:szCs w:val="24"/>
          <w:lang w:val="fr-FR"/>
        </w:rPr>
        <w:t xml:space="preserve">la création du nouveau </w:t>
      </w:r>
      <w:r w:rsidR="007D2FA0" w:rsidRPr="00EF1CC7">
        <w:rPr>
          <w:lang w:val="fr-FR"/>
        </w:rPr>
        <w:t>Groupe de coordination du programme de normalisation (SPGC) du Comité de gestion des normes (SMB) de la CEI/Bureau de gestion technique (TMB) de l</w:t>
      </w:r>
      <w:r w:rsidR="00E31B2B">
        <w:rPr>
          <w:lang w:val="fr-FR"/>
        </w:rPr>
        <w:t>'</w:t>
      </w:r>
      <w:r w:rsidR="007D2FA0" w:rsidRPr="00EF1CC7">
        <w:rPr>
          <w:lang w:val="fr-FR"/>
        </w:rPr>
        <w:t>ISO/GCNT de l</w:t>
      </w:r>
      <w:r w:rsidR="00E31B2B">
        <w:rPr>
          <w:lang w:val="fr-FR"/>
        </w:rPr>
        <w:t>'</w:t>
      </w:r>
      <w:r w:rsidR="007D2FA0" w:rsidRPr="00EF1CC7">
        <w:rPr>
          <w:lang w:val="fr-FR"/>
        </w:rPr>
        <w:t xml:space="preserve">UIT-T, </w:t>
      </w:r>
      <w:r w:rsidR="003E1BE4" w:rsidRPr="00EF1CC7">
        <w:rPr>
          <w:lang w:val="fr-FR"/>
        </w:rPr>
        <w:t xml:space="preserve">pour lequel il a </w:t>
      </w:r>
      <w:r w:rsidR="00EF02E5" w:rsidRPr="00EF1CC7">
        <w:rPr>
          <w:lang w:val="fr-FR"/>
        </w:rPr>
        <w:t xml:space="preserve">désigné une délégation </w:t>
      </w:r>
      <w:r w:rsidR="00B1467A" w:rsidRPr="00EF1CC7">
        <w:rPr>
          <w:lang w:val="fr-FR"/>
        </w:rPr>
        <w:t>constituée de représentants du GCNT</w:t>
      </w:r>
      <w:r w:rsidR="00862888" w:rsidRPr="00EF1CC7">
        <w:rPr>
          <w:lang w:val="fr-FR"/>
        </w:rPr>
        <w:t xml:space="preserve"> auprès du Groupe SPGC; le GCNT reçoit des rapports d</w:t>
      </w:r>
      <w:r w:rsidR="00E31B2B">
        <w:rPr>
          <w:lang w:val="fr-FR"/>
        </w:rPr>
        <w:t>'</w:t>
      </w:r>
      <w:r w:rsidR="00862888" w:rsidRPr="00EF1CC7">
        <w:rPr>
          <w:lang w:val="fr-FR"/>
        </w:rPr>
        <w:t>activité du Groupe</w:t>
      </w:r>
      <w:r w:rsidR="00DC42BA">
        <w:rPr>
          <w:lang w:val="fr-FR"/>
        </w:rPr>
        <w:t> </w:t>
      </w:r>
      <w:r w:rsidR="00862888" w:rsidRPr="00EF1CC7">
        <w:rPr>
          <w:lang w:val="fr-FR"/>
        </w:rPr>
        <w:t>SPCG (voir le paragraphe 3.2.3.4).</w:t>
      </w:r>
    </w:p>
    <w:p w14:paraId="7C3E979D" w14:textId="79D67104" w:rsidR="0044548D" w:rsidRPr="00EF1CC7" w:rsidRDefault="00043522" w:rsidP="00E31B2B">
      <w:pPr>
        <w:rPr>
          <w:rFonts w:asciiTheme="majorBidi" w:hAnsiTheme="majorBidi" w:cstheme="majorBidi"/>
          <w:szCs w:val="24"/>
          <w:lang w:val="fr-FR"/>
        </w:rPr>
      </w:pPr>
      <w:r w:rsidRPr="00EF1CC7">
        <w:rPr>
          <w:rFonts w:asciiTheme="majorBidi" w:hAnsiTheme="majorBidi" w:cstheme="majorBidi"/>
          <w:b/>
          <w:bCs/>
          <w:szCs w:val="24"/>
          <w:lang w:val="fr-FR"/>
        </w:rPr>
        <w:t>2.1.</w:t>
      </w:r>
      <w:r w:rsidR="00092C72" w:rsidRPr="00EF1CC7">
        <w:rPr>
          <w:rFonts w:asciiTheme="majorBidi" w:hAnsiTheme="majorBidi" w:cstheme="majorBidi"/>
          <w:b/>
          <w:bCs/>
          <w:szCs w:val="24"/>
          <w:lang w:val="fr-FR"/>
        </w:rPr>
        <w:t>7</w:t>
      </w:r>
      <w:r w:rsidRPr="00EF1CC7">
        <w:rPr>
          <w:rFonts w:asciiTheme="majorBidi" w:hAnsiTheme="majorBidi" w:cstheme="majorBidi"/>
          <w:b/>
          <w:bCs/>
          <w:szCs w:val="24"/>
          <w:lang w:val="fr-FR"/>
        </w:rPr>
        <w:tab/>
      </w:r>
      <w:r w:rsidR="0044548D" w:rsidRPr="00EF1CC7">
        <w:rPr>
          <w:rFonts w:asciiTheme="majorBidi" w:hAnsiTheme="majorBidi" w:cstheme="majorBidi"/>
          <w:szCs w:val="24"/>
          <w:lang w:val="fr-FR"/>
        </w:rPr>
        <w:t>Du 18 janvier au 25 octobre 2021,</w:t>
      </w:r>
      <w:r w:rsidR="009A02B7" w:rsidRPr="00EF1CC7">
        <w:rPr>
          <w:rFonts w:asciiTheme="majorBidi" w:hAnsiTheme="majorBidi" w:cstheme="majorBidi"/>
          <w:szCs w:val="24"/>
          <w:lang w:val="fr-FR"/>
        </w:rPr>
        <w:t xml:space="preserve"> </w:t>
      </w:r>
      <w:r w:rsidR="00B55D80" w:rsidRPr="00EF1CC7">
        <w:rPr>
          <w:rFonts w:asciiTheme="majorBidi" w:hAnsiTheme="majorBidi" w:cstheme="majorBidi"/>
          <w:szCs w:val="24"/>
          <w:lang w:val="fr-FR"/>
        </w:rPr>
        <w:t xml:space="preserve">un groupe de travail par correspondance sur la restructuration des </w:t>
      </w:r>
      <w:r w:rsidR="00CF505F" w:rsidRPr="00EF1CC7">
        <w:rPr>
          <w:rFonts w:asciiTheme="majorBidi" w:hAnsiTheme="majorBidi" w:cstheme="majorBidi"/>
          <w:szCs w:val="24"/>
          <w:lang w:val="fr-FR"/>
        </w:rPr>
        <w:t>C</w:t>
      </w:r>
      <w:r w:rsidR="00B55D80" w:rsidRPr="00EF1CC7">
        <w:rPr>
          <w:rFonts w:asciiTheme="majorBidi" w:hAnsiTheme="majorBidi" w:cstheme="majorBidi"/>
          <w:szCs w:val="24"/>
          <w:lang w:val="fr-FR"/>
        </w:rPr>
        <w:t>ommissions d</w:t>
      </w:r>
      <w:r w:rsidR="00E31B2B">
        <w:rPr>
          <w:rFonts w:asciiTheme="majorBidi" w:hAnsiTheme="majorBidi" w:cstheme="majorBidi"/>
          <w:szCs w:val="24"/>
          <w:lang w:val="fr-FR"/>
        </w:rPr>
        <w:t>'</w:t>
      </w:r>
      <w:r w:rsidR="00B55D80" w:rsidRPr="00EF1CC7">
        <w:rPr>
          <w:rFonts w:asciiTheme="majorBidi" w:hAnsiTheme="majorBidi" w:cstheme="majorBidi"/>
          <w:szCs w:val="24"/>
          <w:lang w:val="fr-FR"/>
        </w:rPr>
        <w:t>études de l</w:t>
      </w:r>
      <w:r w:rsidR="00E31B2B">
        <w:rPr>
          <w:rFonts w:asciiTheme="majorBidi" w:hAnsiTheme="majorBidi" w:cstheme="majorBidi"/>
          <w:szCs w:val="24"/>
          <w:lang w:val="fr-FR"/>
        </w:rPr>
        <w:t>'</w:t>
      </w:r>
      <w:r w:rsidR="00B55D80" w:rsidRPr="00EF1CC7">
        <w:rPr>
          <w:rFonts w:asciiTheme="majorBidi" w:hAnsiTheme="majorBidi" w:cstheme="majorBidi"/>
          <w:szCs w:val="24"/>
          <w:lang w:val="fr-FR"/>
        </w:rPr>
        <w:t xml:space="preserve">UIT-T </w:t>
      </w:r>
      <w:r w:rsidR="00DF2F4B" w:rsidRPr="00EF1CC7">
        <w:rPr>
          <w:rFonts w:asciiTheme="majorBidi" w:hAnsiTheme="majorBidi" w:cstheme="majorBidi"/>
          <w:szCs w:val="24"/>
          <w:lang w:val="fr-FR"/>
        </w:rPr>
        <w:t xml:space="preserve">a exercé ses activités dans le cadre du GCNT (Groupe du Rapporteur RG-WP) </w:t>
      </w:r>
      <w:r w:rsidR="00B55D80" w:rsidRPr="00EF1CC7">
        <w:rPr>
          <w:rFonts w:asciiTheme="majorBidi" w:hAnsiTheme="majorBidi" w:cstheme="majorBidi"/>
          <w:szCs w:val="24"/>
          <w:lang w:val="fr-FR"/>
        </w:rPr>
        <w:t>(voir le paragraphe 3.2.7.4).</w:t>
      </w:r>
    </w:p>
    <w:p w14:paraId="084B585A" w14:textId="3E3F2018" w:rsidR="00253A70" w:rsidRPr="00CF3B78" w:rsidRDefault="00043522" w:rsidP="00E31B2B">
      <w:pPr>
        <w:rPr>
          <w:rFonts w:asciiTheme="majorBidi" w:hAnsiTheme="majorBidi" w:cstheme="majorBidi"/>
          <w:color w:val="0000FF" w:themeColor="hyperlink"/>
          <w:szCs w:val="24"/>
          <w:u w:val="single"/>
          <w:lang w:val="fr-FR"/>
        </w:rPr>
      </w:pPr>
      <w:r w:rsidRPr="00EF1CC7">
        <w:rPr>
          <w:rFonts w:asciiTheme="majorBidi" w:hAnsiTheme="majorBidi" w:cstheme="majorBidi"/>
          <w:b/>
          <w:bCs/>
          <w:szCs w:val="24"/>
          <w:lang w:val="fr-FR"/>
        </w:rPr>
        <w:t>2.1.</w:t>
      </w:r>
      <w:r w:rsidR="00092C72" w:rsidRPr="00EF1CC7">
        <w:rPr>
          <w:rFonts w:asciiTheme="majorBidi" w:hAnsiTheme="majorBidi" w:cstheme="majorBidi"/>
          <w:b/>
          <w:bCs/>
          <w:szCs w:val="24"/>
          <w:lang w:val="fr-FR"/>
        </w:rPr>
        <w:t>8</w:t>
      </w:r>
      <w:r w:rsidRPr="00EF1CC7">
        <w:rPr>
          <w:rFonts w:asciiTheme="majorBidi" w:hAnsiTheme="majorBidi" w:cstheme="majorBidi"/>
          <w:szCs w:val="24"/>
          <w:lang w:val="fr-FR"/>
        </w:rPr>
        <w:tab/>
      </w:r>
      <w:r w:rsidR="00253A70" w:rsidRPr="00EF1CC7">
        <w:rPr>
          <w:rFonts w:asciiTheme="majorBidi" w:hAnsiTheme="majorBidi" w:cstheme="majorBidi"/>
          <w:szCs w:val="24"/>
          <w:lang w:val="fr-FR"/>
        </w:rPr>
        <w:t>Du 25 octobre 2021 au 17 janvier 2022,</w:t>
      </w:r>
      <w:r w:rsidR="009A02B7" w:rsidRPr="00EF1CC7">
        <w:rPr>
          <w:rFonts w:asciiTheme="majorBidi" w:hAnsiTheme="majorBidi" w:cstheme="majorBidi"/>
          <w:szCs w:val="24"/>
          <w:lang w:val="fr-FR"/>
        </w:rPr>
        <w:t xml:space="preserve"> </w:t>
      </w:r>
      <w:r w:rsidR="00253A70" w:rsidRPr="00EF1CC7">
        <w:rPr>
          <w:rFonts w:asciiTheme="majorBidi" w:hAnsiTheme="majorBidi" w:cstheme="majorBidi"/>
          <w:szCs w:val="24"/>
          <w:lang w:val="fr-FR"/>
        </w:rPr>
        <w:t>un groupe ad</w:t>
      </w:r>
      <w:r w:rsidR="00DF2F4B" w:rsidRPr="00EF1CC7">
        <w:rPr>
          <w:rFonts w:asciiTheme="majorBidi" w:hAnsiTheme="majorBidi" w:cstheme="majorBidi"/>
          <w:szCs w:val="24"/>
          <w:lang w:val="fr-FR"/>
        </w:rPr>
        <w:t xml:space="preserve"> </w:t>
      </w:r>
      <w:r w:rsidR="00253A70" w:rsidRPr="00EF1CC7">
        <w:rPr>
          <w:rFonts w:asciiTheme="majorBidi" w:hAnsiTheme="majorBidi" w:cstheme="majorBidi"/>
          <w:szCs w:val="24"/>
          <w:lang w:val="fr-FR"/>
        </w:rPr>
        <w:t xml:space="preserve">hoc sur la gouvernance et la gestion des réunions électroniques </w:t>
      </w:r>
      <w:r w:rsidR="00777934" w:rsidRPr="00EF1CC7">
        <w:rPr>
          <w:rFonts w:asciiTheme="majorBidi" w:hAnsiTheme="majorBidi" w:cstheme="majorBidi"/>
          <w:szCs w:val="24"/>
          <w:lang w:val="fr-FR"/>
        </w:rPr>
        <w:t>(AHG-GME), dont le mandat figure dans l</w:t>
      </w:r>
      <w:r w:rsidR="00E31B2B">
        <w:rPr>
          <w:rFonts w:asciiTheme="majorBidi" w:hAnsiTheme="majorBidi" w:cstheme="majorBidi"/>
          <w:szCs w:val="24"/>
          <w:lang w:val="fr-FR"/>
        </w:rPr>
        <w:t>'</w:t>
      </w:r>
      <w:hyperlink r:id="rId24" w:history="1">
        <w:r w:rsidR="00777934" w:rsidRPr="00EF1CC7">
          <w:rPr>
            <w:rStyle w:val="Hyperlink"/>
            <w:rFonts w:asciiTheme="majorBidi" w:hAnsiTheme="majorBidi" w:cstheme="majorBidi"/>
            <w:szCs w:val="24"/>
            <w:lang w:val="fr-FR"/>
          </w:rPr>
          <w:t>Annexe C du Documen</w:t>
        </w:r>
        <w:r w:rsidR="00777934" w:rsidRPr="00EF1CC7">
          <w:rPr>
            <w:rStyle w:val="Hyperlink"/>
            <w:lang w:val="fr-FR"/>
          </w:rPr>
          <w:t>t</w:t>
        </w:r>
        <w:r w:rsidR="00DF2F4B" w:rsidRPr="00EF1CC7">
          <w:rPr>
            <w:rStyle w:val="Hyperlink"/>
            <w:lang w:val="fr-FR"/>
          </w:rPr>
          <w:t xml:space="preserve"> TSAG R12</w:t>
        </w:r>
        <w:r w:rsidR="00DF2F4B" w:rsidRPr="00EF1CC7">
          <w:rPr>
            <w:lang w:val="fr-FR"/>
          </w:rPr>
          <w:t>,</w:t>
        </w:r>
      </w:hyperlink>
      <w:r w:rsidR="00DF2F4B" w:rsidRPr="00EF1CC7">
        <w:rPr>
          <w:rFonts w:asciiTheme="majorBidi" w:hAnsiTheme="majorBidi" w:cstheme="majorBidi"/>
          <w:szCs w:val="24"/>
          <w:lang w:val="fr-FR"/>
        </w:rPr>
        <w:t xml:space="preserve"> a mené des travaux dans le cadre du GCNT</w:t>
      </w:r>
      <w:r w:rsidR="00777934" w:rsidRPr="00EF1CC7">
        <w:rPr>
          <w:rFonts w:asciiTheme="majorBidi" w:hAnsiTheme="majorBidi" w:cstheme="majorBidi"/>
          <w:szCs w:val="24"/>
          <w:lang w:val="fr-FR"/>
        </w:rPr>
        <w:t>; le rapport du Groupe AHG</w:t>
      </w:r>
      <w:r w:rsidR="00CF505F" w:rsidRPr="00EF1CC7">
        <w:rPr>
          <w:rFonts w:asciiTheme="majorBidi" w:hAnsiTheme="majorBidi" w:cstheme="majorBidi"/>
          <w:szCs w:val="24"/>
          <w:lang w:val="fr-FR"/>
        </w:rPr>
        <w:noBreakHyphen/>
      </w:r>
      <w:r w:rsidR="00777934" w:rsidRPr="00EF1CC7">
        <w:rPr>
          <w:rFonts w:asciiTheme="majorBidi" w:hAnsiTheme="majorBidi" w:cstheme="majorBidi"/>
          <w:szCs w:val="24"/>
          <w:lang w:val="fr-FR"/>
        </w:rPr>
        <w:t xml:space="preserve">GME figure </w:t>
      </w:r>
      <w:r w:rsidR="00A05E05" w:rsidRPr="00EF1CC7">
        <w:rPr>
          <w:rFonts w:asciiTheme="majorBidi" w:hAnsiTheme="majorBidi" w:cstheme="majorBidi"/>
          <w:szCs w:val="24"/>
          <w:lang w:val="fr-FR"/>
        </w:rPr>
        <w:t xml:space="preserve">dans le Document </w:t>
      </w:r>
      <w:hyperlink r:id="rId25" w:history="1">
        <w:r w:rsidR="00A05E05" w:rsidRPr="00EF1CC7">
          <w:rPr>
            <w:rStyle w:val="Hyperlink"/>
            <w:szCs w:val="24"/>
            <w:lang w:val="fr-FR" w:eastAsia="zh-CN"/>
          </w:rPr>
          <w:t>TSAG-TD1204</w:t>
        </w:r>
      </w:hyperlink>
      <w:r w:rsidR="00A05E05" w:rsidRPr="00EF1CC7">
        <w:rPr>
          <w:rFonts w:asciiTheme="majorBidi" w:hAnsiTheme="majorBidi" w:cstheme="majorBidi"/>
          <w:szCs w:val="24"/>
          <w:lang w:val="fr-FR"/>
        </w:rPr>
        <w:t>.</w:t>
      </w:r>
      <w:r w:rsidR="00DB22E3" w:rsidRPr="00EF1CC7">
        <w:rPr>
          <w:rFonts w:asciiTheme="majorBidi" w:hAnsiTheme="majorBidi" w:cstheme="majorBidi"/>
          <w:szCs w:val="24"/>
          <w:lang w:val="fr-FR"/>
        </w:rPr>
        <w:t xml:space="preserve"> </w:t>
      </w:r>
      <w:r w:rsidR="00842F7D" w:rsidRPr="00EF1CC7">
        <w:rPr>
          <w:rFonts w:asciiTheme="majorBidi" w:hAnsiTheme="majorBidi" w:cstheme="majorBidi"/>
          <w:szCs w:val="24"/>
          <w:lang w:val="fr-FR"/>
        </w:rPr>
        <w:t>Le GCNT a autorisé le Groupe AHG-GME à poursuivre ses activités jusqu</w:t>
      </w:r>
      <w:r w:rsidR="00E31B2B">
        <w:rPr>
          <w:rFonts w:asciiTheme="majorBidi" w:hAnsiTheme="majorBidi" w:cstheme="majorBidi"/>
          <w:szCs w:val="24"/>
          <w:lang w:val="fr-FR"/>
        </w:rPr>
        <w:t>'</w:t>
      </w:r>
      <w:r w:rsidR="00DF2F4B" w:rsidRPr="00EF1CC7">
        <w:rPr>
          <w:rFonts w:asciiTheme="majorBidi" w:hAnsiTheme="majorBidi" w:cstheme="majorBidi"/>
          <w:szCs w:val="24"/>
          <w:lang w:val="fr-FR"/>
        </w:rPr>
        <w:t>en</w:t>
      </w:r>
      <w:r w:rsidR="00842F7D" w:rsidRPr="00EF1CC7">
        <w:rPr>
          <w:rFonts w:asciiTheme="majorBidi" w:hAnsiTheme="majorBidi" w:cstheme="majorBidi"/>
          <w:szCs w:val="24"/>
          <w:lang w:val="fr-FR"/>
        </w:rPr>
        <w:t xml:space="preserve"> novembre 2022.</w:t>
      </w:r>
    </w:p>
    <w:p w14:paraId="4D8920FA" w14:textId="37E7CFC6" w:rsidR="00043522" w:rsidRPr="00EF1CC7" w:rsidRDefault="00043522" w:rsidP="00E31B2B">
      <w:pPr>
        <w:pStyle w:val="Heading1"/>
        <w:rPr>
          <w:lang w:val="fr-FR"/>
        </w:rPr>
      </w:pPr>
      <w:bookmarkStart w:id="10" w:name="_Toc320869653"/>
      <w:bookmarkStart w:id="11" w:name="_Toc461810675"/>
      <w:bookmarkStart w:id="12" w:name="_Toc464047781"/>
      <w:bookmarkStart w:id="13" w:name="_Toc464049287"/>
      <w:bookmarkStart w:id="14" w:name="_Toc94876339"/>
      <w:r w:rsidRPr="00EF1CC7">
        <w:rPr>
          <w:lang w:val="fr-FR"/>
        </w:rPr>
        <w:lastRenderedPageBreak/>
        <w:t>3</w:t>
      </w:r>
      <w:r w:rsidRPr="00EF1CC7">
        <w:rPr>
          <w:lang w:val="fr-FR"/>
        </w:rPr>
        <w:tab/>
      </w:r>
      <w:bookmarkEnd w:id="10"/>
      <w:bookmarkEnd w:id="11"/>
      <w:r w:rsidRPr="00EF1CC7">
        <w:rPr>
          <w:lang w:val="fr-FR"/>
        </w:rPr>
        <w:t>Résultats des travaux effectués pendant la période d</w:t>
      </w:r>
      <w:r w:rsidR="00E31B2B">
        <w:rPr>
          <w:lang w:val="fr-FR"/>
        </w:rPr>
        <w:t>'</w:t>
      </w:r>
      <w:r w:rsidRPr="00EF1CC7">
        <w:rPr>
          <w:lang w:val="fr-FR"/>
        </w:rPr>
        <w:t>études 2017-20</w:t>
      </w:r>
      <w:bookmarkEnd w:id="12"/>
      <w:bookmarkEnd w:id="13"/>
      <w:r w:rsidRPr="00EF1CC7">
        <w:rPr>
          <w:lang w:val="fr-FR"/>
        </w:rPr>
        <w:t>21</w:t>
      </w:r>
      <w:bookmarkEnd w:id="14"/>
    </w:p>
    <w:p w14:paraId="20C2FE13" w14:textId="77777777" w:rsidR="00043522" w:rsidRPr="00EF1CC7" w:rsidRDefault="00043522" w:rsidP="00E31B2B">
      <w:pPr>
        <w:pStyle w:val="Heading2"/>
        <w:rPr>
          <w:lang w:val="fr-FR"/>
        </w:rPr>
      </w:pPr>
      <w:bookmarkStart w:id="15" w:name="_Toc94876340"/>
      <w:r w:rsidRPr="00EF1CC7">
        <w:rPr>
          <w:lang w:val="fr-FR"/>
        </w:rPr>
        <w:t>3.1</w:t>
      </w:r>
      <w:r w:rsidRPr="00EF1CC7">
        <w:rPr>
          <w:lang w:val="fr-FR"/>
        </w:rPr>
        <w:tab/>
        <w:t>Généralités</w:t>
      </w:r>
      <w:bookmarkEnd w:id="15"/>
    </w:p>
    <w:p w14:paraId="7399DDEA" w14:textId="4154E494" w:rsidR="00043522" w:rsidRPr="00EF1CC7" w:rsidRDefault="00043522" w:rsidP="00E31B2B">
      <w:pPr>
        <w:rPr>
          <w:lang w:val="fr-FR"/>
        </w:rPr>
      </w:pPr>
      <w:r w:rsidRPr="00EF1CC7">
        <w:rPr>
          <w:lang w:val="fr-FR"/>
        </w:rPr>
        <w:t>Pendant la période d</w:t>
      </w:r>
      <w:r w:rsidR="00E31B2B">
        <w:rPr>
          <w:lang w:val="fr-FR"/>
        </w:rPr>
        <w:t>'</w:t>
      </w:r>
      <w:r w:rsidRPr="00EF1CC7">
        <w:rPr>
          <w:lang w:val="fr-FR"/>
        </w:rPr>
        <w:t xml:space="preserve">études, </w:t>
      </w:r>
      <w:r w:rsidR="001160E0" w:rsidRPr="00EF1CC7">
        <w:rPr>
          <w:lang w:val="fr-FR"/>
        </w:rPr>
        <w:t>le GCNT</w:t>
      </w:r>
      <w:r w:rsidRPr="00EF1CC7">
        <w:rPr>
          <w:lang w:val="fr-FR"/>
        </w:rPr>
        <w:t xml:space="preserve"> a examiné 183 contributions</w:t>
      </w:r>
      <w:r w:rsidR="00B633BF" w:rsidRPr="00EF1CC7">
        <w:rPr>
          <w:lang w:val="fr-FR"/>
        </w:rPr>
        <w:t>,</w:t>
      </w:r>
      <w:r w:rsidR="009A02B7" w:rsidRPr="00EF1CC7">
        <w:rPr>
          <w:lang w:val="fr-FR"/>
        </w:rPr>
        <w:t xml:space="preserve"> </w:t>
      </w:r>
      <w:r w:rsidR="00DF2F4B" w:rsidRPr="00EF1CC7">
        <w:rPr>
          <w:lang w:val="fr-FR"/>
        </w:rPr>
        <w:t xml:space="preserve">élaboré </w:t>
      </w:r>
      <w:r w:rsidRPr="00EF1CC7">
        <w:rPr>
          <w:lang w:val="fr-FR"/>
        </w:rPr>
        <w:t xml:space="preserve">un grand nombre de documents temporaires </w:t>
      </w:r>
      <w:r w:rsidR="001160E0" w:rsidRPr="00EF1CC7">
        <w:rPr>
          <w:lang w:val="fr-FR"/>
        </w:rPr>
        <w:t>et envoyé 50</w:t>
      </w:r>
      <w:r w:rsidRPr="00EF1CC7">
        <w:rPr>
          <w:lang w:val="fr-FR"/>
        </w:rPr>
        <w:t xml:space="preserve"> notes de liaison.</w:t>
      </w:r>
    </w:p>
    <w:p w14:paraId="70E350FE" w14:textId="5DC96FB1" w:rsidR="00043522" w:rsidRPr="00EF1CC7" w:rsidRDefault="00043522" w:rsidP="00E31B2B">
      <w:pPr>
        <w:rPr>
          <w:lang w:val="fr-FR"/>
        </w:rPr>
      </w:pPr>
      <w:r w:rsidRPr="00EF1CC7">
        <w:rPr>
          <w:lang w:val="fr-FR"/>
        </w:rPr>
        <w:t>Conformément à la mission qui lui avait été confiée de revoir le programme de travail de l</w:t>
      </w:r>
      <w:r w:rsidR="00E31B2B">
        <w:rPr>
          <w:lang w:val="fr-FR"/>
        </w:rPr>
        <w:t>'</w:t>
      </w:r>
      <w:r w:rsidRPr="00EF1CC7">
        <w:rPr>
          <w:lang w:val="fr-FR"/>
        </w:rPr>
        <w:t>UIT</w:t>
      </w:r>
      <w:r w:rsidRPr="00EF1CC7">
        <w:rPr>
          <w:lang w:val="fr-FR"/>
        </w:rPr>
        <w:noBreakHyphen/>
        <w:t xml:space="preserve">T et au pouvoir qui lui avait été conféré au titre des Résolutions 22 </w:t>
      </w:r>
      <w:r w:rsidR="000E03D3" w:rsidRPr="00EF1CC7">
        <w:rPr>
          <w:lang w:val="fr-FR"/>
        </w:rPr>
        <w:t xml:space="preserve">(Rév. Hammamet, 2016) </w:t>
      </w:r>
      <w:r w:rsidRPr="00EF1CC7">
        <w:rPr>
          <w:lang w:val="fr-FR"/>
        </w:rPr>
        <w:t xml:space="preserve">et 45 </w:t>
      </w:r>
      <w:r w:rsidR="000E03D3" w:rsidRPr="00EF1CC7">
        <w:rPr>
          <w:lang w:val="fr-FR"/>
        </w:rPr>
        <w:t>(Rév.</w:t>
      </w:r>
      <w:r w:rsidR="00CF505F" w:rsidRPr="00EF1CC7">
        <w:rPr>
          <w:lang w:val="fr-FR"/>
        </w:rPr>
        <w:t> </w:t>
      </w:r>
      <w:r w:rsidR="000E03D3" w:rsidRPr="00EF1CC7">
        <w:rPr>
          <w:lang w:val="fr-FR"/>
        </w:rPr>
        <w:t xml:space="preserve">Hammamet, 2016) </w:t>
      </w:r>
      <w:r w:rsidRPr="00EF1CC7">
        <w:rPr>
          <w:lang w:val="fr-FR"/>
        </w:rPr>
        <w:t>de l</w:t>
      </w:r>
      <w:r w:rsidR="00E31B2B">
        <w:rPr>
          <w:lang w:val="fr-FR"/>
        </w:rPr>
        <w:t>'</w:t>
      </w:r>
      <w:r w:rsidRPr="00EF1CC7">
        <w:rPr>
          <w:lang w:val="fr-FR"/>
        </w:rPr>
        <w:t>AMNT, le GCNT a, pendant cette période:</w:t>
      </w:r>
    </w:p>
    <w:p w14:paraId="5BA70B32" w14:textId="7BD7FC74" w:rsidR="004900AD" w:rsidRPr="00EF1CC7" w:rsidRDefault="00CB5868" w:rsidP="00E31B2B">
      <w:pPr>
        <w:pStyle w:val="enumlev1"/>
        <w:rPr>
          <w:lang w:val="fr-FR"/>
        </w:rPr>
      </w:pPr>
      <w:r w:rsidRPr="00EF1CC7">
        <w:rPr>
          <w:lang w:val="fr-FR"/>
        </w:rPr>
        <w:t>–</w:t>
      </w:r>
      <w:r w:rsidRPr="00EF1CC7">
        <w:rPr>
          <w:lang w:val="fr-FR"/>
        </w:rPr>
        <w:tab/>
      </w:r>
      <w:r w:rsidR="004900AD" w:rsidRPr="00EF1CC7">
        <w:rPr>
          <w:lang w:val="fr-FR"/>
        </w:rPr>
        <w:t xml:space="preserve">révisé quatre Recommandations </w:t>
      </w:r>
      <w:r w:rsidR="002F3F3B" w:rsidRPr="00EF1CC7">
        <w:rPr>
          <w:lang w:val="fr-FR"/>
        </w:rPr>
        <w:t xml:space="preserve">UIT-T </w:t>
      </w:r>
      <w:r w:rsidR="004900AD" w:rsidRPr="00EF1CC7">
        <w:rPr>
          <w:lang w:val="fr-FR"/>
        </w:rPr>
        <w:t>existantes</w:t>
      </w:r>
      <w:r w:rsidR="002F3F3B" w:rsidRPr="00EF1CC7">
        <w:rPr>
          <w:lang w:val="fr-FR"/>
        </w:rPr>
        <w:t xml:space="preserve"> de la série A (à savoir les Recommandations UIT-T A.1, A.5, A.13 et A.25) (voir l</w:t>
      </w:r>
      <w:r w:rsidR="00E31B2B">
        <w:rPr>
          <w:lang w:val="fr-FR"/>
        </w:rPr>
        <w:t>'</w:t>
      </w:r>
      <w:r w:rsidR="002F3F3B" w:rsidRPr="00EF1CC7">
        <w:rPr>
          <w:lang w:val="fr-FR"/>
        </w:rPr>
        <w:t>Annexe 1);</w:t>
      </w:r>
    </w:p>
    <w:p w14:paraId="32655ECC" w14:textId="2CD1FD68" w:rsidR="0014702F" w:rsidRPr="00EF1CC7" w:rsidRDefault="00CB5868" w:rsidP="00E31B2B">
      <w:pPr>
        <w:pStyle w:val="enumlev1"/>
        <w:rPr>
          <w:lang w:val="fr-FR"/>
        </w:rPr>
      </w:pPr>
      <w:r w:rsidRPr="00EF1CC7">
        <w:rPr>
          <w:lang w:val="fr-FR"/>
        </w:rPr>
        <w:t>−</w:t>
      </w:r>
      <w:r w:rsidRPr="00EF1CC7">
        <w:rPr>
          <w:lang w:val="fr-FR"/>
        </w:rPr>
        <w:tab/>
      </w:r>
      <w:r w:rsidR="0014702F" w:rsidRPr="00EF1CC7">
        <w:rPr>
          <w:iCs/>
          <w:lang w:val="fr-FR"/>
        </w:rPr>
        <w:t xml:space="preserve">révisé le </w:t>
      </w:r>
      <w:r w:rsidR="0014702F" w:rsidRPr="00EF1CC7">
        <w:rPr>
          <w:i/>
          <w:iCs/>
          <w:lang w:val="fr-FR"/>
        </w:rPr>
        <w:t>Manuel à l</w:t>
      </w:r>
      <w:r w:rsidR="00E31B2B">
        <w:rPr>
          <w:i/>
          <w:iCs/>
          <w:lang w:val="fr-FR"/>
        </w:rPr>
        <w:t>'</w:t>
      </w:r>
      <w:r w:rsidR="0014702F" w:rsidRPr="00EF1CC7">
        <w:rPr>
          <w:i/>
          <w:iCs/>
          <w:lang w:val="fr-FR"/>
        </w:rPr>
        <w:t>intention des Rapporteurs et des éditeurs</w:t>
      </w:r>
      <w:r w:rsidR="0014702F" w:rsidRPr="00EF1CC7">
        <w:rPr>
          <w:iCs/>
          <w:lang w:val="fr-FR"/>
        </w:rPr>
        <w:t>;</w:t>
      </w:r>
    </w:p>
    <w:p w14:paraId="75F28595" w14:textId="2803444A" w:rsidR="00E7197F" w:rsidRPr="00EF1CC7" w:rsidRDefault="00CB5868" w:rsidP="00E31B2B">
      <w:pPr>
        <w:pStyle w:val="enumlev1"/>
        <w:rPr>
          <w:lang w:val="fr-FR"/>
        </w:rPr>
      </w:pPr>
      <w:r w:rsidRPr="00EF1CC7">
        <w:rPr>
          <w:lang w:val="fr-FR"/>
        </w:rPr>
        <w:t>−</w:t>
      </w:r>
      <w:r w:rsidRPr="00EF1CC7">
        <w:rPr>
          <w:lang w:val="fr-FR"/>
        </w:rPr>
        <w:tab/>
      </w:r>
      <w:r w:rsidR="00E7197F" w:rsidRPr="00EF1CC7">
        <w:rPr>
          <w:lang w:val="fr-FR"/>
        </w:rPr>
        <w:t>créé trois groupes spécialisés de l</w:t>
      </w:r>
      <w:r w:rsidR="00E31B2B">
        <w:rPr>
          <w:lang w:val="fr-FR"/>
        </w:rPr>
        <w:t>'</w:t>
      </w:r>
      <w:r w:rsidR="00E7197F" w:rsidRPr="00EF1CC7">
        <w:rPr>
          <w:lang w:val="fr-FR"/>
        </w:rPr>
        <w:t xml:space="preserve">UIT-T </w:t>
      </w:r>
      <w:r w:rsidR="00486F65" w:rsidRPr="00EF1CC7">
        <w:rPr>
          <w:lang w:val="fr-FR"/>
        </w:rPr>
        <w:t>(FG-DFC, FG-DLT</w:t>
      </w:r>
      <w:hyperlink r:id="rId26" w:history="1"/>
      <w:r w:rsidR="00486F65" w:rsidRPr="00EF1CC7">
        <w:rPr>
          <w:lang w:val="fr-FR"/>
        </w:rPr>
        <w:t xml:space="preserve"> et FG-QIT4N);</w:t>
      </w:r>
    </w:p>
    <w:p w14:paraId="73FB9E49" w14:textId="079FEA2B" w:rsidR="00EA0D6B" w:rsidRPr="00EF1CC7" w:rsidRDefault="00EA0D6B" w:rsidP="00E31B2B">
      <w:pPr>
        <w:pStyle w:val="enumlev1"/>
        <w:rPr>
          <w:lang w:val="fr-FR"/>
        </w:rPr>
      </w:pPr>
      <w:r w:rsidRPr="00EF1CC7">
        <w:rPr>
          <w:lang w:val="fr-FR"/>
        </w:rPr>
        <w:tab/>
      </w:r>
      <w:r w:rsidR="00223783" w:rsidRPr="00EF1CC7">
        <w:rPr>
          <w:lang w:val="fr-FR"/>
        </w:rPr>
        <w:t>l</w:t>
      </w:r>
      <w:r w:rsidRPr="00EF1CC7">
        <w:rPr>
          <w:lang w:val="fr-FR"/>
        </w:rPr>
        <w:t>e GCNT a</w:t>
      </w:r>
      <w:r w:rsidR="009A02B7" w:rsidRPr="00EF1CC7">
        <w:rPr>
          <w:lang w:val="fr-FR"/>
        </w:rPr>
        <w:t xml:space="preserve"> </w:t>
      </w:r>
      <w:r w:rsidR="00DF2F4B" w:rsidRPr="00EF1CC7">
        <w:rPr>
          <w:lang w:val="fr-FR"/>
        </w:rPr>
        <w:t>pris connaissance</w:t>
      </w:r>
      <w:r w:rsidR="009A02B7" w:rsidRPr="00EF1CC7">
        <w:rPr>
          <w:lang w:val="fr-FR"/>
        </w:rPr>
        <w:t xml:space="preserve"> </w:t>
      </w:r>
      <w:r w:rsidR="00B566C3" w:rsidRPr="00EF1CC7">
        <w:rPr>
          <w:lang w:val="fr-FR"/>
        </w:rPr>
        <w:t xml:space="preserve">des résultats </w:t>
      </w:r>
      <w:r w:rsidR="00DF2F4B" w:rsidRPr="00EF1CC7">
        <w:rPr>
          <w:lang w:val="fr-FR"/>
        </w:rPr>
        <w:t xml:space="preserve">des travaux </w:t>
      </w:r>
      <w:r w:rsidR="00B566C3" w:rsidRPr="00EF1CC7">
        <w:rPr>
          <w:lang w:val="fr-FR"/>
        </w:rPr>
        <w:t xml:space="preserve">du </w:t>
      </w:r>
      <w:r w:rsidR="00DF2F4B" w:rsidRPr="00EF1CC7">
        <w:rPr>
          <w:lang w:val="fr-FR"/>
        </w:rPr>
        <w:t>G</w:t>
      </w:r>
      <w:r w:rsidR="00B566C3" w:rsidRPr="00EF1CC7">
        <w:rPr>
          <w:lang w:val="fr-FR"/>
        </w:rPr>
        <w:t>roupe spécialisé de l</w:t>
      </w:r>
      <w:r w:rsidR="00E31B2B">
        <w:rPr>
          <w:lang w:val="fr-FR"/>
        </w:rPr>
        <w:t>'</w:t>
      </w:r>
      <w:r w:rsidR="00B566C3" w:rsidRPr="00EF1CC7">
        <w:rPr>
          <w:lang w:val="fr-FR"/>
        </w:rPr>
        <w:t xml:space="preserve">UIT-T sur les services financiers numériques (FG-DFS), qui </w:t>
      </w:r>
      <w:r w:rsidR="007275A2" w:rsidRPr="00EF1CC7">
        <w:rPr>
          <w:lang w:val="fr-FR"/>
        </w:rPr>
        <w:t>a achevé ses travaux en décembre</w:t>
      </w:r>
      <w:r w:rsidR="00223783" w:rsidRPr="00EF1CC7">
        <w:rPr>
          <w:lang w:val="fr-FR"/>
        </w:rPr>
        <w:t> </w:t>
      </w:r>
      <w:r w:rsidR="007275A2" w:rsidRPr="00EF1CC7">
        <w:rPr>
          <w:lang w:val="fr-FR"/>
        </w:rPr>
        <w:t>2016, et transmis</w:t>
      </w:r>
      <w:r w:rsidR="009A02B7" w:rsidRPr="00EF1CC7">
        <w:rPr>
          <w:lang w:val="fr-FR"/>
        </w:rPr>
        <w:t>,</w:t>
      </w:r>
      <w:r w:rsidR="001B63AE" w:rsidRPr="00EF1CC7">
        <w:rPr>
          <w:lang w:val="fr-FR"/>
        </w:rPr>
        <w:t xml:space="preserve"> lors de</w:t>
      </w:r>
      <w:r w:rsidR="009A02B7" w:rsidRPr="00EF1CC7">
        <w:rPr>
          <w:lang w:val="fr-FR"/>
        </w:rPr>
        <w:t xml:space="preserve"> </w:t>
      </w:r>
      <w:r w:rsidR="007275A2" w:rsidRPr="00EF1CC7">
        <w:rPr>
          <w:lang w:val="fr-FR"/>
        </w:rPr>
        <w:t>sa première réunion</w:t>
      </w:r>
      <w:r w:rsidR="001B63AE" w:rsidRPr="00EF1CC7">
        <w:rPr>
          <w:lang w:val="fr-FR"/>
        </w:rPr>
        <w:t>,</w:t>
      </w:r>
      <w:r w:rsidR="007275A2" w:rsidRPr="00EF1CC7">
        <w:rPr>
          <w:lang w:val="fr-FR"/>
        </w:rPr>
        <w:t xml:space="preserve"> les 28 rapports techniques et </w:t>
      </w:r>
      <w:r w:rsidR="00EE1555" w:rsidRPr="00EF1CC7">
        <w:rPr>
          <w:lang w:val="fr-FR"/>
        </w:rPr>
        <w:t xml:space="preserve">les </w:t>
      </w:r>
      <w:r w:rsidR="007275A2" w:rsidRPr="00EF1CC7">
        <w:rPr>
          <w:lang w:val="fr-FR"/>
        </w:rPr>
        <w:t>85 recommandations du Groupe FG-DFS aux CE 2, 3, 12, 16 et 17 de l</w:t>
      </w:r>
      <w:r w:rsidR="00E31B2B">
        <w:rPr>
          <w:lang w:val="fr-FR"/>
        </w:rPr>
        <w:t>'</w:t>
      </w:r>
      <w:r w:rsidR="007275A2" w:rsidRPr="00EF1CC7">
        <w:rPr>
          <w:lang w:val="fr-FR"/>
        </w:rPr>
        <w:t>UIT-T</w:t>
      </w:r>
      <w:r w:rsidR="00223783" w:rsidRPr="00EF1CC7">
        <w:rPr>
          <w:lang w:val="fr-FR"/>
        </w:rPr>
        <w:t>;</w:t>
      </w:r>
    </w:p>
    <w:p w14:paraId="16F44BC9" w14:textId="018E1311" w:rsidR="001A69D3" w:rsidRPr="00EF1CC7" w:rsidRDefault="00CB5868" w:rsidP="00E31B2B">
      <w:pPr>
        <w:pStyle w:val="enumlev1"/>
        <w:rPr>
          <w:lang w:val="fr-FR"/>
        </w:rPr>
      </w:pPr>
      <w:r w:rsidRPr="00EF1CC7">
        <w:rPr>
          <w:lang w:val="fr-FR"/>
        </w:rPr>
        <w:tab/>
      </w:r>
      <w:r w:rsidR="00223783" w:rsidRPr="00EF1CC7">
        <w:rPr>
          <w:lang w:val="fr-FR"/>
        </w:rPr>
        <w:t>à</w:t>
      </w:r>
      <w:r w:rsidR="00DF3709" w:rsidRPr="00EF1CC7">
        <w:rPr>
          <w:lang w:val="fr-FR"/>
        </w:rPr>
        <w:t xml:space="preserve"> sa première réunion, </w:t>
      </w:r>
      <w:r w:rsidR="004A5C97" w:rsidRPr="00EF1CC7">
        <w:rPr>
          <w:lang w:val="fr-FR"/>
        </w:rPr>
        <w:t xml:space="preserve">le GCNT a établi </w:t>
      </w:r>
      <w:r w:rsidR="0067237F" w:rsidRPr="00EF1CC7">
        <w:rPr>
          <w:lang w:val="fr-FR"/>
        </w:rPr>
        <w:t>de nouveaux</w:t>
      </w:r>
      <w:r w:rsidR="004A5C97" w:rsidRPr="00EF1CC7">
        <w:rPr>
          <w:lang w:val="fr-FR"/>
        </w:rPr>
        <w:t xml:space="preserve"> </w:t>
      </w:r>
      <w:r w:rsidR="0067237F" w:rsidRPr="00EF1CC7">
        <w:rPr>
          <w:lang w:val="fr-FR"/>
        </w:rPr>
        <w:t>g</w:t>
      </w:r>
      <w:r w:rsidR="004A5C97" w:rsidRPr="00EF1CC7">
        <w:rPr>
          <w:lang w:val="fr-FR"/>
        </w:rPr>
        <w:t>roupe</w:t>
      </w:r>
      <w:r w:rsidR="0067237F" w:rsidRPr="00EF1CC7">
        <w:rPr>
          <w:lang w:val="fr-FR"/>
        </w:rPr>
        <w:t>s</w:t>
      </w:r>
      <w:r w:rsidR="004A5C97" w:rsidRPr="00EF1CC7">
        <w:rPr>
          <w:lang w:val="fr-FR"/>
        </w:rPr>
        <w:t xml:space="preserve"> spécialisé</w:t>
      </w:r>
      <w:r w:rsidR="0067237F" w:rsidRPr="00EF1CC7">
        <w:rPr>
          <w:lang w:val="fr-FR"/>
        </w:rPr>
        <w:t>s</w:t>
      </w:r>
      <w:r w:rsidR="004A5C97" w:rsidRPr="00EF1CC7">
        <w:rPr>
          <w:lang w:val="fr-FR"/>
        </w:rPr>
        <w:t xml:space="preserve"> de l</w:t>
      </w:r>
      <w:r w:rsidR="00E31B2B">
        <w:rPr>
          <w:lang w:val="fr-FR"/>
        </w:rPr>
        <w:t>'</w:t>
      </w:r>
      <w:r w:rsidR="004A5C97" w:rsidRPr="00EF1CC7">
        <w:rPr>
          <w:lang w:val="fr-FR"/>
        </w:rPr>
        <w:t xml:space="preserve">UIT-T </w:t>
      </w:r>
      <w:r w:rsidR="0067237F" w:rsidRPr="00EF1CC7">
        <w:rPr>
          <w:lang w:val="fr-FR"/>
        </w:rPr>
        <w:t>sur la monnaie numérique, y compris la monnaie fiduciaire numérique (FG-DFC)</w:t>
      </w:r>
      <w:r w:rsidR="001B63AE" w:rsidRPr="00EF1CC7">
        <w:rPr>
          <w:lang w:val="fr-FR"/>
        </w:rPr>
        <w:t>,</w:t>
      </w:r>
      <w:r w:rsidR="0067237F" w:rsidRPr="00EF1CC7">
        <w:rPr>
          <w:lang w:val="fr-FR"/>
        </w:rPr>
        <w:t xml:space="preserve"> et sur </w:t>
      </w:r>
      <w:r w:rsidR="0067237F" w:rsidRPr="00EF1CC7">
        <w:rPr>
          <w:rFonts w:asciiTheme="majorBidi" w:hAnsiTheme="majorBidi" w:cstheme="majorBidi"/>
          <w:lang w:val="fr-FR"/>
        </w:rPr>
        <w:t>l</w:t>
      </w:r>
      <w:r w:rsidR="00E31B2B">
        <w:rPr>
          <w:rFonts w:asciiTheme="majorBidi" w:hAnsiTheme="majorBidi" w:cstheme="majorBidi"/>
          <w:lang w:val="fr-FR"/>
        </w:rPr>
        <w:t>'</w:t>
      </w:r>
      <w:r w:rsidR="0067237F" w:rsidRPr="00EF1CC7">
        <w:rPr>
          <w:rFonts w:asciiTheme="majorBidi" w:hAnsiTheme="majorBidi" w:cstheme="majorBidi"/>
          <w:lang w:val="fr-FR"/>
        </w:rPr>
        <w:t>application de la technologie des registres distribués (FG-DLT)</w:t>
      </w:r>
      <w:r w:rsidR="00C026C2" w:rsidRPr="00EF1CC7">
        <w:rPr>
          <w:rFonts w:asciiTheme="majorBidi" w:hAnsiTheme="majorBidi" w:cstheme="majorBidi"/>
          <w:lang w:val="fr-FR"/>
        </w:rPr>
        <w:t xml:space="preserve">, </w:t>
      </w:r>
      <w:r w:rsidR="001B63AE" w:rsidRPr="00EF1CC7">
        <w:rPr>
          <w:rFonts w:asciiTheme="majorBidi" w:hAnsiTheme="majorBidi" w:cstheme="majorBidi"/>
          <w:lang w:val="fr-FR"/>
        </w:rPr>
        <w:t xml:space="preserve">groupes qui sont </w:t>
      </w:r>
      <w:r w:rsidR="00CC5FDB" w:rsidRPr="00EF1CC7">
        <w:rPr>
          <w:rFonts w:asciiTheme="majorBidi" w:hAnsiTheme="majorBidi" w:cstheme="majorBidi"/>
          <w:lang w:val="fr-FR"/>
        </w:rPr>
        <w:t>rattachés au GCNT</w:t>
      </w:r>
      <w:r w:rsidR="00C026C2" w:rsidRPr="00EF1CC7">
        <w:rPr>
          <w:rFonts w:asciiTheme="majorBidi" w:hAnsiTheme="majorBidi" w:cstheme="majorBidi"/>
          <w:lang w:val="fr-FR"/>
        </w:rPr>
        <w:t>.</w:t>
      </w:r>
      <w:r w:rsidR="00CC5FDB" w:rsidRPr="00EF1CC7">
        <w:rPr>
          <w:rFonts w:asciiTheme="majorBidi" w:hAnsiTheme="majorBidi" w:cstheme="majorBidi"/>
          <w:lang w:val="fr-FR"/>
        </w:rPr>
        <w:t xml:space="preserve"> Le GCNT </w:t>
      </w:r>
      <w:r w:rsidR="00393E1B" w:rsidRPr="00EF1CC7">
        <w:rPr>
          <w:rFonts w:asciiTheme="majorBidi" w:hAnsiTheme="majorBidi" w:cstheme="majorBidi"/>
          <w:lang w:val="fr-FR"/>
        </w:rPr>
        <w:t xml:space="preserve">a </w:t>
      </w:r>
      <w:r w:rsidR="00110A3E" w:rsidRPr="00EF1CC7">
        <w:rPr>
          <w:rFonts w:asciiTheme="majorBidi" w:hAnsiTheme="majorBidi" w:cstheme="majorBidi"/>
          <w:lang w:val="fr-FR"/>
        </w:rPr>
        <w:t>pro</w:t>
      </w:r>
      <w:r w:rsidR="001B63AE" w:rsidRPr="00EF1CC7">
        <w:rPr>
          <w:rFonts w:asciiTheme="majorBidi" w:hAnsiTheme="majorBidi" w:cstheme="majorBidi"/>
          <w:lang w:val="fr-FR"/>
        </w:rPr>
        <w:t>ro</w:t>
      </w:r>
      <w:r w:rsidR="00110A3E" w:rsidRPr="00EF1CC7">
        <w:rPr>
          <w:rFonts w:asciiTheme="majorBidi" w:hAnsiTheme="majorBidi" w:cstheme="majorBidi"/>
          <w:lang w:val="fr-FR"/>
        </w:rPr>
        <w:t xml:space="preserve">gé </w:t>
      </w:r>
      <w:r w:rsidR="00FF5CE0" w:rsidRPr="00EF1CC7">
        <w:rPr>
          <w:rFonts w:asciiTheme="majorBidi" w:hAnsiTheme="majorBidi" w:cstheme="majorBidi"/>
          <w:lang w:val="fr-FR"/>
        </w:rPr>
        <w:t>le mandat des</w:t>
      </w:r>
      <w:r w:rsidR="00110A3E" w:rsidRPr="00EF1CC7">
        <w:rPr>
          <w:rFonts w:asciiTheme="majorBidi" w:hAnsiTheme="majorBidi" w:cstheme="majorBidi"/>
          <w:lang w:val="fr-FR"/>
        </w:rPr>
        <w:t xml:space="preserve"> Group</w:t>
      </w:r>
      <w:r w:rsidR="00FF5CE0" w:rsidRPr="00EF1CC7">
        <w:rPr>
          <w:rFonts w:asciiTheme="majorBidi" w:hAnsiTheme="majorBidi" w:cstheme="majorBidi"/>
          <w:lang w:val="fr-FR"/>
        </w:rPr>
        <w:t>e</w:t>
      </w:r>
      <w:r w:rsidR="00110A3E" w:rsidRPr="00EF1CC7">
        <w:rPr>
          <w:rFonts w:asciiTheme="majorBidi" w:hAnsiTheme="majorBidi" w:cstheme="majorBidi"/>
          <w:lang w:val="fr-FR"/>
        </w:rPr>
        <w:t>s FG-DLT et FG-DFC</w:t>
      </w:r>
      <w:r w:rsidR="001401E5" w:rsidRPr="00EF1CC7">
        <w:rPr>
          <w:rFonts w:asciiTheme="majorBidi" w:hAnsiTheme="majorBidi" w:cstheme="majorBidi"/>
          <w:lang w:val="fr-FR"/>
        </w:rPr>
        <w:t xml:space="preserve">, qui devait prendre fin en </w:t>
      </w:r>
      <w:r w:rsidR="00110A3E" w:rsidRPr="00EF1CC7">
        <w:rPr>
          <w:rFonts w:asciiTheme="majorBidi" w:hAnsiTheme="majorBidi" w:cstheme="majorBidi"/>
          <w:lang w:val="fr-FR"/>
        </w:rPr>
        <w:t>avril 2019</w:t>
      </w:r>
      <w:r w:rsidR="001401E5" w:rsidRPr="00EF1CC7">
        <w:rPr>
          <w:rFonts w:asciiTheme="majorBidi" w:hAnsiTheme="majorBidi" w:cstheme="majorBidi"/>
          <w:lang w:val="fr-FR"/>
        </w:rPr>
        <w:t>, jusqu</w:t>
      </w:r>
      <w:r w:rsidR="00E31B2B">
        <w:rPr>
          <w:rFonts w:asciiTheme="majorBidi" w:hAnsiTheme="majorBidi" w:cstheme="majorBidi"/>
          <w:lang w:val="fr-FR"/>
        </w:rPr>
        <w:t>'</w:t>
      </w:r>
      <w:r w:rsidR="001B63AE" w:rsidRPr="00EF1CC7">
        <w:rPr>
          <w:rFonts w:asciiTheme="majorBidi" w:hAnsiTheme="majorBidi" w:cstheme="majorBidi"/>
          <w:lang w:val="fr-FR"/>
        </w:rPr>
        <w:t>en</w:t>
      </w:r>
      <w:r w:rsidR="00110A3E" w:rsidRPr="00EF1CC7">
        <w:rPr>
          <w:rFonts w:asciiTheme="majorBidi" w:hAnsiTheme="majorBidi" w:cstheme="majorBidi"/>
          <w:lang w:val="fr-FR"/>
        </w:rPr>
        <w:t xml:space="preserve"> septembre 2019</w:t>
      </w:r>
      <w:r w:rsidR="00223783" w:rsidRPr="00EF1CC7">
        <w:rPr>
          <w:rFonts w:asciiTheme="majorBidi" w:hAnsiTheme="majorBidi" w:cstheme="majorBidi"/>
          <w:lang w:val="fr-FR"/>
        </w:rPr>
        <w:t>;</w:t>
      </w:r>
      <w:r w:rsidRPr="00EF1CC7">
        <w:rPr>
          <w:lang w:val="fr-FR"/>
        </w:rPr>
        <w:br/>
      </w:r>
      <w:r w:rsidR="00223783" w:rsidRPr="00EF1CC7">
        <w:rPr>
          <w:lang w:val="fr-FR"/>
        </w:rPr>
        <w:t>l</w:t>
      </w:r>
      <w:r w:rsidR="00360624" w:rsidRPr="00EF1CC7">
        <w:rPr>
          <w:lang w:val="fr-FR"/>
        </w:rPr>
        <w:t>e GCNT a</w:t>
      </w:r>
      <w:r w:rsidR="009A02B7" w:rsidRPr="00EF1CC7">
        <w:rPr>
          <w:lang w:val="fr-FR"/>
        </w:rPr>
        <w:t xml:space="preserve"> </w:t>
      </w:r>
      <w:r w:rsidR="001B63AE" w:rsidRPr="00EF1CC7">
        <w:rPr>
          <w:lang w:val="fr-FR"/>
        </w:rPr>
        <w:t xml:space="preserve">été saisi de </w:t>
      </w:r>
      <w:r w:rsidR="00360624" w:rsidRPr="00EF1CC7">
        <w:rPr>
          <w:lang w:val="fr-FR"/>
        </w:rPr>
        <w:t>huit produits fin</w:t>
      </w:r>
      <w:r w:rsidR="00502483" w:rsidRPr="00EF1CC7">
        <w:rPr>
          <w:lang w:val="fr-FR"/>
        </w:rPr>
        <w:t>als du Groupe FG-DLT et</w:t>
      </w:r>
      <w:r w:rsidR="00360624" w:rsidRPr="00EF1CC7">
        <w:rPr>
          <w:lang w:val="fr-FR"/>
        </w:rPr>
        <w:t xml:space="preserve"> </w:t>
      </w:r>
      <w:r w:rsidR="001B63AE" w:rsidRPr="00EF1CC7">
        <w:rPr>
          <w:lang w:val="fr-FR"/>
        </w:rPr>
        <w:t xml:space="preserve">de </w:t>
      </w:r>
      <w:r w:rsidR="00360624" w:rsidRPr="00EF1CC7">
        <w:rPr>
          <w:lang w:val="fr-FR"/>
        </w:rPr>
        <w:t xml:space="preserve">sept </w:t>
      </w:r>
      <w:r w:rsidR="001B63AE" w:rsidRPr="00EF1CC7">
        <w:rPr>
          <w:lang w:val="fr-FR"/>
        </w:rPr>
        <w:t xml:space="preserve">produits finals </w:t>
      </w:r>
      <w:r w:rsidR="00360624" w:rsidRPr="00EF1CC7">
        <w:rPr>
          <w:lang w:val="fr-FR"/>
        </w:rPr>
        <w:t>du Groupe FG-DFC</w:t>
      </w:r>
      <w:r w:rsidR="001B63AE" w:rsidRPr="00EF1CC7">
        <w:rPr>
          <w:lang w:val="fr-FR"/>
        </w:rPr>
        <w:t>, qu</w:t>
      </w:r>
      <w:r w:rsidR="00E31B2B">
        <w:rPr>
          <w:lang w:val="fr-FR"/>
        </w:rPr>
        <w:t>'</w:t>
      </w:r>
      <w:r w:rsidR="001B63AE" w:rsidRPr="00EF1CC7">
        <w:rPr>
          <w:lang w:val="fr-FR"/>
        </w:rPr>
        <w:t>il</w:t>
      </w:r>
      <w:r w:rsidR="009A02B7" w:rsidRPr="00EF1CC7">
        <w:rPr>
          <w:lang w:val="fr-FR"/>
        </w:rPr>
        <w:t xml:space="preserve"> </w:t>
      </w:r>
      <w:r w:rsidR="00360624" w:rsidRPr="00EF1CC7">
        <w:rPr>
          <w:lang w:val="fr-FR"/>
        </w:rPr>
        <w:t>a transmis respectivement aux commissions d</w:t>
      </w:r>
      <w:r w:rsidR="00E31B2B">
        <w:rPr>
          <w:lang w:val="fr-FR"/>
        </w:rPr>
        <w:t>'</w:t>
      </w:r>
      <w:r w:rsidR="00360624" w:rsidRPr="00EF1CC7">
        <w:rPr>
          <w:lang w:val="fr-FR"/>
        </w:rPr>
        <w:t>études concernées.</w:t>
      </w:r>
      <w:r w:rsidR="0086757B" w:rsidRPr="00EF1CC7">
        <w:rPr>
          <w:lang w:val="fr-FR"/>
        </w:rPr>
        <w:t xml:space="preserve"> Les Groupes FG-</w:t>
      </w:r>
      <w:r w:rsidR="004717E9" w:rsidRPr="00EF1CC7">
        <w:rPr>
          <w:lang w:val="fr-FR"/>
        </w:rPr>
        <w:t xml:space="preserve">DLT et FG-DFC ont achevé leurs travaux </w:t>
      </w:r>
      <w:r w:rsidR="002D1A61" w:rsidRPr="00EF1CC7">
        <w:rPr>
          <w:lang w:val="fr-FR"/>
        </w:rPr>
        <w:t>en 2019 et le</w:t>
      </w:r>
      <w:r w:rsidR="00DC42BA">
        <w:rPr>
          <w:lang w:val="fr-FR"/>
        </w:rPr>
        <w:t> </w:t>
      </w:r>
      <w:r w:rsidR="002D1A61" w:rsidRPr="00EF1CC7">
        <w:rPr>
          <w:lang w:val="fr-FR"/>
        </w:rPr>
        <w:t xml:space="preserve">GCNT a </w:t>
      </w:r>
      <w:r w:rsidR="006301F5" w:rsidRPr="00EF1CC7">
        <w:rPr>
          <w:lang w:val="fr-FR"/>
        </w:rPr>
        <w:t>approuvé leur dissolution</w:t>
      </w:r>
      <w:r w:rsidR="002A484A" w:rsidRPr="00EF1CC7">
        <w:rPr>
          <w:lang w:val="fr-FR"/>
        </w:rPr>
        <w:t>;</w:t>
      </w:r>
      <w:r w:rsidRPr="00EF1CC7">
        <w:rPr>
          <w:lang w:val="fr-FR"/>
        </w:rPr>
        <w:br/>
      </w:r>
      <w:r w:rsidR="002A484A" w:rsidRPr="00EF1CC7">
        <w:rPr>
          <w:lang w:val="fr-FR"/>
        </w:rPr>
        <w:t>à</w:t>
      </w:r>
      <w:r w:rsidR="001A69D3" w:rsidRPr="00EF1CC7">
        <w:rPr>
          <w:lang w:val="fr-FR"/>
        </w:rPr>
        <w:t xml:space="preserve"> sa quatrième réunion, le GCNT </w:t>
      </w:r>
      <w:r w:rsidR="00C5449E" w:rsidRPr="00EF1CC7">
        <w:rPr>
          <w:lang w:val="fr-FR"/>
        </w:rPr>
        <w:t xml:space="preserve">a </w:t>
      </w:r>
      <w:r w:rsidR="001B63AE" w:rsidRPr="00EF1CC7">
        <w:rPr>
          <w:lang w:val="fr-FR"/>
        </w:rPr>
        <w:t>créé</w:t>
      </w:r>
      <w:r w:rsidR="009A02B7" w:rsidRPr="00EF1CC7">
        <w:rPr>
          <w:lang w:val="fr-FR"/>
        </w:rPr>
        <w:t xml:space="preserve"> </w:t>
      </w:r>
      <w:r w:rsidR="00C5449E" w:rsidRPr="00EF1CC7">
        <w:rPr>
          <w:lang w:val="fr-FR"/>
        </w:rPr>
        <w:t xml:space="preserve">le nouveau </w:t>
      </w:r>
      <w:r w:rsidR="001B63AE" w:rsidRPr="00EF1CC7">
        <w:rPr>
          <w:lang w:val="fr-FR"/>
        </w:rPr>
        <w:t>G</w:t>
      </w:r>
      <w:r w:rsidR="00C5449E" w:rsidRPr="00EF1CC7">
        <w:rPr>
          <w:lang w:val="fr-FR"/>
        </w:rPr>
        <w:t>roupe spécialisé de l</w:t>
      </w:r>
      <w:r w:rsidR="00E31B2B">
        <w:rPr>
          <w:lang w:val="fr-FR"/>
        </w:rPr>
        <w:t>'</w:t>
      </w:r>
      <w:r w:rsidR="00C5449E" w:rsidRPr="00EF1CC7">
        <w:rPr>
          <w:lang w:val="fr-FR"/>
        </w:rPr>
        <w:t>UIT FG</w:t>
      </w:r>
      <w:r w:rsidR="002A484A" w:rsidRPr="00EF1CC7">
        <w:rPr>
          <w:lang w:val="fr-FR"/>
        </w:rPr>
        <w:noBreakHyphen/>
      </w:r>
      <w:r w:rsidR="00C5449E" w:rsidRPr="00EF1CC7">
        <w:rPr>
          <w:lang w:val="fr-FR"/>
        </w:rPr>
        <w:t>QIT4N, rattaché au GCNT</w:t>
      </w:r>
      <w:r w:rsidR="002A484A" w:rsidRPr="00EF1CC7">
        <w:rPr>
          <w:lang w:val="fr-FR"/>
        </w:rPr>
        <w:t>.</w:t>
      </w:r>
      <w:r w:rsidR="00C5449E" w:rsidRPr="00EF1CC7">
        <w:rPr>
          <w:lang w:val="fr-FR"/>
        </w:rPr>
        <w:t xml:space="preserve"> </w:t>
      </w:r>
      <w:r w:rsidR="002A484A" w:rsidRPr="00EF1CC7">
        <w:rPr>
          <w:lang w:val="fr-FR"/>
        </w:rPr>
        <w:t>I</w:t>
      </w:r>
      <w:r w:rsidR="001B63AE" w:rsidRPr="00EF1CC7">
        <w:rPr>
          <w:lang w:val="fr-FR"/>
        </w:rPr>
        <w:t>l</w:t>
      </w:r>
      <w:r w:rsidR="009A02B7" w:rsidRPr="00EF1CC7">
        <w:rPr>
          <w:lang w:val="fr-FR"/>
        </w:rPr>
        <w:t xml:space="preserve"> </w:t>
      </w:r>
      <w:r w:rsidR="00987240" w:rsidRPr="00EF1CC7">
        <w:rPr>
          <w:lang w:val="fr-FR"/>
        </w:rPr>
        <w:t>a pro</w:t>
      </w:r>
      <w:r w:rsidR="001B63AE" w:rsidRPr="00EF1CC7">
        <w:rPr>
          <w:lang w:val="fr-FR"/>
        </w:rPr>
        <w:t>ro</w:t>
      </w:r>
      <w:r w:rsidR="00987240" w:rsidRPr="00EF1CC7">
        <w:rPr>
          <w:lang w:val="fr-FR"/>
        </w:rPr>
        <w:t>gé le mandat du Groupe FG-QIT4N</w:t>
      </w:r>
      <w:r w:rsidR="001401E5" w:rsidRPr="00EF1CC7">
        <w:rPr>
          <w:lang w:val="fr-FR"/>
        </w:rPr>
        <w:t>, qui devait prendre fin en</w:t>
      </w:r>
      <w:r w:rsidR="00987240" w:rsidRPr="00EF1CC7">
        <w:rPr>
          <w:lang w:val="fr-FR"/>
        </w:rPr>
        <w:t xml:space="preserve"> septembre 2020</w:t>
      </w:r>
      <w:r w:rsidR="001401E5" w:rsidRPr="00EF1CC7">
        <w:rPr>
          <w:lang w:val="fr-FR"/>
        </w:rPr>
        <w:t>, jusqu</w:t>
      </w:r>
      <w:r w:rsidR="00E31B2B">
        <w:rPr>
          <w:lang w:val="fr-FR"/>
        </w:rPr>
        <w:t>'</w:t>
      </w:r>
      <w:r w:rsidR="001B63AE" w:rsidRPr="00EF1CC7">
        <w:rPr>
          <w:lang w:val="fr-FR"/>
        </w:rPr>
        <w:t>en</w:t>
      </w:r>
      <w:r w:rsidR="00987240" w:rsidRPr="00EF1CC7">
        <w:rPr>
          <w:lang w:val="fr-FR"/>
        </w:rPr>
        <w:t xml:space="preserve"> décembre 2021.</w:t>
      </w:r>
      <w:r w:rsidR="002C7B9F" w:rsidRPr="00EF1CC7">
        <w:rPr>
          <w:lang w:val="fr-FR"/>
        </w:rPr>
        <w:t xml:space="preserve"> Le GCNT a </w:t>
      </w:r>
      <w:r w:rsidR="001B63AE" w:rsidRPr="00EF1CC7">
        <w:rPr>
          <w:lang w:val="fr-FR"/>
        </w:rPr>
        <w:t xml:space="preserve">été saisi de </w:t>
      </w:r>
      <w:r w:rsidR="002C7B9F" w:rsidRPr="00EF1CC7">
        <w:rPr>
          <w:lang w:val="fr-FR"/>
        </w:rPr>
        <w:t>neuf</w:t>
      </w:r>
      <w:r w:rsidR="002A484A" w:rsidRPr="00EF1CC7">
        <w:rPr>
          <w:lang w:val="fr-FR"/>
        </w:rPr>
        <w:t> </w:t>
      </w:r>
      <w:r w:rsidR="002C7B9F" w:rsidRPr="00EF1CC7">
        <w:rPr>
          <w:lang w:val="fr-FR"/>
        </w:rPr>
        <w:t>produits finals du Groupe FG-QIT4N</w:t>
      </w:r>
      <w:r w:rsidR="009A02B7" w:rsidRPr="00EF1CC7">
        <w:rPr>
          <w:lang w:val="fr-FR"/>
        </w:rPr>
        <w:t>,</w:t>
      </w:r>
      <w:r w:rsidR="001B63AE" w:rsidRPr="00EF1CC7">
        <w:rPr>
          <w:lang w:val="fr-FR"/>
        </w:rPr>
        <w:t xml:space="preserve"> qu</w:t>
      </w:r>
      <w:r w:rsidR="00E31B2B">
        <w:rPr>
          <w:lang w:val="fr-FR"/>
        </w:rPr>
        <w:t>'</w:t>
      </w:r>
      <w:r w:rsidR="001B63AE" w:rsidRPr="00EF1CC7">
        <w:rPr>
          <w:lang w:val="fr-FR"/>
        </w:rPr>
        <w:t>il</w:t>
      </w:r>
      <w:r w:rsidR="001561E5" w:rsidRPr="00EF1CC7">
        <w:rPr>
          <w:lang w:val="fr-FR"/>
        </w:rPr>
        <w:t xml:space="preserve"> </w:t>
      </w:r>
      <w:r w:rsidR="00D759DB" w:rsidRPr="00EF1CC7">
        <w:rPr>
          <w:lang w:val="fr-FR"/>
        </w:rPr>
        <w:t>a transmis respectivement aux commissions d</w:t>
      </w:r>
      <w:r w:rsidR="00E31B2B">
        <w:rPr>
          <w:lang w:val="fr-FR"/>
        </w:rPr>
        <w:t>'</w:t>
      </w:r>
      <w:r w:rsidR="00D759DB" w:rsidRPr="00EF1CC7">
        <w:rPr>
          <w:lang w:val="fr-FR"/>
        </w:rPr>
        <w:t>études concernées</w:t>
      </w:r>
      <w:r w:rsidR="002A484A" w:rsidRPr="00EF1CC7">
        <w:rPr>
          <w:lang w:val="fr-FR"/>
        </w:rPr>
        <w:t>;</w:t>
      </w:r>
    </w:p>
    <w:p w14:paraId="350C1BD6" w14:textId="77777777" w:rsidR="00033E86" w:rsidRPr="00EF1CC7" w:rsidRDefault="00CB5868" w:rsidP="00E31B2B">
      <w:pPr>
        <w:pStyle w:val="enumlev1"/>
        <w:rPr>
          <w:lang w:val="fr-FR"/>
        </w:rPr>
      </w:pPr>
      <w:r w:rsidRPr="00EF1CC7">
        <w:rPr>
          <w:lang w:val="fr-FR"/>
        </w:rPr>
        <w:t>−</w:t>
      </w:r>
      <w:r w:rsidRPr="00EF1CC7">
        <w:rPr>
          <w:lang w:val="fr-FR"/>
        </w:rPr>
        <w:tab/>
      </w:r>
      <w:r w:rsidR="001B63AE" w:rsidRPr="00EF1CC7">
        <w:rPr>
          <w:lang w:val="fr-FR"/>
        </w:rPr>
        <w:t>créé</w:t>
      </w:r>
      <w:r w:rsidR="009A02B7" w:rsidRPr="00EF1CC7">
        <w:rPr>
          <w:lang w:val="fr-FR"/>
        </w:rPr>
        <w:t xml:space="preserve"> </w:t>
      </w:r>
      <w:r w:rsidR="00033E86" w:rsidRPr="00EF1CC7">
        <w:rPr>
          <w:lang w:val="fr-FR"/>
        </w:rPr>
        <w:t>une nouvelle Activité de coordination conjointe sur le certificat COVID numérique (JCA-DCC).</w:t>
      </w:r>
    </w:p>
    <w:p w14:paraId="2C94B4F7" w14:textId="2CA29978" w:rsidR="00043522" w:rsidRPr="00EF1CC7" w:rsidRDefault="00043522" w:rsidP="00E31B2B">
      <w:pPr>
        <w:rPr>
          <w:lang w:val="fr-FR"/>
        </w:rPr>
      </w:pPr>
      <w:r w:rsidRPr="00EF1CC7">
        <w:rPr>
          <w:lang w:val="fr-FR"/>
        </w:rPr>
        <w:t xml:space="preserve">Le GCNT a adressé de nombreuses notes de liaison aux </w:t>
      </w:r>
      <w:r w:rsidR="002A484A" w:rsidRPr="00EF1CC7">
        <w:rPr>
          <w:lang w:val="fr-FR"/>
        </w:rPr>
        <w:t>C</w:t>
      </w:r>
      <w:r w:rsidRPr="00EF1CC7">
        <w:rPr>
          <w:lang w:val="fr-FR"/>
        </w:rPr>
        <w:t>ommissions d</w:t>
      </w:r>
      <w:r w:rsidR="00E31B2B">
        <w:rPr>
          <w:lang w:val="fr-FR"/>
        </w:rPr>
        <w:t>'</w:t>
      </w:r>
      <w:r w:rsidRPr="00EF1CC7">
        <w:rPr>
          <w:lang w:val="fr-FR"/>
        </w:rPr>
        <w:t>études de l</w:t>
      </w:r>
      <w:r w:rsidR="00E31B2B">
        <w:rPr>
          <w:lang w:val="fr-FR"/>
        </w:rPr>
        <w:t>'</w:t>
      </w:r>
      <w:r w:rsidRPr="00EF1CC7">
        <w:rPr>
          <w:lang w:val="fr-FR"/>
        </w:rPr>
        <w:t xml:space="preserve">UIT-T pour leur donner des conseils et des lignes directrices sur les méthodes de travail, la coordination externe et des questions concernant plusieurs </w:t>
      </w:r>
      <w:r w:rsidR="002A484A" w:rsidRPr="00EF1CC7">
        <w:rPr>
          <w:lang w:val="fr-FR"/>
        </w:rPr>
        <w:t>c</w:t>
      </w:r>
      <w:r w:rsidRPr="00EF1CC7">
        <w:rPr>
          <w:lang w:val="fr-FR"/>
        </w:rPr>
        <w:t>ommissions d</w:t>
      </w:r>
      <w:r w:rsidR="00E31B2B">
        <w:rPr>
          <w:lang w:val="fr-FR"/>
        </w:rPr>
        <w:t>'</w:t>
      </w:r>
      <w:r w:rsidRPr="00EF1CC7">
        <w:rPr>
          <w:lang w:val="fr-FR"/>
        </w:rPr>
        <w:t>études. Le GCNT s</w:t>
      </w:r>
      <w:r w:rsidR="00E31B2B">
        <w:rPr>
          <w:lang w:val="fr-FR"/>
        </w:rPr>
        <w:t>'</w:t>
      </w:r>
      <w:r w:rsidRPr="00EF1CC7">
        <w:rPr>
          <w:lang w:val="fr-FR"/>
        </w:rPr>
        <w:t>est aussi mis en rapport avec l</w:t>
      </w:r>
      <w:r w:rsidR="00E31B2B">
        <w:rPr>
          <w:lang w:val="fr-FR"/>
        </w:rPr>
        <w:t>'</w:t>
      </w:r>
      <w:r w:rsidRPr="00EF1CC7">
        <w:rPr>
          <w:lang w:val="fr-FR"/>
        </w:rPr>
        <w:t>UIT-R, l</w:t>
      </w:r>
      <w:r w:rsidR="00E31B2B">
        <w:rPr>
          <w:lang w:val="fr-FR"/>
        </w:rPr>
        <w:t>'</w:t>
      </w:r>
      <w:r w:rsidRPr="00EF1CC7">
        <w:rPr>
          <w:lang w:val="fr-FR"/>
        </w:rPr>
        <w:t>UIT-D et l</w:t>
      </w:r>
      <w:r w:rsidR="00E31B2B">
        <w:rPr>
          <w:lang w:val="fr-FR"/>
        </w:rPr>
        <w:t>'</w:t>
      </w:r>
      <w:r w:rsidRPr="00EF1CC7">
        <w:rPr>
          <w:lang w:val="fr-FR"/>
        </w:rPr>
        <w:t>ISO/CEI JTC1.</w:t>
      </w:r>
      <w:r w:rsidR="00CB5868" w:rsidRPr="00EF1CC7">
        <w:rPr>
          <w:lang w:val="fr-FR"/>
        </w:rPr>
        <w:t xml:space="preserve"> </w:t>
      </w:r>
      <w:r w:rsidR="004732FB" w:rsidRPr="00EF1CC7">
        <w:rPr>
          <w:lang w:val="fr-FR"/>
        </w:rPr>
        <w:t xml:space="preserve">Le GCNT </w:t>
      </w:r>
      <w:r w:rsidR="005F7330" w:rsidRPr="00EF1CC7">
        <w:rPr>
          <w:lang w:val="fr-FR"/>
        </w:rPr>
        <w:t xml:space="preserve">a établi une liaison avec les six organisations régionales </w:t>
      </w:r>
      <w:r w:rsidR="00C20FCC" w:rsidRPr="00EF1CC7">
        <w:rPr>
          <w:lang w:val="fr-FR"/>
        </w:rPr>
        <w:t xml:space="preserve">dans le cadre </w:t>
      </w:r>
      <w:r w:rsidR="001B63AE" w:rsidRPr="00EF1CC7">
        <w:rPr>
          <w:lang w:val="fr-FR"/>
        </w:rPr>
        <w:t>des travaux préparatoires</w:t>
      </w:r>
      <w:r w:rsidR="009A02B7" w:rsidRPr="00EF1CC7">
        <w:rPr>
          <w:lang w:val="fr-FR"/>
        </w:rPr>
        <w:t xml:space="preserve"> </w:t>
      </w:r>
      <w:r w:rsidR="00C20FCC" w:rsidRPr="00EF1CC7">
        <w:rPr>
          <w:lang w:val="fr-FR"/>
        </w:rPr>
        <w:t>en vue de l</w:t>
      </w:r>
      <w:r w:rsidR="00E31B2B">
        <w:rPr>
          <w:lang w:val="fr-FR"/>
        </w:rPr>
        <w:t>'</w:t>
      </w:r>
      <w:r w:rsidR="00C20FCC" w:rsidRPr="00EF1CC7">
        <w:rPr>
          <w:lang w:val="fr-FR"/>
        </w:rPr>
        <w:t>AMNT-20.</w:t>
      </w:r>
    </w:p>
    <w:p w14:paraId="5FEF2180" w14:textId="77F10FC4" w:rsidR="00043522" w:rsidRPr="00EF1CC7" w:rsidRDefault="00043522" w:rsidP="00E31B2B">
      <w:pPr>
        <w:rPr>
          <w:color w:val="000000"/>
          <w:lang w:val="fr-FR"/>
        </w:rPr>
      </w:pPr>
      <w:r w:rsidRPr="00EF1CC7">
        <w:rPr>
          <w:lang w:val="fr-FR"/>
        </w:rPr>
        <w:t xml:space="preserve">Le GCNT a été appelé, conformément à des Résolutions de la Conférence de plénipotentiaires et des Décisions du Conseil, à fournir des avis sur un grand nombre de sujets. Ces avis ont été élaborés et transmis de manière appropriée sur des sujets tels que les plans stratégique et opérationnel, la coordination des planifications stratégique, financière et opérationnelle, les méthodes de travail électroniques, </w:t>
      </w:r>
      <w:r w:rsidRPr="00EF1CC7">
        <w:rPr>
          <w:color w:val="000000"/>
          <w:lang w:val="fr-FR"/>
        </w:rPr>
        <w:t>les questions relatives à la réduction de l</w:t>
      </w:r>
      <w:r w:rsidR="00E31B2B">
        <w:rPr>
          <w:color w:val="000000"/>
          <w:lang w:val="fr-FR"/>
        </w:rPr>
        <w:t>'</w:t>
      </w:r>
      <w:r w:rsidRPr="00EF1CC7">
        <w:rPr>
          <w:color w:val="000000"/>
          <w:lang w:val="fr-FR"/>
        </w:rPr>
        <w:t>écart en matière de normalisation et les priorités de l</w:t>
      </w:r>
      <w:r w:rsidR="00E31B2B">
        <w:rPr>
          <w:color w:val="000000"/>
          <w:lang w:val="fr-FR"/>
        </w:rPr>
        <w:t>'</w:t>
      </w:r>
      <w:r w:rsidRPr="00EF1CC7">
        <w:rPr>
          <w:color w:val="000000"/>
          <w:lang w:val="fr-FR"/>
        </w:rPr>
        <w:t>UIT-T.</w:t>
      </w:r>
    </w:p>
    <w:p w14:paraId="73E5070F" w14:textId="77777777" w:rsidR="00CB5868" w:rsidRPr="00EF1CC7" w:rsidRDefault="00CB5868" w:rsidP="00E31B2B">
      <w:pPr>
        <w:pStyle w:val="Heading2"/>
        <w:rPr>
          <w:lang w:val="fr-FR"/>
        </w:rPr>
      </w:pPr>
      <w:bookmarkStart w:id="16" w:name="_Toc94876341"/>
      <w:r w:rsidRPr="00EF1CC7">
        <w:rPr>
          <w:lang w:val="fr-FR"/>
        </w:rPr>
        <w:t>3.2</w:t>
      </w:r>
      <w:r w:rsidRPr="00EF1CC7">
        <w:rPr>
          <w:lang w:val="fr-FR"/>
        </w:rPr>
        <w:tab/>
        <w:t>Principaux résultats obtenus</w:t>
      </w:r>
      <w:bookmarkEnd w:id="16"/>
    </w:p>
    <w:p w14:paraId="344CC94E" w14:textId="77777777" w:rsidR="002131D0" w:rsidRPr="00EF1CC7" w:rsidRDefault="002131D0" w:rsidP="00E31B2B">
      <w:pPr>
        <w:rPr>
          <w:lang w:val="fr-FR"/>
        </w:rPr>
      </w:pPr>
      <w:r w:rsidRPr="00EF1CC7">
        <w:rPr>
          <w:lang w:val="fr-FR"/>
        </w:rPr>
        <w:t xml:space="preserve">Les principaux résultats obtenus par le GCNT et ses Groupes du Rapporteur </w:t>
      </w:r>
      <w:r w:rsidR="004D2CE5" w:rsidRPr="00EF1CC7">
        <w:rPr>
          <w:lang w:val="fr-FR"/>
        </w:rPr>
        <w:t>sont brièvement</w:t>
      </w:r>
      <w:r w:rsidR="00B61F8C" w:rsidRPr="00EF1CC7">
        <w:rPr>
          <w:lang w:val="fr-FR"/>
        </w:rPr>
        <w:t xml:space="preserve"> résumés</w:t>
      </w:r>
      <w:r w:rsidR="00B61F8C" w:rsidRPr="00EF1CC7">
        <w:rPr>
          <w:color w:val="000000"/>
          <w:lang w:val="fr-FR"/>
        </w:rPr>
        <w:t xml:space="preserve"> ci-dessous.</w:t>
      </w:r>
    </w:p>
    <w:p w14:paraId="00D37CBF" w14:textId="77777777" w:rsidR="00CB5868" w:rsidRPr="00EF1CC7" w:rsidRDefault="00CB5868" w:rsidP="00E31B2B">
      <w:pPr>
        <w:pStyle w:val="Heading3"/>
        <w:rPr>
          <w:lang w:val="fr-FR"/>
        </w:rPr>
      </w:pPr>
      <w:r w:rsidRPr="00EF1CC7">
        <w:rPr>
          <w:lang w:val="fr-FR"/>
        </w:rPr>
        <w:lastRenderedPageBreak/>
        <w:t>3.2.1</w:t>
      </w:r>
      <w:r w:rsidRPr="00EF1CC7">
        <w:rPr>
          <w:lang w:val="fr-FR"/>
        </w:rPr>
        <w:tab/>
        <w:t>Groupe du Rapporteur du GCNT sur les groupes régionaux (RG-CPTRG)</w:t>
      </w:r>
    </w:p>
    <w:p w14:paraId="4C6562D5" w14:textId="729C5610" w:rsidR="00573044" w:rsidRPr="00EF1CC7" w:rsidRDefault="00713954" w:rsidP="00E31B2B">
      <w:pPr>
        <w:rPr>
          <w:lang w:val="fr-FR"/>
        </w:rPr>
      </w:pPr>
      <w:r w:rsidRPr="00EF1CC7">
        <w:rPr>
          <w:color w:val="000000"/>
          <w:lang w:val="fr-FR"/>
        </w:rPr>
        <w:t>Afin d</w:t>
      </w:r>
      <w:r w:rsidR="00E31B2B">
        <w:rPr>
          <w:color w:val="000000"/>
          <w:lang w:val="fr-FR"/>
        </w:rPr>
        <w:t>'</w:t>
      </w:r>
      <w:r w:rsidRPr="00EF1CC7">
        <w:rPr>
          <w:color w:val="000000"/>
          <w:lang w:val="fr-FR"/>
        </w:rPr>
        <w:t>assurer</w:t>
      </w:r>
      <w:r w:rsidR="009A02B7" w:rsidRPr="00EF1CC7">
        <w:rPr>
          <w:color w:val="000000"/>
          <w:lang w:val="fr-FR"/>
        </w:rPr>
        <w:t xml:space="preserve"> </w:t>
      </w:r>
      <w:r w:rsidRPr="00EF1CC7">
        <w:rPr>
          <w:color w:val="000000"/>
          <w:lang w:val="fr-FR"/>
        </w:rPr>
        <w:t xml:space="preserve">le suivi de </w:t>
      </w:r>
      <w:r w:rsidR="00361F07" w:rsidRPr="00EF1CC7">
        <w:rPr>
          <w:lang w:val="fr-FR"/>
        </w:rPr>
        <w:t>la Recommandation 8</w:t>
      </w:r>
      <w:r w:rsidR="00CB5868" w:rsidRPr="00EF1CC7">
        <w:rPr>
          <w:rStyle w:val="FootnoteReference"/>
          <w:rFonts w:asciiTheme="majorBidi" w:hAnsiTheme="majorBidi" w:cstheme="majorBidi"/>
          <w:lang w:val="fr-FR"/>
        </w:rPr>
        <w:footnoteReference w:id="2"/>
      </w:r>
      <w:r w:rsidR="00CB5868" w:rsidRPr="00EF1CC7">
        <w:rPr>
          <w:rFonts w:asciiTheme="majorBidi" w:hAnsiTheme="majorBidi" w:cstheme="majorBidi"/>
          <w:lang w:val="fr-FR"/>
        </w:rPr>
        <w:t xml:space="preserve"> </w:t>
      </w:r>
      <w:r w:rsidR="00196E73" w:rsidRPr="00EF1CC7">
        <w:rPr>
          <w:rFonts w:asciiTheme="majorBidi" w:hAnsiTheme="majorBidi" w:cstheme="majorBidi"/>
          <w:lang w:val="fr-FR"/>
        </w:rPr>
        <w:t>de la Conférence de plénipotentiaires de 2018, le</w:t>
      </w:r>
      <w:r w:rsidR="00DC42BA">
        <w:rPr>
          <w:rFonts w:asciiTheme="majorBidi" w:hAnsiTheme="majorBidi" w:cstheme="majorBidi"/>
          <w:lang w:val="fr-FR"/>
        </w:rPr>
        <w:t> </w:t>
      </w:r>
      <w:r w:rsidR="00196E73" w:rsidRPr="00EF1CC7">
        <w:rPr>
          <w:rFonts w:asciiTheme="majorBidi" w:hAnsiTheme="majorBidi" w:cstheme="majorBidi"/>
          <w:lang w:val="fr-FR"/>
        </w:rPr>
        <w:t>GCNT a créé le nouveau Groupe RG-CPTRG (</w:t>
      </w:r>
      <w:r w:rsidR="00BA5086" w:rsidRPr="00EF1CC7">
        <w:rPr>
          <w:rFonts w:asciiTheme="majorBidi" w:hAnsiTheme="majorBidi" w:cstheme="majorBidi"/>
          <w:lang w:val="fr-FR"/>
        </w:rPr>
        <w:t xml:space="preserve">voir </w:t>
      </w:r>
      <w:r w:rsidRPr="00EF1CC7">
        <w:rPr>
          <w:rFonts w:asciiTheme="majorBidi" w:hAnsiTheme="majorBidi" w:cstheme="majorBidi"/>
          <w:lang w:val="fr-FR"/>
        </w:rPr>
        <w:t xml:space="preserve">le </w:t>
      </w:r>
      <w:hyperlink r:id="rId27" w:history="1">
        <w:r w:rsidR="00196E73" w:rsidRPr="00EF1CC7">
          <w:rPr>
            <w:rStyle w:val="Hyperlink"/>
            <w:rFonts w:asciiTheme="majorBidi" w:hAnsiTheme="majorBidi" w:cstheme="majorBidi"/>
            <w:lang w:val="fr-FR"/>
          </w:rPr>
          <w:t>mandat</w:t>
        </w:r>
      </w:hyperlink>
      <w:r w:rsidR="00196E73" w:rsidRPr="00EF1CC7">
        <w:rPr>
          <w:rFonts w:asciiTheme="majorBidi" w:hAnsiTheme="majorBidi" w:cstheme="majorBidi"/>
          <w:lang w:val="fr-FR"/>
        </w:rPr>
        <w:t xml:space="preserve">) pendant </w:t>
      </w:r>
      <w:r w:rsidRPr="00EF1CC7">
        <w:rPr>
          <w:rFonts w:asciiTheme="majorBidi" w:hAnsiTheme="majorBidi" w:cstheme="majorBidi"/>
          <w:lang w:val="fr-FR"/>
        </w:rPr>
        <w:t>l</w:t>
      </w:r>
      <w:r w:rsidR="00E31B2B">
        <w:rPr>
          <w:rFonts w:asciiTheme="majorBidi" w:hAnsiTheme="majorBidi" w:cstheme="majorBidi"/>
          <w:lang w:val="fr-FR"/>
        </w:rPr>
        <w:t>'</w:t>
      </w:r>
      <w:r w:rsidRPr="00EF1CC7">
        <w:rPr>
          <w:rFonts w:asciiTheme="majorBidi" w:hAnsiTheme="majorBidi" w:cstheme="majorBidi"/>
          <w:lang w:val="fr-FR"/>
        </w:rPr>
        <w:t xml:space="preserve">actuelle </w:t>
      </w:r>
      <w:r w:rsidR="00196E73" w:rsidRPr="00EF1CC7">
        <w:rPr>
          <w:rFonts w:asciiTheme="majorBidi" w:hAnsiTheme="majorBidi" w:cstheme="majorBidi"/>
          <w:lang w:val="fr-FR"/>
        </w:rPr>
        <w:t>période d</w:t>
      </w:r>
      <w:r w:rsidR="00E31B2B">
        <w:rPr>
          <w:rFonts w:asciiTheme="majorBidi" w:hAnsiTheme="majorBidi" w:cstheme="majorBidi"/>
          <w:lang w:val="fr-FR"/>
        </w:rPr>
        <w:t>'</w:t>
      </w:r>
      <w:r w:rsidR="00196E73" w:rsidRPr="00EF1CC7">
        <w:rPr>
          <w:rFonts w:asciiTheme="majorBidi" w:hAnsiTheme="majorBidi" w:cstheme="majorBidi"/>
          <w:lang w:val="fr-FR"/>
        </w:rPr>
        <w:t>études, en vue de clarifier les critères applicables à la création de groupes régionaux des commissions d</w:t>
      </w:r>
      <w:r w:rsidR="00E31B2B">
        <w:rPr>
          <w:rFonts w:asciiTheme="majorBidi" w:hAnsiTheme="majorBidi" w:cstheme="majorBidi"/>
          <w:lang w:val="fr-FR"/>
        </w:rPr>
        <w:t>'</w:t>
      </w:r>
      <w:r w:rsidR="00196E73" w:rsidRPr="00EF1CC7">
        <w:rPr>
          <w:rFonts w:asciiTheme="majorBidi" w:hAnsiTheme="majorBidi" w:cstheme="majorBidi"/>
          <w:lang w:val="fr-FR"/>
        </w:rPr>
        <w:t xml:space="preserve">études, à la participation à leurs travaux et à leur dissolution, </w:t>
      </w:r>
      <w:r w:rsidRPr="00EF1CC7">
        <w:rPr>
          <w:rFonts w:asciiTheme="majorBidi" w:hAnsiTheme="majorBidi" w:cstheme="majorBidi"/>
          <w:lang w:val="fr-FR"/>
        </w:rPr>
        <w:t>ainsi que</w:t>
      </w:r>
      <w:r w:rsidR="009A02B7" w:rsidRPr="00EF1CC7">
        <w:rPr>
          <w:rFonts w:asciiTheme="majorBidi" w:hAnsiTheme="majorBidi" w:cstheme="majorBidi"/>
          <w:lang w:val="fr-FR"/>
        </w:rPr>
        <w:t xml:space="preserve"> </w:t>
      </w:r>
      <w:r w:rsidR="00196E73" w:rsidRPr="00EF1CC7">
        <w:rPr>
          <w:rFonts w:asciiTheme="majorBidi" w:hAnsiTheme="majorBidi" w:cstheme="majorBidi"/>
          <w:lang w:val="fr-FR"/>
        </w:rPr>
        <w:t>le rôle du</w:t>
      </w:r>
      <w:r w:rsidR="00DC42BA">
        <w:rPr>
          <w:rFonts w:asciiTheme="majorBidi" w:hAnsiTheme="majorBidi" w:cstheme="majorBidi"/>
          <w:lang w:val="fr-FR"/>
        </w:rPr>
        <w:t> </w:t>
      </w:r>
      <w:r w:rsidR="00196E73" w:rsidRPr="00EF1CC7">
        <w:rPr>
          <w:rFonts w:asciiTheme="majorBidi" w:hAnsiTheme="majorBidi" w:cstheme="majorBidi"/>
          <w:lang w:val="fr-FR"/>
        </w:rPr>
        <w:t>GCNT à cet égard. Le Groupe RG-CPTRG a recueilli auprès des commissions d</w:t>
      </w:r>
      <w:r w:rsidR="00E31B2B">
        <w:rPr>
          <w:rFonts w:asciiTheme="majorBidi" w:hAnsiTheme="majorBidi" w:cstheme="majorBidi"/>
          <w:lang w:val="fr-FR"/>
        </w:rPr>
        <w:t>'</w:t>
      </w:r>
      <w:r w:rsidR="00196E73" w:rsidRPr="00EF1CC7">
        <w:rPr>
          <w:rFonts w:asciiTheme="majorBidi" w:hAnsiTheme="majorBidi" w:cstheme="majorBidi"/>
          <w:lang w:val="fr-FR"/>
        </w:rPr>
        <w:t xml:space="preserve">études </w:t>
      </w:r>
      <w:r w:rsidRPr="00EF1CC7">
        <w:rPr>
          <w:rFonts w:asciiTheme="majorBidi" w:hAnsiTheme="majorBidi" w:cstheme="majorBidi"/>
          <w:lang w:val="fr-FR"/>
        </w:rPr>
        <w:t xml:space="preserve">des informations sur </w:t>
      </w:r>
      <w:r w:rsidR="00196E73" w:rsidRPr="00EF1CC7">
        <w:rPr>
          <w:rFonts w:asciiTheme="majorBidi" w:hAnsiTheme="majorBidi" w:cstheme="majorBidi"/>
          <w:lang w:val="fr-FR"/>
        </w:rPr>
        <w:t>les modalités</w:t>
      </w:r>
      <w:r w:rsidR="00D7357E" w:rsidRPr="00EF1CC7">
        <w:rPr>
          <w:rFonts w:asciiTheme="majorBidi" w:hAnsiTheme="majorBidi" w:cstheme="majorBidi"/>
          <w:lang w:val="fr-FR"/>
        </w:rPr>
        <w:t xml:space="preserve"> de participation des</w:t>
      </w:r>
      <w:r w:rsidR="00196E73" w:rsidRPr="00EF1CC7">
        <w:rPr>
          <w:rFonts w:asciiTheme="majorBidi" w:hAnsiTheme="majorBidi" w:cstheme="majorBidi"/>
          <w:lang w:val="fr-FR"/>
        </w:rPr>
        <w:t xml:space="preserve"> groupes régionaux </w:t>
      </w:r>
      <w:r w:rsidR="00D7357E" w:rsidRPr="00EF1CC7">
        <w:rPr>
          <w:rFonts w:asciiTheme="majorBidi" w:hAnsiTheme="majorBidi" w:cstheme="majorBidi"/>
          <w:lang w:val="fr-FR"/>
        </w:rPr>
        <w:t>aux travaux des</w:t>
      </w:r>
      <w:r w:rsidR="00196E73" w:rsidRPr="00EF1CC7">
        <w:rPr>
          <w:rFonts w:asciiTheme="majorBidi" w:hAnsiTheme="majorBidi" w:cstheme="majorBidi"/>
          <w:lang w:val="fr-FR"/>
        </w:rPr>
        <w:t xml:space="preserve"> </w:t>
      </w:r>
      <w:r w:rsidR="002A484A" w:rsidRPr="00EF1CC7">
        <w:rPr>
          <w:rFonts w:asciiTheme="majorBidi" w:hAnsiTheme="majorBidi" w:cstheme="majorBidi"/>
          <w:lang w:val="fr-FR"/>
        </w:rPr>
        <w:t>C</w:t>
      </w:r>
      <w:r w:rsidR="00196E73" w:rsidRPr="00EF1CC7">
        <w:rPr>
          <w:rFonts w:asciiTheme="majorBidi" w:hAnsiTheme="majorBidi" w:cstheme="majorBidi"/>
          <w:lang w:val="fr-FR"/>
        </w:rPr>
        <w:t>ommissions d</w:t>
      </w:r>
      <w:r w:rsidR="00E31B2B">
        <w:rPr>
          <w:rFonts w:asciiTheme="majorBidi" w:hAnsiTheme="majorBidi" w:cstheme="majorBidi"/>
          <w:lang w:val="fr-FR"/>
        </w:rPr>
        <w:t>'</w:t>
      </w:r>
      <w:r w:rsidR="00196E73" w:rsidRPr="00EF1CC7">
        <w:rPr>
          <w:rFonts w:asciiTheme="majorBidi" w:hAnsiTheme="majorBidi" w:cstheme="majorBidi"/>
          <w:lang w:val="fr-FR"/>
        </w:rPr>
        <w:t>études de l</w:t>
      </w:r>
      <w:r w:rsidR="00E31B2B">
        <w:rPr>
          <w:rFonts w:asciiTheme="majorBidi" w:hAnsiTheme="majorBidi" w:cstheme="majorBidi"/>
          <w:lang w:val="fr-FR"/>
        </w:rPr>
        <w:t>'</w:t>
      </w:r>
      <w:r w:rsidR="00196E73" w:rsidRPr="00EF1CC7">
        <w:rPr>
          <w:rFonts w:asciiTheme="majorBidi" w:hAnsiTheme="majorBidi" w:cstheme="majorBidi"/>
          <w:lang w:val="fr-FR"/>
        </w:rPr>
        <w:t>UIT-T, et a reçu la part de l</w:t>
      </w:r>
      <w:r w:rsidR="00E31B2B">
        <w:rPr>
          <w:rFonts w:asciiTheme="majorBidi" w:hAnsiTheme="majorBidi" w:cstheme="majorBidi"/>
          <w:lang w:val="fr-FR"/>
        </w:rPr>
        <w:t>'</w:t>
      </w:r>
      <w:r w:rsidR="00196E73" w:rsidRPr="00EF1CC7">
        <w:rPr>
          <w:rFonts w:asciiTheme="majorBidi" w:hAnsiTheme="majorBidi" w:cstheme="majorBidi"/>
          <w:lang w:val="fr-FR"/>
        </w:rPr>
        <w:t>Unité des affaires juridiques de l</w:t>
      </w:r>
      <w:r w:rsidR="00E31B2B">
        <w:rPr>
          <w:rFonts w:asciiTheme="majorBidi" w:hAnsiTheme="majorBidi" w:cstheme="majorBidi"/>
          <w:lang w:val="fr-FR"/>
        </w:rPr>
        <w:t>'</w:t>
      </w:r>
      <w:r w:rsidR="00196E73" w:rsidRPr="00EF1CC7">
        <w:rPr>
          <w:rFonts w:asciiTheme="majorBidi" w:hAnsiTheme="majorBidi" w:cstheme="majorBidi"/>
          <w:lang w:val="fr-FR"/>
        </w:rPr>
        <w:t>UIT</w:t>
      </w:r>
      <w:r w:rsidRPr="00EF1CC7">
        <w:rPr>
          <w:rFonts w:asciiTheme="majorBidi" w:hAnsiTheme="majorBidi" w:cstheme="majorBidi"/>
          <w:lang w:val="fr-FR"/>
        </w:rPr>
        <w:t xml:space="preserve"> un avis juridique</w:t>
      </w:r>
      <w:r w:rsidR="009A02B7" w:rsidRPr="00EF1CC7">
        <w:rPr>
          <w:rFonts w:asciiTheme="majorBidi" w:hAnsiTheme="majorBidi" w:cstheme="majorBidi"/>
          <w:lang w:val="fr-FR"/>
        </w:rPr>
        <w:t xml:space="preserve"> </w:t>
      </w:r>
      <w:r w:rsidR="00196E73" w:rsidRPr="00EF1CC7">
        <w:rPr>
          <w:rFonts w:asciiTheme="majorBidi" w:hAnsiTheme="majorBidi" w:cstheme="majorBidi"/>
          <w:lang w:val="fr-FR"/>
        </w:rPr>
        <w:t xml:space="preserve">sur les groupes régionaux. Les rapports du Groupe RG-CPTRG présentés aux réunions du GCNT figurent dans les </w:t>
      </w:r>
      <w:r w:rsidR="00DC42BA">
        <w:rPr>
          <w:rFonts w:asciiTheme="majorBidi" w:hAnsiTheme="majorBidi" w:cstheme="majorBidi"/>
          <w:lang w:val="fr-FR"/>
        </w:rPr>
        <w:t>D</w:t>
      </w:r>
      <w:r w:rsidR="00196E73" w:rsidRPr="00EF1CC7">
        <w:rPr>
          <w:rFonts w:asciiTheme="majorBidi" w:hAnsiTheme="majorBidi" w:cstheme="majorBidi"/>
          <w:lang w:val="fr-FR"/>
        </w:rPr>
        <w:t xml:space="preserve">ocuments </w:t>
      </w:r>
      <w:r w:rsidR="008E3B4E" w:rsidRPr="00EF1CC7">
        <w:rPr>
          <w:color w:val="000000"/>
          <w:lang w:val="fr-FR"/>
        </w:rPr>
        <w:t>TD</w:t>
      </w:r>
      <w:hyperlink r:id="rId28" w:history="1">
        <w:r w:rsidR="00196E73" w:rsidRPr="00EF1CC7">
          <w:rPr>
            <w:rStyle w:val="Hyperlink"/>
            <w:lang w:val="fr-FR"/>
          </w:rPr>
          <w:t>284</w:t>
        </w:r>
      </w:hyperlink>
      <w:r w:rsidR="00196E73" w:rsidRPr="00EF1CC7">
        <w:rPr>
          <w:lang w:val="fr-FR"/>
        </w:rPr>
        <w:t xml:space="preserve">, </w:t>
      </w:r>
      <w:hyperlink r:id="rId29" w:history="1">
        <w:r w:rsidR="00196E73" w:rsidRPr="00EF1CC7">
          <w:rPr>
            <w:rStyle w:val="Hyperlink"/>
            <w:lang w:val="fr-FR"/>
          </w:rPr>
          <w:t>453</w:t>
        </w:r>
      </w:hyperlink>
      <w:r w:rsidR="00196E73" w:rsidRPr="00EF1CC7">
        <w:rPr>
          <w:lang w:val="fr-FR"/>
        </w:rPr>
        <w:t xml:space="preserve">, </w:t>
      </w:r>
      <w:hyperlink r:id="rId30" w:history="1">
        <w:r w:rsidR="00196E73" w:rsidRPr="00EF1CC7">
          <w:rPr>
            <w:rStyle w:val="Hyperlink"/>
            <w:lang w:val="fr-FR"/>
          </w:rPr>
          <w:t>645</w:t>
        </w:r>
      </w:hyperlink>
      <w:r w:rsidR="00196E73" w:rsidRPr="00EF1CC7">
        <w:rPr>
          <w:lang w:val="fr-FR"/>
        </w:rPr>
        <w:t xml:space="preserve"> et </w:t>
      </w:r>
      <w:hyperlink r:id="rId31" w:history="1">
        <w:r w:rsidR="00196E73" w:rsidRPr="00EF1CC7">
          <w:rPr>
            <w:rStyle w:val="Hyperlink"/>
            <w:lang w:val="fr-FR"/>
          </w:rPr>
          <w:t>766</w:t>
        </w:r>
      </w:hyperlink>
      <w:r w:rsidR="00196E73" w:rsidRPr="00EF1CC7">
        <w:rPr>
          <w:lang w:val="fr-FR"/>
        </w:rPr>
        <w:t xml:space="preserve"> du GCNT.</w:t>
      </w:r>
    </w:p>
    <w:p w14:paraId="688D6F1A" w14:textId="6B0B4966" w:rsidR="00CB5868" w:rsidRPr="00EF1CC7" w:rsidRDefault="00CB5868" w:rsidP="00E31B2B">
      <w:pPr>
        <w:rPr>
          <w:rFonts w:asciiTheme="majorBidi" w:hAnsiTheme="majorBidi" w:cstheme="majorBidi"/>
          <w:lang w:val="fr-FR"/>
        </w:rPr>
      </w:pPr>
      <w:r w:rsidRPr="00EF1CC7">
        <w:rPr>
          <w:rFonts w:asciiTheme="majorBidi" w:hAnsiTheme="majorBidi" w:cstheme="majorBidi"/>
          <w:lang w:val="fr-FR"/>
        </w:rPr>
        <w:t xml:space="preserve">Les Groupes régionaux se sont </w:t>
      </w:r>
      <w:r w:rsidR="0067733E" w:rsidRPr="00EF1CC7">
        <w:rPr>
          <w:rFonts w:asciiTheme="majorBidi" w:hAnsiTheme="majorBidi" w:cstheme="majorBidi"/>
          <w:lang w:val="fr-FR"/>
        </w:rPr>
        <w:t xml:space="preserve">révélés </w:t>
      </w:r>
      <w:r w:rsidRPr="00EF1CC7">
        <w:rPr>
          <w:rFonts w:asciiTheme="majorBidi" w:hAnsiTheme="majorBidi" w:cstheme="majorBidi"/>
          <w:lang w:val="fr-FR"/>
        </w:rPr>
        <w:t>être un mécanisme efficace pour réduire l</w:t>
      </w:r>
      <w:r w:rsidR="00E31B2B">
        <w:rPr>
          <w:rFonts w:asciiTheme="majorBidi" w:hAnsiTheme="majorBidi" w:cstheme="majorBidi"/>
          <w:lang w:val="fr-FR"/>
        </w:rPr>
        <w:t>'</w:t>
      </w:r>
      <w:r w:rsidRPr="00EF1CC7">
        <w:rPr>
          <w:rFonts w:asciiTheme="majorBidi" w:hAnsiTheme="majorBidi" w:cstheme="majorBidi"/>
          <w:lang w:val="fr-FR"/>
        </w:rPr>
        <w:t xml:space="preserve">écart en matière de normalisation, en encourageant la participation effective aux travaux des </w:t>
      </w:r>
      <w:r w:rsidR="002A484A" w:rsidRPr="00EF1CC7">
        <w:rPr>
          <w:rFonts w:asciiTheme="majorBidi" w:hAnsiTheme="majorBidi" w:cstheme="majorBidi"/>
          <w:lang w:val="fr-FR"/>
        </w:rPr>
        <w:t>C</w:t>
      </w:r>
      <w:r w:rsidRPr="00EF1CC7">
        <w:rPr>
          <w:rFonts w:asciiTheme="majorBidi" w:hAnsiTheme="majorBidi" w:cstheme="majorBidi"/>
          <w:lang w:val="fr-FR"/>
        </w:rPr>
        <w:t>ommissions d</w:t>
      </w:r>
      <w:r w:rsidR="00E31B2B">
        <w:rPr>
          <w:rFonts w:asciiTheme="majorBidi" w:hAnsiTheme="majorBidi" w:cstheme="majorBidi"/>
          <w:lang w:val="fr-FR"/>
        </w:rPr>
        <w:t>'</w:t>
      </w:r>
      <w:r w:rsidRPr="00EF1CC7">
        <w:rPr>
          <w:rFonts w:asciiTheme="majorBidi" w:hAnsiTheme="majorBidi" w:cstheme="majorBidi"/>
          <w:lang w:val="fr-FR"/>
        </w:rPr>
        <w:t>études de l</w:t>
      </w:r>
      <w:r w:rsidR="00E31B2B">
        <w:rPr>
          <w:rFonts w:asciiTheme="majorBidi" w:hAnsiTheme="majorBidi" w:cstheme="majorBidi"/>
          <w:lang w:val="fr-FR"/>
        </w:rPr>
        <w:t>'</w:t>
      </w:r>
      <w:r w:rsidRPr="00EF1CC7">
        <w:rPr>
          <w:rFonts w:asciiTheme="majorBidi" w:hAnsiTheme="majorBidi" w:cstheme="majorBidi"/>
          <w:lang w:val="fr-FR"/>
        </w:rPr>
        <w:t xml:space="preserve">UIT-T, et pour augmenter le nombre et la qualité des contributions émanant des différentes régions. </w:t>
      </w:r>
      <w:r w:rsidR="001D5155" w:rsidRPr="00EF1CC7">
        <w:rPr>
          <w:rFonts w:asciiTheme="majorBidi" w:hAnsiTheme="majorBidi" w:cstheme="majorBidi"/>
          <w:lang w:val="fr-FR"/>
        </w:rPr>
        <w:t>L</w:t>
      </w:r>
      <w:r w:rsidR="00E31B2B">
        <w:rPr>
          <w:rFonts w:asciiTheme="majorBidi" w:hAnsiTheme="majorBidi" w:cstheme="majorBidi"/>
          <w:lang w:val="fr-FR"/>
        </w:rPr>
        <w:t>'</w:t>
      </w:r>
      <w:r w:rsidR="001D5155" w:rsidRPr="00EF1CC7">
        <w:rPr>
          <w:rFonts w:asciiTheme="majorBidi" w:hAnsiTheme="majorBidi" w:cstheme="majorBidi"/>
          <w:lang w:val="fr-FR"/>
        </w:rPr>
        <w:t>UIT-T compte désormais 24 groupes régionaux</w:t>
      </w:r>
      <w:r w:rsidRPr="00EF1CC7">
        <w:rPr>
          <w:szCs w:val="22"/>
          <w:lang w:val="fr-FR"/>
        </w:rPr>
        <w:t>:</w:t>
      </w:r>
    </w:p>
    <w:p w14:paraId="14EC2911" w14:textId="7F2289A7" w:rsidR="00CB5868" w:rsidRPr="00EF1CC7" w:rsidRDefault="00CB5868" w:rsidP="00E31B2B">
      <w:pPr>
        <w:pStyle w:val="enumlev1"/>
        <w:rPr>
          <w:lang w:val="fr-FR"/>
        </w:rPr>
      </w:pPr>
      <w:r w:rsidRPr="00EF1CC7">
        <w:rPr>
          <w:lang w:val="fr-FR"/>
        </w:rPr>
        <w:t>•</w:t>
      </w:r>
      <w:r w:rsidRPr="00EF1CC7">
        <w:rPr>
          <w:lang w:val="fr-FR"/>
        </w:rPr>
        <w:tab/>
      </w:r>
      <w:r w:rsidR="002A484A" w:rsidRPr="00EF1CC7">
        <w:rPr>
          <w:lang w:val="fr-FR"/>
        </w:rPr>
        <w:t>H</w:t>
      </w:r>
      <w:r w:rsidR="000A7229" w:rsidRPr="00EF1CC7">
        <w:rPr>
          <w:lang w:val="fr-FR"/>
        </w:rPr>
        <w:t>uit pour</w:t>
      </w:r>
      <w:r w:rsidR="009A02B7" w:rsidRPr="00EF1CC7">
        <w:rPr>
          <w:lang w:val="fr-FR"/>
        </w:rPr>
        <w:t xml:space="preserve"> </w:t>
      </w:r>
      <w:r w:rsidR="008E3B4E" w:rsidRPr="00EF1CC7">
        <w:rPr>
          <w:lang w:val="fr-FR"/>
        </w:rPr>
        <w:t xml:space="preserve">la région </w:t>
      </w:r>
      <w:r w:rsidR="000A7229" w:rsidRPr="00EF1CC7">
        <w:rPr>
          <w:lang w:val="fr-FR"/>
        </w:rPr>
        <w:t>Afrique</w:t>
      </w:r>
      <w:r w:rsidRPr="00EF1CC7">
        <w:rPr>
          <w:lang w:val="fr-FR"/>
        </w:rPr>
        <w:t xml:space="preserve"> (</w:t>
      </w:r>
      <w:r w:rsidR="000A7229" w:rsidRPr="00EF1CC7">
        <w:rPr>
          <w:lang w:val="fr-FR"/>
        </w:rPr>
        <w:t>Commissions d</w:t>
      </w:r>
      <w:r w:rsidR="00E31B2B">
        <w:rPr>
          <w:lang w:val="fr-FR"/>
        </w:rPr>
        <w:t>'</w:t>
      </w:r>
      <w:r w:rsidR="000A7229" w:rsidRPr="00EF1CC7">
        <w:rPr>
          <w:lang w:val="fr-FR"/>
        </w:rPr>
        <w:t>études</w:t>
      </w:r>
      <w:r w:rsidRPr="00EF1CC7">
        <w:rPr>
          <w:lang w:val="fr-FR"/>
        </w:rPr>
        <w:t xml:space="preserve"> 2, 3, 5, 11, 12, 13, 17</w:t>
      </w:r>
      <w:r w:rsidR="000A7229" w:rsidRPr="00EF1CC7">
        <w:rPr>
          <w:lang w:val="fr-FR"/>
        </w:rPr>
        <w:t xml:space="preserve"> et </w:t>
      </w:r>
      <w:r w:rsidRPr="00EF1CC7">
        <w:rPr>
          <w:lang w:val="fr-FR"/>
        </w:rPr>
        <w:t>20).</w:t>
      </w:r>
    </w:p>
    <w:p w14:paraId="42F024E0" w14:textId="21FD402D" w:rsidR="00CB5868" w:rsidRPr="00EF1CC7" w:rsidRDefault="00CB5868" w:rsidP="00E31B2B">
      <w:pPr>
        <w:pStyle w:val="enumlev1"/>
        <w:rPr>
          <w:lang w:val="fr-FR"/>
        </w:rPr>
      </w:pPr>
      <w:r w:rsidRPr="00EF1CC7">
        <w:rPr>
          <w:lang w:val="fr-FR"/>
        </w:rPr>
        <w:t>•</w:t>
      </w:r>
      <w:r w:rsidRPr="00EF1CC7">
        <w:rPr>
          <w:lang w:val="fr-FR"/>
        </w:rPr>
        <w:tab/>
      </w:r>
      <w:r w:rsidR="002A484A" w:rsidRPr="00EF1CC7">
        <w:rPr>
          <w:lang w:val="fr-FR"/>
        </w:rPr>
        <w:t>Q</w:t>
      </w:r>
      <w:r w:rsidR="000A7229" w:rsidRPr="00EF1CC7">
        <w:rPr>
          <w:lang w:val="fr-FR"/>
        </w:rPr>
        <w:t xml:space="preserve">uatre pour </w:t>
      </w:r>
      <w:r w:rsidR="008E3B4E" w:rsidRPr="00EF1CC7">
        <w:rPr>
          <w:lang w:val="fr-FR"/>
        </w:rPr>
        <w:t xml:space="preserve">la région </w:t>
      </w:r>
      <w:r w:rsidR="000A7229" w:rsidRPr="00EF1CC7">
        <w:rPr>
          <w:lang w:val="fr-FR"/>
        </w:rPr>
        <w:t>Amériques</w:t>
      </w:r>
      <w:r w:rsidRPr="00EF1CC7">
        <w:rPr>
          <w:lang w:val="fr-FR"/>
        </w:rPr>
        <w:t xml:space="preserve"> (</w:t>
      </w:r>
      <w:r w:rsidR="0072732B" w:rsidRPr="00EF1CC7">
        <w:rPr>
          <w:lang w:val="fr-FR"/>
        </w:rPr>
        <w:t>Commissions d</w:t>
      </w:r>
      <w:r w:rsidR="00E31B2B">
        <w:rPr>
          <w:lang w:val="fr-FR"/>
        </w:rPr>
        <w:t>'</w:t>
      </w:r>
      <w:r w:rsidR="0072732B" w:rsidRPr="00EF1CC7">
        <w:rPr>
          <w:lang w:val="fr-FR"/>
        </w:rPr>
        <w:t>études</w:t>
      </w:r>
      <w:r w:rsidRPr="00EF1CC7">
        <w:rPr>
          <w:lang w:val="fr-FR"/>
        </w:rPr>
        <w:t xml:space="preserve"> 2, 3, 5</w:t>
      </w:r>
      <w:r w:rsidR="00CF6383" w:rsidRPr="00EF1CC7">
        <w:rPr>
          <w:lang w:val="fr-FR"/>
        </w:rPr>
        <w:t xml:space="preserve"> et </w:t>
      </w:r>
      <w:r w:rsidRPr="00EF1CC7">
        <w:rPr>
          <w:lang w:val="fr-FR"/>
        </w:rPr>
        <w:t>20).</w:t>
      </w:r>
    </w:p>
    <w:p w14:paraId="11C38BF4" w14:textId="3F3319A1" w:rsidR="00CB5868" w:rsidRPr="00EF1CC7" w:rsidRDefault="00CB5868" w:rsidP="00E31B2B">
      <w:pPr>
        <w:pStyle w:val="enumlev1"/>
        <w:rPr>
          <w:lang w:val="fr-FR"/>
        </w:rPr>
      </w:pPr>
      <w:r w:rsidRPr="00EF1CC7">
        <w:rPr>
          <w:lang w:val="fr-FR"/>
        </w:rPr>
        <w:t>•</w:t>
      </w:r>
      <w:r w:rsidRPr="00EF1CC7">
        <w:rPr>
          <w:lang w:val="fr-FR"/>
        </w:rPr>
        <w:tab/>
      </w:r>
      <w:r w:rsidR="002A484A" w:rsidRPr="00EF1CC7">
        <w:rPr>
          <w:lang w:val="fr-FR"/>
        </w:rPr>
        <w:t>C</w:t>
      </w:r>
      <w:r w:rsidR="00CF6383" w:rsidRPr="00EF1CC7">
        <w:rPr>
          <w:lang w:val="fr-FR"/>
        </w:rPr>
        <w:t xml:space="preserve">inq pour </w:t>
      </w:r>
      <w:r w:rsidR="008E3B4E" w:rsidRPr="00EF1CC7">
        <w:rPr>
          <w:lang w:val="fr-FR"/>
        </w:rPr>
        <w:t>la région d</w:t>
      </w:r>
      <w:r w:rsidR="00CF6383" w:rsidRPr="00EF1CC7">
        <w:rPr>
          <w:lang w:val="fr-FR"/>
        </w:rPr>
        <w:t>es États arabes</w:t>
      </w:r>
      <w:r w:rsidRPr="00EF1CC7">
        <w:rPr>
          <w:lang w:val="fr-FR"/>
        </w:rPr>
        <w:t xml:space="preserve"> (</w:t>
      </w:r>
      <w:r w:rsidR="00C2483F" w:rsidRPr="00EF1CC7">
        <w:rPr>
          <w:lang w:val="fr-FR"/>
        </w:rPr>
        <w:t>Commissions d</w:t>
      </w:r>
      <w:r w:rsidR="00E31B2B">
        <w:rPr>
          <w:lang w:val="fr-FR"/>
        </w:rPr>
        <w:t>'</w:t>
      </w:r>
      <w:r w:rsidR="00C2483F" w:rsidRPr="00EF1CC7">
        <w:rPr>
          <w:lang w:val="fr-FR"/>
        </w:rPr>
        <w:t>études</w:t>
      </w:r>
      <w:r w:rsidRPr="00EF1CC7">
        <w:rPr>
          <w:lang w:val="fr-FR"/>
        </w:rPr>
        <w:t xml:space="preserve"> 2, 3, 5, 17</w:t>
      </w:r>
      <w:r w:rsidR="00C2483F" w:rsidRPr="00EF1CC7">
        <w:rPr>
          <w:lang w:val="fr-FR"/>
        </w:rPr>
        <w:t xml:space="preserve"> et </w:t>
      </w:r>
      <w:r w:rsidRPr="00EF1CC7">
        <w:rPr>
          <w:lang w:val="fr-FR"/>
        </w:rPr>
        <w:t>20).</w:t>
      </w:r>
    </w:p>
    <w:p w14:paraId="15DCDCAB" w14:textId="762C04AF" w:rsidR="00CB5868" w:rsidRPr="00EF1CC7" w:rsidRDefault="00CB5868" w:rsidP="00E31B2B">
      <w:pPr>
        <w:pStyle w:val="enumlev1"/>
        <w:rPr>
          <w:lang w:val="fr-FR"/>
        </w:rPr>
      </w:pPr>
      <w:r w:rsidRPr="00EF1CC7">
        <w:rPr>
          <w:lang w:val="fr-FR"/>
        </w:rPr>
        <w:t>•</w:t>
      </w:r>
      <w:r w:rsidRPr="00EF1CC7">
        <w:rPr>
          <w:lang w:val="fr-FR"/>
        </w:rPr>
        <w:tab/>
      </w:r>
      <w:r w:rsidR="002A484A" w:rsidRPr="00EF1CC7">
        <w:rPr>
          <w:lang w:val="fr-FR"/>
        </w:rPr>
        <w:t>D</w:t>
      </w:r>
      <w:r w:rsidR="007B50CE" w:rsidRPr="00EF1CC7">
        <w:rPr>
          <w:lang w:val="fr-FR"/>
        </w:rPr>
        <w:t xml:space="preserve">eux pour </w:t>
      </w:r>
      <w:r w:rsidR="008E3B4E" w:rsidRPr="00EF1CC7">
        <w:rPr>
          <w:lang w:val="fr-FR"/>
        </w:rPr>
        <w:t xml:space="preserve">la région </w:t>
      </w:r>
      <w:r w:rsidR="007B50CE" w:rsidRPr="00EF1CC7">
        <w:rPr>
          <w:lang w:val="fr-FR"/>
        </w:rPr>
        <w:t>Asie</w:t>
      </w:r>
      <w:r w:rsidR="008E3B4E" w:rsidRPr="00EF1CC7">
        <w:rPr>
          <w:lang w:val="fr-FR"/>
        </w:rPr>
        <w:t>-</w:t>
      </w:r>
      <w:r w:rsidR="007B50CE" w:rsidRPr="00EF1CC7">
        <w:rPr>
          <w:lang w:val="fr-FR"/>
        </w:rPr>
        <w:t>Pacifique</w:t>
      </w:r>
      <w:r w:rsidRPr="00EF1CC7">
        <w:rPr>
          <w:lang w:val="fr-FR"/>
        </w:rPr>
        <w:t xml:space="preserve"> (</w:t>
      </w:r>
      <w:r w:rsidR="00FE5B0C" w:rsidRPr="00EF1CC7">
        <w:rPr>
          <w:lang w:val="fr-FR"/>
        </w:rPr>
        <w:t>Commissions d</w:t>
      </w:r>
      <w:r w:rsidR="00E31B2B">
        <w:rPr>
          <w:lang w:val="fr-FR"/>
        </w:rPr>
        <w:t>'</w:t>
      </w:r>
      <w:r w:rsidR="00FE5B0C" w:rsidRPr="00EF1CC7">
        <w:rPr>
          <w:lang w:val="fr-FR"/>
        </w:rPr>
        <w:t>études</w:t>
      </w:r>
      <w:r w:rsidRPr="00EF1CC7">
        <w:rPr>
          <w:lang w:val="fr-FR"/>
        </w:rPr>
        <w:t xml:space="preserve"> 3 </w:t>
      </w:r>
      <w:r w:rsidR="00FE5B0C" w:rsidRPr="00EF1CC7">
        <w:rPr>
          <w:lang w:val="fr-FR"/>
        </w:rPr>
        <w:t xml:space="preserve">et </w:t>
      </w:r>
      <w:r w:rsidRPr="00EF1CC7">
        <w:rPr>
          <w:lang w:val="fr-FR"/>
        </w:rPr>
        <w:t>5).</w:t>
      </w:r>
    </w:p>
    <w:p w14:paraId="550A5B78" w14:textId="37974B70" w:rsidR="009313D4" w:rsidRPr="00EF1CC7" w:rsidRDefault="00CB5868" w:rsidP="00E31B2B">
      <w:pPr>
        <w:pStyle w:val="enumlev1"/>
        <w:rPr>
          <w:lang w:val="fr-FR"/>
        </w:rPr>
      </w:pPr>
      <w:r w:rsidRPr="00EF1CC7">
        <w:rPr>
          <w:lang w:val="fr-FR"/>
        </w:rPr>
        <w:t>•</w:t>
      </w:r>
      <w:r w:rsidRPr="00EF1CC7">
        <w:rPr>
          <w:lang w:val="fr-FR"/>
        </w:rPr>
        <w:tab/>
      </w:r>
      <w:r w:rsidR="002A484A" w:rsidRPr="00EF1CC7">
        <w:rPr>
          <w:lang w:val="fr-FR"/>
        </w:rPr>
        <w:t>Q</w:t>
      </w:r>
      <w:r w:rsidR="009313D4" w:rsidRPr="00EF1CC7">
        <w:rPr>
          <w:lang w:val="fr-FR"/>
        </w:rPr>
        <w:t>uatre pour l</w:t>
      </w:r>
      <w:r w:rsidR="00E31B2B">
        <w:rPr>
          <w:lang w:val="fr-FR"/>
        </w:rPr>
        <w:t>'</w:t>
      </w:r>
      <w:r w:rsidR="009313D4" w:rsidRPr="00EF1CC7">
        <w:rPr>
          <w:lang w:val="fr-FR"/>
        </w:rPr>
        <w:t xml:space="preserve">Europe </w:t>
      </w:r>
      <w:r w:rsidR="00057D2F" w:rsidRPr="00EF1CC7">
        <w:rPr>
          <w:lang w:val="fr-FR"/>
        </w:rPr>
        <w:t>de l</w:t>
      </w:r>
      <w:r w:rsidR="00E31B2B">
        <w:rPr>
          <w:lang w:val="fr-FR"/>
        </w:rPr>
        <w:t>'</w:t>
      </w:r>
      <w:r w:rsidR="00057D2F" w:rsidRPr="00EF1CC7">
        <w:rPr>
          <w:lang w:val="fr-FR"/>
        </w:rPr>
        <w:t>Est, l</w:t>
      </w:r>
      <w:r w:rsidR="00E31B2B">
        <w:rPr>
          <w:lang w:val="fr-FR"/>
        </w:rPr>
        <w:t>'</w:t>
      </w:r>
      <w:r w:rsidR="00057D2F" w:rsidRPr="00EF1CC7">
        <w:rPr>
          <w:lang w:val="fr-FR"/>
        </w:rPr>
        <w:t>Asie centrale et la Transcaucasie (Commissions d</w:t>
      </w:r>
      <w:r w:rsidR="00E31B2B">
        <w:rPr>
          <w:lang w:val="fr-FR"/>
        </w:rPr>
        <w:t>'</w:t>
      </w:r>
      <w:r w:rsidR="00057D2F" w:rsidRPr="00EF1CC7">
        <w:rPr>
          <w:lang w:val="fr-FR"/>
        </w:rPr>
        <w:t>études</w:t>
      </w:r>
      <w:r w:rsidR="002A484A" w:rsidRPr="00EF1CC7">
        <w:rPr>
          <w:lang w:val="fr-FR"/>
        </w:rPr>
        <w:t> </w:t>
      </w:r>
      <w:r w:rsidR="00057D2F" w:rsidRPr="00EF1CC7">
        <w:rPr>
          <w:lang w:val="fr-FR"/>
        </w:rPr>
        <w:t>3, 11, 13 et 20).</w:t>
      </w:r>
    </w:p>
    <w:p w14:paraId="0963F226" w14:textId="3C2C87CF" w:rsidR="00A83ECC" w:rsidRPr="00EF1CC7" w:rsidRDefault="00CB5868" w:rsidP="00E31B2B">
      <w:pPr>
        <w:pStyle w:val="enumlev1"/>
        <w:rPr>
          <w:lang w:val="fr-FR"/>
        </w:rPr>
      </w:pPr>
      <w:r w:rsidRPr="00EF1CC7">
        <w:rPr>
          <w:lang w:val="fr-FR"/>
        </w:rPr>
        <w:t>•</w:t>
      </w:r>
      <w:r w:rsidRPr="00EF1CC7">
        <w:rPr>
          <w:lang w:val="fr-FR"/>
        </w:rPr>
        <w:tab/>
      </w:r>
      <w:r w:rsidR="002A484A" w:rsidRPr="00EF1CC7">
        <w:rPr>
          <w:lang w:val="fr-FR"/>
        </w:rPr>
        <w:t>U</w:t>
      </w:r>
      <w:r w:rsidR="00A83ECC" w:rsidRPr="00EF1CC7">
        <w:rPr>
          <w:lang w:val="fr-FR"/>
        </w:rPr>
        <w:t>n pour l</w:t>
      </w:r>
      <w:r w:rsidR="00E31B2B">
        <w:rPr>
          <w:lang w:val="fr-FR"/>
        </w:rPr>
        <w:t>'</w:t>
      </w:r>
      <w:r w:rsidR="00A83ECC" w:rsidRPr="00EF1CC7">
        <w:rPr>
          <w:lang w:val="fr-FR"/>
        </w:rPr>
        <w:t xml:space="preserve">Europe et le bassin </w:t>
      </w:r>
      <w:r w:rsidR="008731F2" w:rsidRPr="00EF1CC7">
        <w:rPr>
          <w:lang w:val="fr-FR"/>
        </w:rPr>
        <w:t>méditerranéen</w:t>
      </w:r>
      <w:r w:rsidR="00A83ECC" w:rsidRPr="00EF1CC7">
        <w:rPr>
          <w:lang w:val="fr-FR"/>
        </w:rPr>
        <w:t xml:space="preserve"> (Commission d</w:t>
      </w:r>
      <w:r w:rsidR="00E31B2B">
        <w:rPr>
          <w:lang w:val="fr-FR"/>
        </w:rPr>
        <w:t>'</w:t>
      </w:r>
      <w:r w:rsidR="00A83ECC" w:rsidRPr="00EF1CC7">
        <w:rPr>
          <w:lang w:val="fr-FR"/>
        </w:rPr>
        <w:t>études 3).</w:t>
      </w:r>
    </w:p>
    <w:p w14:paraId="5A4D5054" w14:textId="70E27663" w:rsidR="003F3196" w:rsidRDefault="003F3196" w:rsidP="00E31B2B">
      <w:pPr>
        <w:rPr>
          <w:shd w:val="clear" w:color="auto" w:fill="FFFFFF"/>
          <w:lang w:val="fr-FR"/>
        </w:rPr>
      </w:pPr>
      <w:r w:rsidRPr="00EF1CC7">
        <w:rPr>
          <w:shd w:val="clear" w:color="auto" w:fill="FFFFFF"/>
          <w:lang w:val="fr-FR"/>
        </w:rPr>
        <w:t xml:space="preserve">Le Groupe RG-CPTRG a recueilli des informations auprès des </w:t>
      </w:r>
      <w:r w:rsidR="002A484A" w:rsidRPr="00EF1CC7">
        <w:rPr>
          <w:shd w:val="clear" w:color="auto" w:fill="FFFFFF"/>
          <w:lang w:val="fr-FR"/>
        </w:rPr>
        <w:t>C</w:t>
      </w:r>
      <w:r w:rsidRPr="00EF1CC7">
        <w:rPr>
          <w:shd w:val="clear" w:color="auto" w:fill="FFFFFF"/>
          <w:lang w:val="fr-FR"/>
        </w:rPr>
        <w:t>ommissions d</w:t>
      </w:r>
      <w:r w:rsidR="00E31B2B">
        <w:rPr>
          <w:shd w:val="clear" w:color="auto" w:fill="FFFFFF"/>
          <w:lang w:val="fr-FR"/>
        </w:rPr>
        <w:t>'</w:t>
      </w:r>
      <w:r w:rsidRPr="00EF1CC7">
        <w:rPr>
          <w:shd w:val="clear" w:color="auto" w:fill="FFFFFF"/>
          <w:lang w:val="fr-FR"/>
        </w:rPr>
        <w:t>études de l</w:t>
      </w:r>
      <w:r w:rsidR="00E31B2B">
        <w:rPr>
          <w:shd w:val="clear" w:color="auto" w:fill="FFFFFF"/>
          <w:lang w:val="fr-FR"/>
        </w:rPr>
        <w:t>'</w:t>
      </w:r>
      <w:r w:rsidRPr="00EF1CC7">
        <w:rPr>
          <w:shd w:val="clear" w:color="auto" w:fill="FFFFFF"/>
          <w:lang w:val="fr-FR"/>
        </w:rPr>
        <w:t xml:space="preserve">UIT-T </w:t>
      </w:r>
      <w:r w:rsidR="00DE65AD" w:rsidRPr="00EF1CC7">
        <w:rPr>
          <w:shd w:val="clear" w:color="auto" w:fill="FFFFFF"/>
          <w:lang w:val="fr-FR"/>
        </w:rPr>
        <w:t>concernant leurs groupes régionaux, ce qui a permis d</w:t>
      </w:r>
      <w:r w:rsidR="00E31B2B">
        <w:rPr>
          <w:shd w:val="clear" w:color="auto" w:fill="FFFFFF"/>
          <w:lang w:val="fr-FR"/>
        </w:rPr>
        <w:t>'</w:t>
      </w:r>
      <w:r w:rsidR="00DE65AD" w:rsidRPr="00EF1CC7">
        <w:rPr>
          <w:shd w:val="clear" w:color="auto" w:fill="FFFFFF"/>
          <w:lang w:val="fr-FR"/>
        </w:rPr>
        <w:t xml:space="preserve">obtenir des </w:t>
      </w:r>
      <w:r w:rsidR="005A6218" w:rsidRPr="00EF1CC7">
        <w:rPr>
          <w:shd w:val="clear" w:color="auto" w:fill="FFFFFF"/>
          <w:lang w:val="fr-FR"/>
        </w:rPr>
        <w:t xml:space="preserve">éclaircissements sur les critères </w:t>
      </w:r>
      <w:r w:rsidR="008E3B4E" w:rsidRPr="00EF1CC7">
        <w:rPr>
          <w:shd w:val="clear" w:color="auto" w:fill="FFFFFF"/>
          <w:lang w:val="fr-FR"/>
        </w:rPr>
        <w:t xml:space="preserve">régissant </w:t>
      </w:r>
      <w:r w:rsidR="005A6218" w:rsidRPr="00EF1CC7">
        <w:rPr>
          <w:shd w:val="clear" w:color="auto" w:fill="FFFFFF"/>
          <w:lang w:val="fr-FR"/>
        </w:rPr>
        <w:t>actuellement</w:t>
      </w:r>
      <w:r w:rsidR="009A02B7" w:rsidRPr="00EF1CC7">
        <w:rPr>
          <w:shd w:val="clear" w:color="auto" w:fill="FFFFFF"/>
          <w:lang w:val="fr-FR"/>
        </w:rPr>
        <w:t xml:space="preserve"> </w:t>
      </w:r>
      <w:r w:rsidR="00F8159C" w:rsidRPr="00EF1CC7">
        <w:rPr>
          <w:shd w:val="clear" w:color="auto" w:fill="FFFFFF"/>
          <w:lang w:val="fr-FR"/>
        </w:rPr>
        <w:t xml:space="preserve">la création de groupes régionaux des </w:t>
      </w:r>
      <w:r w:rsidR="002A484A" w:rsidRPr="00EF1CC7">
        <w:rPr>
          <w:shd w:val="clear" w:color="auto" w:fill="FFFFFF"/>
          <w:lang w:val="fr-FR"/>
        </w:rPr>
        <w:t>C</w:t>
      </w:r>
      <w:r w:rsidR="00F8159C" w:rsidRPr="00EF1CC7">
        <w:rPr>
          <w:shd w:val="clear" w:color="auto" w:fill="FFFFFF"/>
          <w:lang w:val="fr-FR"/>
        </w:rPr>
        <w:t>ommissions d</w:t>
      </w:r>
      <w:r w:rsidR="00E31B2B">
        <w:rPr>
          <w:shd w:val="clear" w:color="auto" w:fill="FFFFFF"/>
          <w:lang w:val="fr-FR"/>
        </w:rPr>
        <w:t>'</w:t>
      </w:r>
      <w:r w:rsidR="00F8159C" w:rsidRPr="00EF1CC7">
        <w:rPr>
          <w:shd w:val="clear" w:color="auto" w:fill="FFFFFF"/>
          <w:lang w:val="fr-FR"/>
        </w:rPr>
        <w:t>études</w:t>
      </w:r>
      <w:r w:rsidR="008B3A7E" w:rsidRPr="00EF1CC7">
        <w:rPr>
          <w:shd w:val="clear" w:color="auto" w:fill="FFFFFF"/>
          <w:lang w:val="fr-FR"/>
        </w:rPr>
        <w:t xml:space="preserve"> de l</w:t>
      </w:r>
      <w:r w:rsidR="00E31B2B">
        <w:rPr>
          <w:shd w:val="clear" w:color="auto" w:fill="FFFFFF"/>
          <w:lang w:val="fr-FR"/>
        </w:rPr>
        <w:t>'</w:t>
      </w:r>
      <w:r w:rsidR="008B3A7E" w:rsidRPr="00EF1CC7">
        <w:rPr>
          <w:shd w:val="clear" w:color="auto" w:fill="FFFFFF"/>
          <w:lang w:val="fr-FR"/>
        </w:rPr>
        <w:t>UIT-T</w:t>
      </w:r>
      <w:r w:rsidR="00F8159C" w:rsidRPr="00EF1CC7">
        <w:rPr>
          <w:shd w:val="clear" w:color="auto" w:fill="FFFFFF"/>
          <w:lang w:val="fr-FR"/>
        </w:rPr>
        <w:t>,</w:t>
      </w:r>
      <w:r w:rsidR="009A02B7" w:rsidRPr="00EF1CC7">
        <w:rPr>
          <w:shd w:val="clear" w:color="auto" w:fill="FFFFFF"/>
          <w:lang w:val="fr-FR"/>
        </w:rPr>
        <w:t xml:space="preserve"> </w:t>
      </w:r>
      <w:r w:rsidR="00F8159C" w:rsidRPr="00EF1CC7">
        <w:rPr>
          <w:shd w:val="clear" w:color="auto" w:fill="FFFFFF"/>
          <w:lang w:val="fr-FR"/>
        </w:rPr>
        <w:t>leur participation à leurs travaux et</w:t>
      </w:r>
      <w:r w:rsidR="009A02B7" w:rsidRPr="00EF1CC7">
        <w:rPr>
          <w:shd w:val="clear" w:color="auto" w:fill="FFFFFF"/>
          <w:lang w:val="fr-FR"/>
        </w:rPr>
        <w:t xml:space="preserve"> </w:t>
      </w:r>
      <w:r w:rsidR="00F8159C" w:rsidRPr="00EF1CC7">
        <w:rPr>
          <w:shd w:val="clear" w:color="auto" w:fill="FFFFFF"/>
          <w:lang w:val="fr-FR"/>
        </w:rPr>
        <w:t>leur dissolution</w:t>
      </w:r>
      <w:r w:rsidR="00AD5ADE" w:rsidRPr="00EF1CC7">
        <w:rPr>
          <w:shd w:val="clear" w:color="auto" w:fill="FFFFFF"/>
          <w:lang w:val="fr-FR"/>
        </w:rPr>
        <w:t xml:space="preserve">, </w:t>
      </w:r>
      <w:r w:rsidR="00DF0CC9" w:rsidRPr="00EF1CC7">
        <w:rPr>
          <w:shd w:val="clear" w:color="auto" w:fill="FFFFFF"/>
          <w:lang w:val="fr-FR"/>
        </w:rPr>
        <w:t>en vue</w:t>
      </w:r>
      <w:r w:rsidR="002D712F" w:rsidRPr="00EF1CC7">
        <w:rPr>
          <w:shd w:val="clear" w:color="auto" w:fill="FFFFFF"/>
          <w:lang w:val="fr-FR"/>
        </w:rPr>
        <w:t xml:space="preserve"> d</w:t>
      </w:r>
      <w:r w:rsidR="00E31B2B">
        <w:rPr>
          <w:shd w:val="clear" w:color="auto" w:fill="FFFFFF"/>
          <w:lang w:val="fr-FR"/>
        </w:rPr>
        <w:t>'</w:t>
      </w:r>
      <w:r w:rsidR="002D712F" w:rsidRPr="00EF1CC7">
        <w:rPr>
          <w:shd w:val="clear" w:color="auto" w:fill="FFFFFF"/>
          <w:lang w:val="fr-FR"/>
        </w:rPr>
        <w:t>atteindre une partie du premier objectif du mandat du Groupe RG-CPTRG.</w:t>
      </w:r>
      <w:r w:rsidR="00E0117C" w:rsidRPr="00EF1CC7">
        <w:rPr>
          <w:shd w:val="clear" w:color="auto" w:fill="FFFFFF"/>
          <w:lang w:val="fr-FR"/>
        </w:rPr>
        <w:t xml:space="preserve"> Le Groupe RG-CPTRG a examiné </w:t>
      </w:r>
      <w:r w:rsidR="008E3B4E" w:rsidRPr="00EF1CC7">
        <w:rPr>
          <w:shd w:val="clear" w:color="auto" w:fill="FFFFFF"/>
          <w:lang w:val="fr-FR"/>
        </w:rPr>
        <w:t>un avis</w:t>
      </w:r>
      <w:r w:rsidR="009A02B7" w:rsidRPr="00EF1CC7">
        <w:rPr>
          <w:shd w:val="clear" w:color="auto" w:fill="FFFFFF"/>
          <w:lang w:val="fr-FR"/>
        </w:rPr>
        <w:t xml:space="preserve"> </w:t>
      </w:r>
      <w:r w:rsidR="00E0117C" w:rsidRPr="00EF1CC7">
        <w:rPr>
          <w:shd w:val="clear" w:color="auto" w:fill="FFFFFF"/>
          <w:lang w:val="fr-FR"/>
        </w:rPr>
        <w:t>de l</w:t>
      </w:r>
      <w:r w:rsidR="00E31B2B">
        <w:rPr>
          <w:shd w:val="clear" w:color="auto" w:fill="FFFFFF"/>
          <w:lang w:val="fr-FR"/>
        </w:rPr>
        <w:t>'</w:t>
      </w:r>
      <w:r w:rsidR="00E0117C" w:rsidRPr="00EF1CC7">
        <w:rPr>
          <w:shd w:val="clear" w:color="auto" w:fill="FFFFFF"/>
          <w:lang w:val="fr-FR"/>
        </w:rPr>
        <w:t>Unité des affaires juridiques (</w:t>
      </w:r>
      <w:r w:rsidR="006355FE" w:rsidRPr="00EF1CC7">
        <w:rPr>
          <w:shd w:val="clear" w:color="auto" w:fill="FFFFFF"/>
          <w:lang w:val="fr-FR"/>
        </w:rPr>
        <w:t>LAU) de l</w:t>
      </w:r>
      <w:r w:rsidR="00E31B2B">
        <w:rPr>
          <w:shd w:val="clear" w:color="auto" w:fill="FFFFFF"/>
          <w:lang w:val="fr-FR"/>
        </w:rPr>
        <w:t>'</w:t>
      </w:r>
      <w:r w:rsidR="006355FE" w:rsidRPr="00EF1CC7">
        <w:rPr>
          <w:shd w:val="clear" w:color="auto" w:fill="FFFFFF"/>
          <w:lang w:val="fr-FR"/>
        </w:rPr>
        <w:t xml:space="preserve">UIT </w:t>
      </w:r>
      <w:r w:rsidR="00FE76CD" w:rsidRPr="00EF1CC7">
        <w:rPr>
          <w:shd w:val="clear" w:color="auto" w:fill="FFFFFF"/>
          <w:lang w:val="fr-FR"/>
        </w:rPr>
        <w:t xml:space="preserve">visant à apporter des éclaircissements sur le rôle du GCNT dans la création </w:t>
      </w:r>
      <w:r w:rsidR="00CE6CBA" w:rsidRPr="00EF1CC7">
        <w:rPr>
          <w:shd w:val="clear" w:color="auto" w:fill="FFFFFF"/>
          <w:lang w:val="fr-FR"/>
        </w:rPr>
        <w:t>de</w:t>
      </w:r>
      <w:r w:rsidR="009A02B7" w:rsidRPr="00EF1CC7">
        <w:rPr>
          <w:shd w:val="clear" w:color="auto" w:fill="FFFFFF"/>
          <w:lang w:val="fr-FR"/>
        </w:rPr>
        <w:t xml:space="preserve"> </w:t>
      </w:r>
      <w:r w:rsidR="00CE6CBA" w:rsidRPr="00EF1CC7">
        <w:rPr>
          <w:shd w:val="clear" w:color="auto" w:fill="FFFFFF"/>
          <w:lang w:val="fr-FR"/>
        </w:rPr>
        <w:t xml:space="preserve">groupes régionaux des </w:t>
      </w:r>
      <w:r w:rsidR="002A484A" w:rsidRPr="00EF1CC7">
        <w:rPr>
          <w:shd w:val="clear" w:color="auto" w:fill="FFFFFF"/>
          <w:lang w:val="fr-FR"/>
        </w:rPr>
        <w:t>C</w:t>
      </w:r>
      <w:r w:rsidR="00CE6CBA" w:rsidRPr="00EF1CC7">
        <w:rPr>
          <w:shd w:val="clear" w:color="auto" w:fill="FFFFFF"/>
          <w:lang w:val="fr-FR"/>
        </w:rPr>
        <w:t>ommissions d</w:t>
      </w:r>
      <w:r w:rsidR="00E31B2B">
        <w:rPr>
          <w:shd w:val="clear" w:color="auto" w:fill="FFFFFF"/>
          <w:lang w:val="fr-FR"/>
        </w:rPr>
        <w:t>'</w:t>
      </w:r>
      <w:r w:rsidR="00CE6CBA" w:rsidRPr="00EF1CC7">
        <w:rPr>
          <w:shd w:val="clear" w:color="auto" w:fill="FFFFFF"/>
          <w:lang w:val="fr-FR"/>
        </w:rPr>
        <w:t>études de l</w:t>
      </w:r>
      <w:r w:rsidR="00E31B2B">
        <w:rPr>
          <w:shd w:val="clear" w:color="auto" w:fill="FFFFFF"/>
          <w:lang w:val="fr-FR"/>
        </w:rPr>
        <w:t>'</w:t>
      </w:r>
      <w:r w:rsidR="00CE6CBA" w:rsidRPr="00EF1CC7">
        <w:rPr>
          <w:shd w:val="clear" w:color="auto" w:fill="FFFFFF"/>
          <w:lang w:val="fr-FR"/>
        </w:rPr>
        <w:t>UIT-T</w:t>
      </w:r>
      <w:r w:rsidR="00916423" w:rsidRPr="00EF1CC7">
        <w:rPr>
          <w:shd w:val="clear" w:color="auto" w:fill="FFFFFF"/>
          <w:lang w:val="fr-FR"/>
        </w:rPr>
        <w:t xml:space="preserve"> et sur </w:t>
      </w:r>
      <w:r w:rsidR="009C7E62" w:rsidRPr="00EF1CC7">
        <w:rPr>
          <w:shd w:val="clear" w:color="auto" w:fill="FFFFFF"/>
          <w:lang w:val="fr-FR"/>
        </w:rPr>
        <w:t>les droits de</w:t>
      </w:r>
      <w:r w:rsidR="007E6F64" w:rsidRPr="00EF1CC7">
        <w:rPr>
          <w:shd w:val="clear" w:color="auto" w:fill="FFFFFF"/>
          <w:lang w:val="fr-FR"/>
        </w:rPr>
        <w:t xml:space="preserve"> participation des membres de secteur</w:t>
      </w:r>
      <w:r w:rsidR="00FF1C82" w:rsidRPr="00EF1CC7">
        <w:rPr>
          <w:shd w:val="clear" w:color="auto" w:fill="FFFFFF"/>
          <w:lang w:val="fr-FR"/>
        </w:rPr>
        <w:t xml:space="preserve">, des </w:t>
      </w:r>
      <w:r w:rsidR="008E3B4E" w:rsidRPr="00EF1CC7">
        <w:rPr>
          <w:shd w:val="clear" w:color="auto" w:fill="FFFFFF"/>
          <w:lang w:val="fr-FR"/>
        </w:rPr>
        <w:t>A</w:t>
      </w:r>
      <w:r w:rsidR="00FF1C82" w:rsidRPr="00EF1CC7">
        <w:rPr>
          <w:shd w:val="clear" w:color="auto" w:fill="FFFFFF"/>
          <w:lang w:val="fr-FR"/>
        </w:rPr>
        <w:t>ssociés et des établissements universitaires (</w:t>
      </w:r>
      <w:r w:rsidR="006F3FCD" w:rsidRPr="00EF1CC7">
        <w:rPr>
          <w:shd w:val="clear" w:color="auto" w:fill="FFFFFF"/>
          <w:lang w:val="fr-FR"/>
        </w:rPr>
        <w:t xml:space="preserve">voir le Document </w:t>
      </w:r>
      <w:hyperlink r:id="rId32" w:history="1">
        <w:r w:rsidR="006F3FCD" w:rsidRPr="00EF1CC7">
          <w:rPr>
            <w:rStyle w:val="Hyperlink"/>
            <w:shd w:val="clear" w:color="auto" w:fill="FFFFFF"/>
            <w:lang w:val="fr-FR"/>
          </w:rPr>
          <w:t>TD577</w:t>
        </w:r>
      </w:hyperlink>
      <w:r w:rsidR="00AE23ED" w:rsidRPr="00EF1CC7">
        <w:rPr>
          <w:rStyle w:val="Hyperlink"/>
          <w:shd w:val="clear" w:color="auto" w:fill="FFFFFF"/>
          <w:lang w:val="fr-FR"/>
        </w:rPr>
        <w:t xml:space="preserve"> du GCNT</w:t>
      </w:r>
      <w:r w:rsidR="006F3FCD" w:rsidRPr="00EF1CC7">
        <w:rPr>
          <w:shd w:val="clear" w:color="auto" w:fill="FFFFFF"/>
          <w:lang w:val="fr-FR"/>
        </w:rPr>
        <w:t>). L</w:t>
      </w:r>
      <w:r w:rsidR="00930C83" w:rsidRPr="00EF1CC7">
        <w:rPr>
          <w:shd w:val="clear" w:color="auto" w:fill="FFFFFF"/>
          <w:lang w:val="fr-FR"/>
        </w:rPr>
        <w:t xml:space="preserve">e GCNT </w:t>
      </w:r>
      <w:r w:rsidR="005B145C" w:rsidRPr="00EF1CC7">
        <w:rPr>
          <w:shd w:val="clear" w:color="auto" w:fill="FFFFFF"/>
          <w:lang w:val="fr-FR"/>
        </w:rPr>
        <w:t xml:space="preserve">est convenu que </w:t>
      </w:r>
      <w:r w:rsidR="001513CD" w:rsidRPr="00EF1CC7">
        <w:rPr>
          <w:shd w:val="clear" w:color="auto" w:fill="FFFFFF"/>
          <w:lang w:val="fr-FR"/>
        </w:rPr>
        <w:t>les objectifs</w:t>
      </w:r>
      <w:r w:rsidR="009A02B7" w:rsidRPr="00EF1CC7">
        <w:rPr>
          <w:shd w:val="clear" w:color="auto" w:fill="FFFFFF"/>
          <w:lang w:val="fr-FR"/>
        </w:rPr>
        <w:t xml:space="preserve"> </w:t>
      </w:r>
      <w:r w:rsidR="008E3B4E" w:rsidRPr="00EF1CC7">
        <w:rPr>
          <w:shd w:val="clear" w:color="auto" w:fill="FFFFFF"/>
          <w:lang w:val="fr-FR"/>
        </w:rPr>
        <w:t xml:space="preserve">indiqués dans le </w:t>
      </w:r>
      <w:r w:rsidR="001513CD" w:rsidRPr="00EF1CC7">
        <w:rPr>
          <w:shd w:val="clear" w:color="auto" w:fill="FFFFFF"/>
          <w:lang w:val="fr-FR"/>
        </w:rPr>
        <w:t xml:space="preserve">mandat du Groupe RG-CPTRG </w:t>
      </w:r>
      <w:r w:rsidR="00281E5D" w:rsidRPr="00EF1CC7">
        <w:rPr>
          <w:shd w:val="clear" w:color="auto" w:fill="FFFFFF"/>
          <w:lang w:val="fr-FR"/>
        </w:rPr>
        <w:t>avaient été atteints et</w:t>
      </w:r>
      <w:r w:rsidR="0093730C" w:rsidRPr="00EF1CC7">
        <w:rPr>
          <w:shd w:val="clear" w:color="auto" w:fill="FFFFFF"/>
          <w:lang w:val="fr-FR"/>
        </w:rPr>
        <w:t xml:space="preserve"> qu</w:t>
      </w:r>
      <w:r w:rsidR="00E31B2B">
        <w:rPr>
          <w:shd w:val="clear" w:color="auto" w:fill="FFFFFF"/>
          <w:lang w:val="fr-FR"/>
        </w:rPr>
        <w:t>'</w:t>
      </w:r>
      <w:r w:rsidR="0093730C" w:rsidRPr="00EF1CC7">
        <w:rPr>
          <w:shd w:val="clear" w:color="auto" w:fill="FFFFFF"/>
          <w:lang w:val="fr-FR"/>
        </w:rPr>
        <w:t xml:space="preserve">aucune réunion </w:t>
      </w:r>
      <w:r w:rsidR="00CE1445" w:rsidRPr="00EF1CC7">
        <w:rPr>
          <w:shd w:val="clear" w:color="auto" w:fill="FFFFFF"/>
          <w:lang w:val="fr-FR"/>
        </w:rPr>
        <w:t>supplémentaire</w:t>
      </w:r>
      <w:r w:rsidR="0093730C" w:rsidRPr="00EF1CC7">
        <w:rPr>
          <w:shd w:val="clear" w:color="auto" w:fill="FFFFFF"/>
          <w:lang w:val="fr-FR"/>
        </w:rPr>
        <w:t xml:space="preserve"> n</w:t>
      </w:r>
      <w:r w:rsidR="00E31B2B">
        <w:rPr>
          <w:shd w:val="clear" w:color="auto" w:fill="FFFFFF"/>
          <w:lang w:val="fr-FR"/>
        </w:rPr>
        <w:t>'</w:t>
      </w:r>
      <w:r w:rsidR="0093730C" w:rsidRPr="00EF1CC7">
        <w:rPr>
          <w:shd w:val="clear" w:color="auto" w:fill="FFFFFF"/>
          <w:lang w:val="fr-FR"/>
        </w:rPr>
        <w:t>était nécessaire</w:t>
      </w:r>
      <w:r w:rsidR="009A02B7" w:rsidRPr="00EF1CC7">
        <w:rPr>
          <w:shd w:val="clear" w:color="auto" w:fill="FFFFFF"/>
          <w:lang w:val="fr-FR"/>
        </w:rPr>
        <w:t>.</w:t>
      </w:r>
      <w:r w:rsidR="008E3B4E" w:rsidRPr="00EF1CC7">
        <w:rPr>
          <w:shd w:val="clear" w:color="auto" w:fill="FFFFFF"/>
          <w:lang w:val="fr-FR"/>
        </w:rPr>
        <w:t xml:space="preserve"> En</w:t>
      </w:r>
      <w:r w:rsidR="001A7D6A" w:rsidRPr="00EF1CC7">
        <w:rPr>
          <w:shd w:val="clear" w:color="auto" w:fill="FFFFFF"/>
          <w:lang w:val="fr-FR"/>
        </w:rPr>
        <w:t xml:space="preserve"> conséquen</w:t>
      </w:r>
      <w:r w:rsidR="008E3B4E" w:rsidRPr="00EF1CC7">
        <w:rPr>
          <w:shd w:val="clear" w:color="auto" w:fill="FFFFFF"/>
          <w:lang w:val="fr-FR"/>
        </w:rPr>
        <w:t xml:space="preserve">ce, il a </w:t>
      </w:r>
      <w:r w:rsidR="000300EF" w:rsidRPr="00EF1CC7">
        <w:rPr>
          <w:shd w:val="clear" w:color="auto" w:fill="FFFFFF"/>
          <w:lang w:val="fr-FR"/>
        </w:rPr>
        <w:t xml:space="preserve">dissous le Groupe RG-CPTRG. </w:t>
      </w:r>
      <w:r w:rsidR="004B3986" w:rsidRPr="00EF1CC7">
        <w:rPr>
          <w:shd w:val="clear" w:color="auto" w:fill="FFFFFF"/>
          <w:lang w:val="fr-FR"/>
        </w:rPr>
        <w:t xml:space="preserve">Les résultats obtenus par le Groupe RG-CPTRG </w:t>
      </w:r>
      <w:r w:rsidR="007C6A7E" w:rsidRPr="00EF1CC7">
        <w:rPr>
          <w:shd w:val="clear" w:color="auto" w:fill="FFFFFF"/>
          <w:lang w:val="fr-FR"/>
        </w:rPr>
        <w:t xml:space="preserve">sont </w:t>
      </w:r>
      <w:r w:rsidR="009F2B96" w:rsidRPr="00EF1CC7">
        <w:rPr>
          <w:shd w:val="clear" w:color="auto" w:fill="FFFFFF"/>
          <w:lang w:val="fr-FR"/>
        </w:rPr>
        <w:t xml:space="preserve">brièvement présentés </w:t>
      </w:r>
      <w:r w:rsidR="007C6A7E" w:rsidRPr="00EF1CC7">
        <w:rPr>
          <w:shd w:val="clear" w:color="auto" w:fill="FFFFFF"/>
          <w:lang w:val="fr-FR"/>
        </w:rPr>
        <w:t>dans l</w:t>
      </w:r>
      <w:r w:rsidR="00E31B2B">
        <w:rPr>
          <w:shd w:val="clear" w:color="auto" w:fill="FFFFFF"/>
          <w:lang w:val="fr-FR"/>
        </w:rPr>
        <w:t>'</w:t>
      </w:r>
      <w:r w:rsidR="007C6A7E" w:rsidRPr="00EF1CC7">
        <w:rPr>
          <w:shd w:val="clear" w:color="auto" w:fill="FFFFFF"/>
          <w:lang w:val="fr-FR"/>
        </w:rPr>
        <w:t xml:space="preserve">Annexe 2 (voir le Document </w:t>
      </w:r>
      <w:hyperlink r:id="rId33" w:history="1">
        <w:r w:rsidR="007C6A7E" w:rsidRPr="00EF1CC7">
          <w:rPr>
            <w:rStyle w:val="Hyperlink"/>
            <w:shd w:val="clear" w:color="auto" w:fill="FFFFFF"/>
            <w:lang w:val="fr-FR"/>
          </w:rPr>
          <w:t>TD766</w:t>
        </w:r>
      </w:hyperlink>
      <w:r w:rsidR="007C6A7E" w:rsidRPr="00EF1CC7">
        <w:rPr>
          <w:rStyle w:val="Hyperlink"/>
          <w:shd w:val="clear" w:color="auto" w:fill="FFFFFF"/>
          <w:lang w:val="fr-FR"/>
        </w:rPr>
        <w:t xml:space="preserve"> du GCNT</w:t>
      </w:r>
      <w:r w:rsidR="007C6A7E" w:rsidRPr="00EF1CC7">
        <w:rPr>
          <w:shd w:val="clear" w:color="auto" w:fill="FFFFFF"/>
          <w:lang w:val="fr-FR"/>
        </w:rPr>
        <w:t>).</w:t>
      </w:r>
    </w:p>
    <w:p w14:paraId="630F8D04" w14:textId="68D53425" w:rsidR="000571E2" w:rsidRPr="005A058D" w:rsidRDefault="000571E2" w:rsidP="00E31B2B">
      <w:pPr>
        <w:pStyle w:val="Heading3"/>
        <w:rPr>
          <w:shd w:val="clear" w:color="auto" w:fill="FFFFFF"/>
          <w:lang w:val="fr-FR"/>
        </w:rPr>
      </w:pPr>
      <w:r w:rsidRPr="005A058D">
        <w:rPr>
          <w:shd w:val="clear" w:color="auto" w:fill="FFFFFF"/>
          <w:lang w:val="fr-FR"/>
        </w:rPr>
        <w:t>3.2.2</w:t>
      </w:r>
      <w:r w:rsidRPr="005A058D">
        <w:rPr>
          <w:shd w:val="clear" w:color="auto" w:fill="FFFFFF"/>
          <w:lang w:val="fr-FR"/>
        </w:rPr>
        <w:tab/>
        <w:t>Groupe du Rapporteur du GCNT chargé d</w:t>
      </w:r>
      <w:r w:rsidR="00E31B2B">
        <w:rPr>
          <w:shd w:val="clear" w:color="auto" w:fill="FFFFFF"/>
          <w:lang w:val="fr-FR"/>
        </w:rPr>
        <w:t>'</w:t>
      </w:r>
      <w:r w:rsidRPr="005A058D">
        <w:rPr>
          <w:shd w:val="clear" w:color="auto" w:fill="FFFFFF"/>
          <w:lang w:val="fr-FR"/>
        </w:rPr>
        <w:t>examiner les Résolutions de l</w:t>
      </w:r>
      <w:r w:rsidR="00E31B2B">
        <w:rPr>
          <w:shd w:val="clear" w:color="auto" w:fill="FFFFFF"/>
          <w:lang w:val="fr-FR"/>
        </w:rPr>
        <w:t>'</w:t>
      </w:r>
      <w:r w:rsidRPr="005A058D">
        <w:rPr>
          <w:shd w:val="clear" w:color="auto" w:fill="FFFFFF"/>
          <w:lang w:val="fr-FR"/>
        </w:rPr>
        <w:t>AMNT (RG</w:t>
      </w:r>
      <w:r w:rsidRPr="005A058D">
        <w:rPr>
          <w:shd w:val="clear" w:color="auto" w:fill="FFFFFF"/>
          <w:lang w:val="fr-FR"/>
        </w:rPr>
        <w:noBreakHyphen/>
        <w:t>ResReview)</w:t>
      </w:r>
    </w:p>
    <w:p w14:paraId="66A1BEDF" w14:textId="53275907" w:rsidR="000571E2" w:rsidRDefault="000571E2" w:rsidP="00E31B2B">
      <w:pPr>
        <w:rPr>
          <w:lang w:val="fr-FR"/>
        </w:rPr>
      </w:pPr>
      <w:r w:rsidRPr="005A058D">
        <w:rPr>
          <w:lang w:val="fr-FR"/>
        </w:rPr>
        <w:t>En prévision de l</w:t>
      </w:r>
      <w:r w:rsidR="00E31B2B">
        <w:rPr>
          <w:lang w:val="fr-FR"/>
        </w:rPr>
        <w:t>'</w:t>
      </w:r>
      <w:r w:rsidRPr="005A058D">
        <w:rPr>
          <w:lang w:val="fr-FR"/>
        </w:rPr>
        <w:t>AMNT-20, le GCNT a créé un nouveau Groupe du Rapporteur (</w:t>
      </w:r>
      <w:hyperlink r:id="rId34" w:history="1">
        <w:r w:rsidRPr="005A058D">
          <w:rPr>
            <w:rStyle w:val="Hyperlink"/>
            <w:lang w:val="fr-FR"/>
          </w:rPr>
          <w:t>mandat</w:t>
        </w:r>
      </w:hyperlink>
      <w:r w:rsidRPr="005A058D">
        <w:rPr>
          <w:lang w:val="fr-FR"/>
        </w:rPr>
        <w:t>), au cours de la période d</w:t>
      </w:r>
      <w:r w:rsidR="00E31B2B">
        <w:rPr>
          <w:lang w:val="fr-FR"/>
        </w:rPr>
        <w:t>'</w:t>
      </w:r>
      <w:r w:rsidRPr="005A058D">
        <w:rPr>
          <w:lang w:val="fr-FR"/>
        </w:rPr>
        <w:t>études actuelle, pour examiner les Résolutions de l</w:t>
      </w:r>
      <w:r w:rsidR="00E31B2B">
        <w:rPr>
          <w:lang w:val="fr-FR"/>
        </w:rPr>
        <w:t>'</w:t>
      </w:r>
      <w:r w:rsidRPr="005A058D">
        <w:rPr>
          <w:lang w:val="fr-FR"/>
        </w:rPr>
        <w:t>AMNT dans le but de les rationnaliser, en tenant compte des Résolutions de la Conférence de plénipotentiaires et des autres Secteurs, selon le cas. Les rapports d</w:t>
      </w:r>
      <w:r w:rsidR="00E31B2B">
        <w:rPr>
          <w:lang w:val="fr-FR"/>
        </w:rPr>
        <w:t>'</w:t>
      </w:r>
      <w:r w:rsidRPr="005A058D">
        <w:rPr>
          <w:lang w:val="fr-FR"/>
        </w:rPr>
        <w:t xml:space="preserve">activité du Groupe RG-ResReview établis lors de ses réunions </w:t>
      </w:r>
      <w:r>
        <w:rPr>
          <w:lang w:val="fr-FR"/>
        </w:rPr>
        <w:br w:type="page"/>
      </w:r>
    </w:p>
    <w:p w14:paraId="66246AD8" w14:textId="77777777" w:rsidR="000571E2" w:rsidRPr="005A058D" w:rsidRDefault="000571E2" w:rsidP="00E31B2B">
      <w:pPr>
        <w:rPr>
          <w:lang w:val="fr-FR"/>
        </w:rPr>
      </w:pPr>
      <w:r w:rsidRPr="005A058D">
        <w:rPr>
          <w:lang w:val="fr-FR"/>
        </w:rPr>
        <w:lastRenderedPageBreak/>
        <w:t xml:space="preserve">intérimaires sont reproduits dans les Documents temporaires (TD) </w:t>
      </w:r>
      <w:hyperlink r:id="rId35" w:history="1">
        <w:r w:rsidRPr="005A058D">
          <w:rPr>
            <w:rStyle w:val="Hyperlink"/>
            <w:lang w:val="fr-FR"/>
          </w:rPr>
          <w:t>813</w:t>
        </w:r>
      </w:hyperlink>
      <w:r w:rsidRPr="005A058D">
        <w:rPr>
          <w:lang w:val="fr-FR"/>
        </w:rPr>
        <w:t xml:space="preserve">, </w:t>
      </w:r>
      <w:hyperlink r:id="rId36" w:history="1">
        <w:r w:rsidRPr="005A058D">
          <w:rPr>
            <w:rStyle w:val="Hyperlink"/>
            <w:lang w:val="fr-FR"/>
          </w:rPr>
          <w:t>955</w:t>
        </w:r>
      </w:hyperlink>
      <w:r w:rsidRPr="005A058D">
        <w:rPr>
          <w:lang w:val="fr-FR"/>
        </w:rPr>
        <w:t xml:space="preserve"> et </w:t>
      </w:r>
      <w:hyperlink r:id="rId37" w:history="1">
        <w:r w:rsidRPr="005A058D">
          <w:rPr>
            <w:rStyle w:val="Hyperlink"/>
            <w:szCs w:val="24"/>
            <w:lang w:val="fr-FR"/>
          </w:rPr>
          <w:t>1230</w:t>
        </w:r>
      </w:hyperlink>
      <w:r w:rsidRPr="005A058D">
        <w:rPr>
          <w:lang w:val="fr-FR"/>
        </w:rPr>
        <w:t xml:space="preserve"> du GCNT. Les rapports du Groupe RG-ResReview présentés lors des réunions du GCNT figurent dans les </w:t>
      </w:r>
      <w:r>
        <w:rPr>
          <w:lang w:val="fr-FR"/>
        </w:rPr>
        <w:t>D</w:t>
      </w:r>
      <w:r w:rsidRPr="005A058D">
        <w:rPr>
          <w:lang w:val="fr-FR"/>
        </w:rPr>
        <w:t xml:space="preserve">ocuments temporaires </w:t>
      </w:r>
      <w:hyperlink r:id="rId38" w:history="1">
        <w:r w:rsidRPr="005A058D">
          <w:rPr>
            <w:rStyle w:val="Hyperlink"/>
            <w:lang w:val="fr-FR"/>
          </w:rPr>
          <w:t>245</w:t>
        </w:r>
      </w:hyperlink>
      <w:r w:rsidRPr="005A058D">
        <w:rPr>
          <w:lang w:val="fr-FR"/>
        </w:rPr>
        <w:t xml:space="preserve">, </w:t>
      </w:r>
      <w:hyperlink r:id="rId39" w:history="1">
        <w:r w:rsidRPr="005A058D">
          <w:rPr>
            <w:rStyle w:val="Hyperlink"/>
            <w:lang w:val="fr-FR"/>
          </w:rPr>
          <w:t>280</w:t>
        </w:r>
      </w:hyperlink>
      <w:r w:rsidRPr="005A058D">
        <w:rPr>
          <w:lang w:val="fr-FR"/>
        </w:rPr>
        <w:t xml:space="preserve">, </w:t>
      </w:r>
      <w:hyperlink r:id="rId40" w:history="1">
        <w:r w:rsidRPr="005A058D">
          <w:rPr>
            <w:rStyle w:val="Hyperlink"/>
            <w:lang w:val="fr-FR"/>
          </w:rPr>
          <w:t>455-R1</w:t>
        </w:r>
      </w:hyperlink>
      <w:r w:rsidRPr="005A058D">
        <w:rPr>
          <w:lang w:val="fr-FR"/>
        </w:rPr>
        <w:t xml:space="preserve">, </w:t>
      </w:r>
      <w:hyperlink r:id="rId41" w:history="1">
        <w:r w:rsidRPr="005A058D">
          <w:rPr>
            <w:rStyle w:val="Hyperlink"/>
            <w:lang w:val="fr-FR"/>
          </w:rPr>
          <w:t>647</w:t>
        </w:r>
      </w:hyperlink>
      <w:r w:rsidRPr="005A058D">
        <w:rPr>
          <w:lang w:val="fr-FR"/>
        </w:rPr>
        <w:t xml:space="preserve">, </w:t>
      </w:r>
      <w:hyperlink r:id="rId42" w:history="1">
        <w:r w:rsidRPr="005A058D">
          <w:rPr>
            <w:rStyle w:val="Hyperlink"/>
            <w:lang w:val="fr-FR"/>
          </w:rPr>
          <w:t>920</w:t>
        </w:r>
      </w:hyperlink>
      <w:r w:rsidRPr="005A058D">
        <w:rPr>
          <w:lang w:val="fr-FR"/>
        </w:rPr>
        <w:t xml:space="preserve">, </w:t>
      </w:r>
      <w:hyperlink r:id="rId43" w:history="1">
        <w:r w:rsidRPr="005A058D">
          <w:rPr>
            <w:rStyle w:val="Hyperlink"/>
            <w:lang w:val="fr-FR"/>
          </w:rPr>
          <w:t>1023</w:t>
        </w:r>
      </w:hyperlink>
      <w:r w:rsidRPr="005A058D">
        <w:rPr>
          <w:lang w:val="fr-FR"/>
        </w:rPr>
        <w:t xml:space="preserve"> et</w:t>
      </w:r>
      <w:r w:rsidRPr="005A058D">
        <w:rPr>
          <w:szCs w:val="24"/>
          <w:lang w:val="fr-FR"/>
        </w:rPr>
        <w:t xml:space="preserve"> </w:t>
      </w:r>
      <w:hyperlink r:id="rId44" w:history="1">
        <w:r w:rsidRPr="005A058D">
          <w:rPr>
            <w:rStyle w:val="Hyperlink"/>
            <w:szCs w:val="24"/>
            <w:lang w:val="fr-FR" w:eastAsia="zh-CN"/>
          </w:rPr>
          <w:t>1178</w:t>
        </w:r>
      </w:hyperlink>
      <w:r w:rsidRPr="005A058D">
        <w:rPr>
          <w:rStyle w:val="Hyperlink"/>
          <w:szCs w:val="24"/>
          <w:lang w:val="fr-FR" w:eastAsia="zh-CN"/>
        </w:rPr>
        <w:t>-R1</w:t>
      </w:r>
      <w:r w:rsidRPr="005A058D">
        <w:rPr>
          <w:lang w:val="fr-FR"/>
        </w:rPr>
        <w:t xml:space="preserve"> du GCNT.</w:t>
      </w:r>
    </w:p>
    <w:p w14:paraId="1E23C7A6" w14:textId="772D9398" w:rsidR="000571E2" w:rsidRPr="005A058D" w:rsidRDefault="000571E2" w:rsidP="00E31B2B">
      <w:pPr>
        <w:rPr>
          <w:lang w:val="fr-FR"/>
        </w:rPr>
      </w:pPr>
      <w:r w:rsidRPr="005A058D">
        <w:rPr>
          <w:lang w:val="fr-FR"/>
        </w:rPr>
        <w:t>Le Groupe a précisé le concept et les notions de rationalisation dans le contexte des Résolutions de l</w:t>
      </w:r>
      <w:r w:rsidR="00E31B2B">
        <w:rPr>
          <w:lang w:val="fr-FR"/>
        </w:rPr>
        <w:t>'</w:t>
      </w:r>
      <w:r w:rsidRPr="005A058D">
        <w:rPr>
          <w:lang w:val="fr-FR"/>
        </w:rPr>
        <w:t xml:space="preserve">AMNT et de la PP (voir le </w:t>
      </w:r>
      <w:r>
        <w:rPr>
          <w:lang w:val="fr-FR"/>
        </w:rPr>
        <w:t>D</w:t>
      </w:r>
      <w:r w:rsidRPr="005A058D">
        <w:rPr>
          <w:lang w:val="fr-FR"/>
        </w:rPr>
        <w:t xml:space="preserve">ocument </w:t>
      </w:r>
      <w:hyperlink r:id="rId45" w:history="1">
        <w:r w:rsidRPr="005A058D">
          <w:rPr>
            <w:rStyle w:val="Hyperlink"/>
            <w:rFonts w:asciiTheme="majorBidi" w:eastAsia="MS Mincho" w:hAnsiTheme="majorBidi" w:cstheme="majorBidi"/>
            <w:lang w:val="fr-FR"/>
          </w:rPr>
          <w:t>TSAG-LS30-R1</w:t>
        </w:r>
      </w:hyperlink>
      <w:r w:rsidRPr="005A058D">
        <w:rPr>
          <w:lang w:val="fr-FR"/>
        </w:rPr>
        <w:t>), étudié les possibilités de rationalisation des Résolutions et examiné un très grand nombre de projets de propositions visant à modifier des Résolutions de l</w:t>
      </w:r>
      <w:r w:rsidR="00E31B2B">
        <w:rPr>
          <w:lang w:val="fr-FR"/>
        </w:rPr>
        <w:t>'</w:t>
      </w:r>
      <w:r w:rsidRPr="005A058D">
        <w:rPr>
          <w:lang w:val="fr-FR"/>
        </w:rPr>
        <w:t>AMNT. Le Groupe a examiné en parallèle les propositions soumises par les organisations régionales de télécommunication concernant les Résolutions 22, 35, 43, 44, 59, 67, 70, 72, 73, 75, 83 et 84 de l</w:t>
      </w:r>
      <w:r w:rsidR="00E31B2B">
        <w:rPr>
          <w:lang w:val="fr-FR"/>
        </w:rPr>
        <w:t>'</w:t>
      </w:r>
      <w:r w:rsidRPr="005A058D">
        <w:rPr>
          <w:lang w:val="fr-FR"/>
        </w:rPr>
        <w:t>AMNT. Il a été convenu d</w:t>
      </w:r>
      <w:r w:rsidR="00E31B2B">
        <w:rPr>
          <w:lang w:val="fr-FR"/>
        </w:rPr>
        <w:t>'</w:t>
      </w:r>
      <w:r w:rsidRPr="005A058D">
        <w:rPr>
          <w:lang w:val="fr-FR"/>
        </w:rPr>
        <w:t>un commun accord de supprimer la Résolution 35 (Rév. Hammamet, 2016). Les propositions de modification de la Résolution 67 (Rév.</w:t>
      </w:r>
      <w:r>
        <w:rPr>
          <w:lang w:val="fr-FR"/>
        </w:rPr>
        <w:t> </w:t>
      </w:r>
      <w:r w:rsidRPr="005A058D">
        <w:rPr>
          <w:lang w:val="fr-FR"/>
        </w:rPr>
        <w:t>Hammamet, 2016) ont fait l</w:t>
      </w:r>
      <w:r w:rsidR="00E31B2B">
        <w:rPr>
          <w:lang w:val="fr-FR"/>
        </w:rPr>
        <w:t>'</w:t>
      </w:r>
      <w:r w:rsidRPr="005A058D">
        <w:rPr>
          <w:lang w:val="fr-FR"/>
        </w:rPr>
        <w:t>objet d</w:t>
      </w:r>
      <w:r w:rsidR="00E31B2B">
        <w:rPr>
          <w:lang w:val="fr-FR"/>
        </w:rPr>
        <w:t>'</w:t>
      </w:r>
      <w:r w:rsidRPr="005A058D">
        <w:rPr>
          <w:lang w:val="fr-FR"/>
        </w:rPr>
        <w:t xml:space="preserve">un examen détaillé et de consultations approfondies dont les résultats figurent dans le Document </w:t>
      </w:r>
      <w:hyperlink r:id="rId46" w:history="1">
        <w:r w:rsidRPr="005A058D">
          <w:rPr>
            <w:rStyle w:val="Hyperlink"/>
            <w:szCs w:val="24"/>
            <w:lang w:val="fr-FR"/>
          </w:rPr>
          <w:t>TSAG-TD1230</w:t>
        </w:r>
      </w:hyperlink>
      <w:r w:rsidRPr="005A058D">
        <w:rPr>
          <w:lang w:val="fr-FR"/>
        </w:rPr>
        <w:t>. Les commentaires et propositions formulés lors de cet examen ont facilité les travaux préparatoires des organisations régionales de télécommunication en vue de l</w:t>
      </w:r>
      <w:r w:rsidR="00E31B2B">
        <w:rPr>
          <w:lang w:val="fr-FR"/>
        </w:rPr>
        <w:t>'</w:t>
      </w:r>
      <w:r w:rsidRPr="005A058D">
        <w:rPr>
          <w:lang w:val="fr-FR"/>
        </w:rPr>
        <w:t>AMNT et seront utiles lors des discussions qui se dérouleront à cette Conférence.</w:t>
      </w:r>
    </w:p>
    <w:p w14:paraId="5DAEE359" w14:textId="26EEAB0E" w:rsidR="000571E2" w:rsidRPr="005A058D" w:rsidRDefault="000571E2" w:rsidP="00E31B2B">
      <w:pPr>
        <w:rPr>
          <w:rFonts w:asciiTheme="majorBidi" w:eastAsia="MS Mincho" w:hAnsiTheme="majorBidi" w:cstheme="majorBidi"/>
          <w:color w:val="000000"/>
          <w:lang w:val="fr-FR"/>
        </w:rPr>
      </w:pPr>
      <w:r w:rsidRPr="005A058D">
        <w:rPr>
          <w:rFonts w:asciiTheme="majorBidi" w:eastAsia="MS Mincho" w:hAnsiTheme="majorBidi" w:cstheme="majorBidi"/>
          <w:color w:val="000000"/>
          <w:lang w:val="fr-FR"/>
        </w:rPr>
        <w:t xml:space="preserve">Le Groupe a aidé le GCNT à recenser </w:t>
      </w:r>
      <w:hyperlink r:id="rId47" w:history="1">
        <w:r w:rsidRPr="005A058D">
          <w:rPr>
            <w:rStyle w:val="Hyperlink"/>
            <w:rFonts w:asciiTheme="majorBidi" w:eastAsia="MS Mincho" w:hAnsiTheme="majorBidi" w:cstheme="majorBidi"/>
            <w:lang w:val="fr-FR"/>
          </w:rPr>
          <w:t xml:space="preserve">les coordonnateurs et les </w:t>
        </w:r>
        <w:r w:rsidRPr="005A058D">
          <w:rPr>
            <w:rStyle w:val="Hyperlink"/>
            <w:lang w:val="fr-FR"/>
          </w:rPr>
          <w:t>responsables</w:t>
        </w:r>
      </w:hyperlink>
      <w:r w:rsidRPr="005A058D">
        <w:rPr>
          <w:color w:val="000000"/>
          <w:lang w:val="fr-FR"/>
        </w:rPr>
        <w:t xml:space="preserve"> de la coordination</w:t>
      </w:r>
      <w:r w:rsidRPr="005A058D">
        <w:rPr>
          <w:rFonts w:asciiTheme="majorBidi" w:eastAsia="MS Mincho" w:hAnsiTheme="majorBidi" w:cstheme="majorBidi"/>
          <w:color w:val="000000"/>
          <w:lang w:val="fr-FR"/>
        </w:rPr>
        <w:t xml:space="preserve"> des organisations régionales dans le cadre de leurs travaux préparatoires en vue de l</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AMNT-20, ainsi qu</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 xml:space="preserve">à élaborer un tableau de correspondance (voir le Document </w:t>
      </w:r>
      <w:hyperlink r:id="rId48" w:history="1">
        <w:r w:rsidRPr="005A058D">
          <w:rPr>
            <w:rStyle w:val="Hyperlink"/>
            <w:rFonts w:asciiTheme="majorBidi" w:eastAsia="MS Mincho" w:hAnsiTheme="majorBidi" w:cstheme="majorBidi"/>
            <w:lang w:val="fr-FR"/>
          </w:rPr>
          <w:t>TSAG-TD1224</w:t>
        </w:r>
      </w:hyperlink>
      <w:r w:rsidRPr="005A058D">
        <w:rPr>
          <w:lang w:val="fr-FR"/>
        </w:rPr>
        <w:t>) entre les contributions soumises par les organisations régionales et les Résolutions de l</w:t>
      </w:r>
      <w:r w:rsidR="00E31B2B">
        <w:rPr>
          <w:lang w:val="fr-FR"/>
        </w:rPr>
        <w:t>'</w:t>
      </w:r>
      <w:r w:rsidRPr="005A058D">
        <w:rPr>
          <w:lang w:val="fr-FR"/>
        </w:rPr>
        <w:t>AMNT ainsi que les Recommandations UIT-T de la série A confiées aux Groupes du Rapporteur du GCNT.</w:t>
      </w:r>
    </w:p>
    <w:p w14:paraId="1954C871" w14:textId="77777777" w:rsidR="000571E2" w:rsidRPr="005A058D" w:rsidRDefault="000571E2" w:rsidP="00E31B2B">
      <w:pPr>
        <w:pStyle w:val="Heading3"/>
        <w:rPr>
          <w:lang w:val="fr-FR"/>
        </w:rPr>
      </w:pPr>
      <w:r w:rsidRPr="005A058D">
        <w:rPr>
          <w:lang w:val="fr-FR"/>
        </w:rPr>
        <w:t>3.2.3</w:t>
      </w:r>
      <w:r w:rsidRPr="005A058D">
        <w:rPr>
          <w:lang w:val="fr-FR"/>
        </w:rPr>
        <w:tab/>
        <w:t>Groupe du Rapporteur du GCNT sur le renforcement de la coopération (RG-SC)</w:t>
      </w:r>
    </w:p>
    <w:p w14:paraId="649A5B3C" w14:textId="497198F9" w:rsidR="000571E2" w:rsidRPr="005A058D" w:rsidRDefault="000571E2" w:rsidP="00E31B2B">
      <w:pPr>
        <w:rPr>
          <w:szCs w:val="24"/>
          <w:lang w:val="fr-FR"/>
        </w:rPr>
      </w:pPr>
      <w:r w:rsidRPr="005A058D">
        <w:rPr>
          <w:lang w:val="fr-FR"/>
        </w:rPr>
        <w:t>Le Groupe RG-SC du GCNT (</w:t>
      </w:r>
      <w:hyperlink r:id="rId49" w:history="1">
        <w:r w:rsidRPr="005A058D">
          <w:rPr>
            <w:rStyle w:val="Hyperlink"/>
            <w:lang w:val="fr-FR"/>
          </w:rPr>
          <w:t>mandat</w:t>
        </w:r>
      </w:hyperlink>
      <w:r w:rsidRPr="005A058D">
        <w:rPr>
          <w:lang w:val="fr-FR"/>
        </w:rPr>
        <w:t>) a examiné les méthodes et les approches existantes en matière de collaboration ou de coopération avec les autres organisations de normalisation ainsi qu</w:t>
      </w:r>
      <w:r w:rsidR="00E31B2B">
        <w:rPr>
          <w:lang w:val="fr-FR"/>
        </w:rPr>
        <w:t>'</w:t>
      </w:r>
      <w:r w:rsidRPr="005A058D">
        <w:rPr>
          <w:lang w:val="fr-FR"/>
        </w:rPr>
        <w:t>avec les autres Secteurs de l</w:t>
      </w:r>
      <w:r w:rsidR="00E31B2B">
        <w:rPr>
          <w:lang w:val="fr-FR"/>
        </w:rPr>
        <w:t>'</w:t>
      </w:r>
      <w:r w:rsidRPr="005A058D">
        <w:rPr>
          <w:lang w:val="fr-FR"/>
        </w:rPr>
        <w:t>UIT, en vue d</w:t>
      </w:r>
      <w:r w:rsidR="00E31B2B">
        <w:rPr>
          <w:lang w:val="fr-FR"/>
        </w:rPr>
        <w:t>'</w:t>
      </w:r>
      <w:r w:rsidRPr="005A058D">
        <w:rPr>
          <w:lang w:val="fr-FR"/>
        </w:rPr>
        <w:t>encourager l</w:t>
      </w:r>
      <w:r w:rsidR="00E31B2B">
        <w:rPr>
          <w:lang w:val="fr-FR"/>
        </w:rPr>
        <w:t>'</w:t>
      </w:r>
      <w:r w:rsidRPr="005A058D">
        <w:rPr>
          <w:lang w:val="fr-FR"/>
        </w:rPr>
        <w:t>UIT-T et les autres organisations de normalisation à mettre davantage l</w:t>
      </w:r>
      <w:r w:rsidR="00E31B2B">
        <w:rPr>
          <w:lang w:val="fr-FR"/>
        </w:rPr>
        <w:t>'</w:t>
      </w:r>
      <w:r w:rsidRPr="005A058D">
        <w:rPr>
          <w:lang w:val="fr-FR"/>
        </w:rPr>
        <w:t>accent sur la collaboration ou la coopération dans leurs travaux, sur une base de réciprocité et de respect mutuel. Les activités de liaison avec l</w:t>
      </w:r>
      <w:r w:rsidR="00E31B2B">
        <w:rPr>
          <w:lang w:val="fr-FR"/>
        </w:rPr>
        <w:t>'</w:t>
      </w:r>
      <w:r w:rsidRPr="005A058D">
        <w:rPr>
          <w:lang w:val="fr-FR"/>
        </w:rPr>
        <w:t>ISO/CEI JTC 1 et l</w:t>
      </w:r>
      <w:r w:rsidR="00E31B2B">
        <w:rPr>
          <w:lang w:val="fr-FR"/>
        </w:rPr>
        <w:t>'</w:t>
      </w:r>
      <w:r w:rsidRPr="005A058D">
        <w:rPr>
          <w:lang w:val="fr-FR"/>
        </w:rPr>
        <w:t>IAB ont été menées dans le cadre de relations extérieures avec la CEI. Les rapports d</w:t>
      </w:r>
      <w:r w:rsidR="00E31B2B">
        <w:rPr>
          <w:lang w:val="fr-FR"/>
        </w:rPr>
        <w:t>'</w:t>
      </w:r>
      <w:r w:rsidRPr="005A058D">
        <w:rPr>
          <w:lang w:val="fr-FR"/>
        </w:rPr>
        <w:t xml:space="preserve">activité du Groupe RG-SC établis lors de ses réunions intérimaires figurent dans les Documents temporaires </w:t>
      </w:r>
      <w:hyperlink r:id="rId50" w:history="1">
        <w:r w:rsidRPr="005A058D">
          <w:rPr>
            <w:rStyle w:val="Hyperlink"/>
            <w:lang w:val="fr-FR"/>
          </w:rPr>
          <w:t>318</w:t>
        </w:r>
      </w:hyperlink>
      <w:r w:rsidRPr="005A058D">
        <w:rPr>
          <w:lang w:val="fr-FR"/>
        </w:rPr>
        <w:t xml:space="preserve">, </w:t>
      </w:r>
      <w:hyperlink r:id="rId51" w:history="1">
        <w:r w:rsidRPr="005A058D">
          <w:rPr>
            <w:rStyle w:val="Hyperlink"/>
            <w:lang w:val="fr-FR"/>
          </w:rPr>
          <w:t>953</w:t>
        </w:r>
      </w:hyperlink>
      <w:r w:rsidRPr="005A058D">
        <w:rPr>
          <w:lang w:val="fr-FR"/>
        </w:rPr>
        <w:t xml:space="preserve">, </w:t>
      </w:r>
      <w:hyperlink r:id="rId52" w:history="1">
        <w:r w:rsidRPr="005A058D">
          <w:rPr>
            <w:rStyle w:val="Hyperlink"/>
            <w:lang w:val="fr-FR"/>
          </w:rPr>
          <w:t>1054</w:t>
        </w:r>
      </w:hyperlink>
      <w:r w:rsidRPr="005A058D">
        <w:rPr>
          <w:lang w:val="fr-FR"/>
        </w:rPr>
        <w:t xml:space="preserve"> et </w:t>
      </w:r>
      <w:hyperlink r:id="rId53" w:history="1">
        <w:r w:rsidRPr="005A058D">
          <w:rPr>
            <w:rStyle w:val="Hyperlink"/>
            <w:szCs w:val="24"/>
            <w:lang w:val="fr-FR" w:eastAsia="zh-CN"/>
          </w:rPr>
          <w:t>1202</w:t>
        </w:r>
      </w:hyperlink>
      <w:r w:rsidRPr="005A058D">
        <w:rPr>
          <w:szCs w:val="24"/>
          <w:lang w:val="fr-FR"/>
        </w:rPr>
        <w:t xml:space="preserve"> du GCNT.</w:t>
      </w:r>
      <w:r w:rsidRPr="005A058D">
        <w:rPr>
          <w:lang w:val="fr-FR"/>
        </w:rPr>
        <w:t xml:space="preserve"> Les rapports du Groupe RG-SC présentés lor</w:t>
      </w:r>
      <w:r w:rsidR="008154FC">
        <w:rPr>
          <w:lang w:val="fr-FR"/>
        </w:rPr>
        <w:t>s des réunions du </w:t>
      </w:r>
      <w:r w:rsidRPr="005A058D">
        <w:rPr>
          <w:lang w:val="fr-FR"/>
        </w:rPr>
        <w:t xml:space="preserve">GCNT figurent dans les </w:t>
      </w:r>
      <w:r>
        <w:rPr>
          <w:lang w:val="fr-FR"/>
        </w:rPr>
        <w:t>D</w:t>
      </w:r>
      <w:r w:rsidRPr="005A058D">
        <w:rPr>
          <w:lang w:val="fr-FR"/>
        </w:rPr>
        <w:t xml:space="preserve">ocuments temporaires </w:t>
      </w:r>
      <w:hyperlink r:id="rId54" w:history="1">
        <w:r w:rsidRPr="005A058D">
          <w:rPr>
            <w:rStyle w:val="Hyperlink"/>
            <w:lang w:val="fr-FR"/>
          </w:rPr>
          <w:t>86</w:t>
        </w:r>
      </w:hyperlink>
      <w:r w:rsidRPr="005A058D">
        <w:rPr>
          <w:lang w:val="fr-FR"/>
        </w:rPr>
        <w:t xml:space="preserve">, </w:t>
      </w:r>
      <w:hyperlink r:id="rId55" w:history="1">
        <w:r w:rsidRPr="005A058D">
          <w:rPr>
            <w:rStyle w:val="Hyperlink"/>
            <w:lang w:val="fr-FR"/>
          </w:rPr>
          <w:t>129</w:t>
        </w:r>
      </w:hyperlink>
      <w:r w:rsidRPr="005A058D">
        <w:rPr>
          <w:lang w:val="fr-FR"/>
        </w:rPr>
        <w:t xml:space="preserve">, </w:t>
      </w:r>
      <w:hyperlink r:id="rId56" w:history="1">
        <w:r w:rsidRPr="005A058D">
          <w:rPr>
            <w:rStyle w:val="Hyperlink"/>
            <w:lang w:val="fr-FR"/>
          </w:rPr>
          <w:t>282</w:t>
        </w:r>
      </w:hyperlink>
      <w:r w:rsidRPr="005A058D">
        <w:rPr>
          <w:lang w:val="fr-FR"/>
        </w:rPr>
        <w:t xml:space="preserve">, </w:t>
      </w:r>
      <w:hyperlink r:id="rId57" w:history="1">
        <w:r w:rsidRPr="005A058D">
          <w:rPr>
            <w:rStyle w:val="Hyperlink"/>
            <w:lang w:val="fr-FR"/>
          </w:rPr>
          <w:t>457</w:t>
        </w:r>
      </w:hyperlink>
      <w:r w:rsidRPr="005A058D">
        <w:rPr>
          <w:lang w:val="fr-FR"/>
        </w:rPr>
        <w:t xml:space="preserve">, </w:t>
      </w:r>
      <w:hyperlink r:id="rId58" w:history="1">
        <w:r w:rsidRPr="005A058D">
          <w:rPr>
            <w:rStyle w:val="Hyperlink"/>
            <w:lang w:val="fr-FR"/>
          </w:rPr>
          <w:t>649</w:t>
        </w:r>
      </w:hyperlink>
      <w:r w:rsidRPr="005A058D">
        <w:rPr>
          <w:lang w:val="fr-FR"/>
        </w:rPr>
        <w:t xml:space="preserve">, </w:t>
      </w:r>
      <w:hyperlink r:id="rId59" w:history="1">
        <w:r w:rsidRPr="005A058D">
          <w:rPr>
            <w:rStyle w:val="Hyperlink"/>
            <w:lang w:val="fr-FR"/>
          </w:rPr>
          <w:t>779-R3</w:t>
        </w:r>
      </w:hyperlink>
      <w:r w:rsidRPr="005A058D">
        <w:rPr>
          <w:lang w:val="fr-FR"/>
        </w:rPr>
        <w:t xml:space="preserve">, </w:t>
      </w:r>
      <w:hyperlink r:id="rId60" w:history="1">
        <w:r w:rsidRPr="005A058D">
          <w:rPr>
            <w:rStyle w:val="Hyperlink"/>
            <w:lang w:val="fr-FR"/>
          </w:rPr>
          <w:t>922</w:t>
        </w:r>
      </w:hyperlink>
      <w:r w:rsidRPr="005A058D">
        <w:rPr>
          <w:lang w:val="fr-FR"/>
        </w:rPr>
        <w:t xml:space="preserve">, </w:t>
      </w:r>
      <w:hyperlink r:id="rId61" w:history="1">
        <w:r w:rsidRPr="005A058D">
          <w:rPr>
            <w:rStyle w:val="Hyperlink"/>
            <w:lang w:val="fr-FR"/>
          </w:rPr>
          <w:t>1025-R1</w:t>
        </w:r>
      </w:hyperlink>
      <w:r w:rsidRPr="005A058D">
        <w:rPr>
          <w:lang w:val="fr-FR"/>
        </w:rPr>
        <w:t xml:space="preserve"> </w:t>
      </w:r>
      <w:r w:rsidRPr="005A058D">
        <w:rPr>
          <w:szCs w:val="24"/>
          <w:lang w:val="fr-FR"/>
        </w:rPr>
        <w:t xml:space="preserve">et </w:t>
      </w:r>
      <w:hyperlink r:id="rId62" w:history="1">
        <w:r w:rsidRPr="005A058D">
          <w:rPr>
            <w:rStyle w:val="Hyperlink"/>
            <w:szCs w:val="24"/>
            <w:lang w:val="fr-FR" w:eastAsia="zh-CN"/>
          </w:rPr>
          <w:t>1180</w:t>
        </w:r>
      </w:hyperlink>
      <w:r w:rsidRPr="005A058D">
        <w:rPr>
          <w:szCs w:val="24"/>
          <w:lang w:val="fr-FR"/>
        </w:rPr>
        <w:t xml:space="preserve"> du GCNT.</w:t>
      </w:r>
    </w:p>
    <w:p w14:paraId="10AAF1E1" w14:textId="77777777" w:rsidR="000571E2" w:rsidRPr="005A058D" w:rsidRDefault="000571E2" w:rsidP="00E31B2B">
      <w:pPr>
        <w:rPr>
          <w:lang w:val="fr-FR"/>
        </w:rPr>
      </w:pPr>
      <w:r w:rsidRPr="005A058D">
        <w:rPr>
          <w:lang w:val="fr-FR"/>
        </w:rPr>
        <w:t>Ce Groupe du Rapporteur, en collaboration avec le Groupe RG-WM du GCNT, a apporté une assistance au GCNT concernant:</w:t>
      </w:r>
    </w:p>
    <w:p w14:paraId="090DF97E" w14:textId="26D1BE3D" w:rsidR="000571E2" w:rsidRPr="005A058D" w:rsidRDefault="000571E2" w:rsidP="00E31B2B">
      <w:pPr>
        <w:pStyle w:val="enumlev1"/>
        <w:rPr>
          <w:lang w:val="fr-FR" w:eastAsia="ja-JP"/>
        </w:rPr>
      </w:pPr>
      <w:bookmarkStart w:id="18" w:name="lt_pId210"/>
      <w:r w:rsidRPr="005A058D">
        <w:rPr>
          <w:lang w:val="fr-FR" w:eastAsia="ja-JP"/>
        </w:rPr>
        <w:t>•</w:t>
      </w:r>
      <w:r w:rsidRPr="005A058D">
        <w:rPr>
          <w:lang w:val="fr-FR" w:eastAsia="ja-JP"/>
        </w:rPr>
        <w:tab/>
      </w:r>
      <w:r>
        <w:rPr>
          <w:lang w:val="fr-FR" w:eastAsia="ja-JP"/>
        </w:rPr>
        <w:t>L</w:t>
      </w:r>
      <w:r w:rsidRPr="005A058D">
        <w:rPr>
          <w:lang w:val="fr-FR" w:eastAsia="ja-JP"/>
        </w:rPr>
        <w:t>a révision de la Recommandation UIT-T A.</w:t>
      </w:r>
      <w:r w:rsidRPr="005A058D">
        <w:rPr>
          <w:bCs/>
          <w:lang w:val="fr-FR" w:eastAsia="ja-JP"/>
        </w:rPr>
        <w:t>5 "</w:t>
      </w:r>
      <w:r w:rsidRPr="005A058D">
        <w:rPr>
          <w:i/>
          <w:iCs/>
          <w:lang w:val="fr-FR" w:eastAsia="ja-JP"/>
        </w:rPr>
        <w:t>Procédures génériques applicables à l</w:t>
      </w:r>
      <w:r w:rsidR="00E31B2B">
        <w:rPr>
          <w:i/>
          <w:iCs/>
          <w:lang w:val="fr-FR" w:eastAsia="ja-JP"/>
        </w:rPr>
        <w:t>'</w:t>
      </w:r>
      <w:r w:rsidRPr="005A058D">
        <w:rPr>
          <w:i/>
          <w:iCs/>
          <w:lang w:val="fr-FR" w:eastAsia="ja-JP"/>
        </w:rPr>
        <w:t>inclusion dans les Recommandations UIT-T de références à des documents émanant d</w:t>
      </w:r>
      <w:r w:rsidR="00E31B2B">
        <w:rPr>
          <w:i/>
          <w:iCs/>
          <w:lang w:val="fr-FR" w:eastAsia="ja-JP"/>
        </w:rPr>
        <w:t>'</w:t>
      </w:r>
      <w:r w:rsidRPr="005A058D">
        <w:rPr>
          <w:i/>
          <w:iCs/>
          <w:lang w:val="fr-FR" w:eastAsia="ja-JP"/>
        </w:rPr>
        <w:t>autres organisations</w:t>
      </w:r>
      <w:r w:rsidRPr="005A058D">
        <w:rPr>
          <w:bCs/>
          <w:lang w:val="fr-FR" w:eastAsia="ja-JP"/>
        </w:rPr>
        <w:t>"</w:t>
      </w:r>
      <w:bookmarkEnd w:id="18"/>
      <w:r w:rsidRPr="005A058D">
        <w:rPr>
          <w:bCs/>
          <w:lang w:val="fr-FR" w:eastAsia="ja-JP"/>
        </w:rPr>
        <w:t>.</w:t>
      </w:r>
    </w:p>
    <w:p w14:paraId="78290573" w14:textId="49C3DBEA" w:rsidR="000571E2" w:rsidRPr="005A058D" w:rsidRDefault="000571E2" w:rsidP="00E31B2B">
      <w:pPr>
        <w:pStyle w:val="enumlev1"/>
        <w:rPr>
          <w:lang w:val="fr-FR" w:eastAsia="ja-JP"/>
        </w:rPr>
      </w:pPr>
      <w:bookmarkStart w:id="19" w:name="lt_pId211"/>
      <w:r w:rsidRPr="005A058D">
        <w:rPr>
          <w:lang w:val="fr-FR" w:eastAsia="ja-JP"/>
        </w:rPr>
        <w:tab/>
        <w:t>Les principales modifications, proposées pour l</w:t>
      </w:r>
      <w:r w:rsidR="00E31B2B">
        <w:rPr>
          <w:lang w:val="fr-FR" w:eastAsia="ja-JP"/>
        </w:rPr>
        <w:t>'</w:t>
      </w:r>
      <w:r w:rsidRPr="005A058D">
        <w:rPr>
          <w:lang w:val="fr-FR" w:eastAsia="ja-JP"/>
        </w:rPr>
        <w:t>essentiel par la Fédération de Russie, visaient notamment à:</w:t>
      </w:r>
      <w:bookmarkEnd w:id="19"/>
    </w:p>
    <w:p w14:paraId="58C31333" w14:textId="0166B51A" w:rsidR="000571E2" w:rsidRPr="005A058D" w:rsidRDefault="000571E2" w:rsidP="00E31B2B">
      <w:pPr>
        <w:pStyle w:val="enumlev2"/>
        <w:rPr>
          <w:lang w:val="fr-FR" w:eastAsia="ja-JP"/>
        </w:rPr>
      </w:pPr>
      <w:bookmarkStart w:id="20" w:name="lt_pId212"/>
      <w:r w:rsidRPr="005A058D">
        <w:rPr>
          <w:lang w:val="fr-FR" w:eastAsia="ja-JP"/>
        </w:rPr>
        <w:t>–</w:t>
      </w:r>
      <w:r w:rsidRPr="005A058D">
        <w:rPr>
          <w:lang w:val="fr-FR" w:eastAsia="ja-JP"/>
        </w:rPr>
        <w:tab/>
        <w:t>ajouter un délai pour la soumission des propositions relatives à l</w:t>
      </w:r>
      <w:r w:rsidR="00E31B2B">
        <w:rPr>
          <w:lang w:val="fr-FR" w:eastAsia="ja-JP"/>
        </w:rPr>
        <w:t>'</w:t>
      </w:r>
      <w:r w:rsidRPr="005A058D">
        <w:rPr>
          <w:lang w:val="fr-FR" w:eastAsia="ja-JP"/>
        </w:rPr>
        <w:t>inclusion d</w:t>
      </w:r>
      <w:r w:rsidR="00E31B2B">
        <w:rPr>
          <w:lang w:val="fr-FR" w:eastAsia="ja-JP"/>
        </w:rPr>
        <w:t>'</w:t>
      </w:r>
      <w:r w:rsidRPr="005A058D">
        <w:rPr>
          <w:lang w:val="fr-FR" w:eastAsia="ja-JP"/>
        </w:rPr>
        <w:t>une référence normative (§ 6.3)</w:t>
      </w:r>
      <w:bookmarkEnd w:id="20"/>
      <w:r w:rsidRPr="005A058D">
        <w:rPr>
          <w:lang w:val="fr-FR" w:eastAsia="ja-JP"/>
        </w:rPr>
        <w:t>;</w:t>
      </w:r>
    </w:p>
    <w:p w14:paraId="4EC46045" w14:textId="24AF5387" w:rsidR="000571E2" w:rsidRPr="005A058D" w:rsidRDefault="000571E2" w:rsidP="00E31B2B">
      <w:pPr>
        <w:pStyle w:val="enumlev2"/>
        <w:rPr>
          <w:lang w:val="fr-FR" w:eastAsia="ja-JP"/>
        </w:rPr>
      </w:pPr>
      <w:bookmarkStart w:id="21" w:name="lt_pId213"/>
      <w:r w:rsidRPr="005A058D">
        <w:rPr>
          <w:lang w:val="fr-FR" w:eastAsia="ja-JP"/>
        </w:rPr>
        <w:t>–</w:t>
      </w:r>
      <w:r w:rsidRPr="005A058D">
        <w:rPr>
          <w:lang w:val="fr-FR" w:eastAsia="ja-JP"/>
        </w:rPr>
        <w:tab/>
        <w:t>faire mention de la justification au titre de la Recommandation UIT-T A.5 concernant l</w:t>
      </w:r>
      <w:r w:rsidR="00E31B2B">
        <w:rPr>
          <w:lang w:val="fr-FR" w:eastAsia="ja-JP"/>
        </w:rPr>
        <w:t>'</w:t>
      </w:r>
      <w:r w:rsidRPr="005A058D">
        <w:rPr>
          <w:lang w:val="fr-FR" w:eastAsia="ja-JP"/>
        </w:rPr>
        <w:t>habilitation d</w:t>
      </w:r>
      <w:r w:rsidR="00E31B2B">
        <w:rPr>
          <w:lang w:val="fr-FR" w:eastAsia="ja-JP"/>
        </w:rPr>
        <w:t>'</w:t>
      </w:r>
      <w:r w:rsidRPr="005A058D">
        <w:rPr>
          <w:lang w:val="fr-FR" w:eastAsia="ja-JP"/>
        </w:rPr>
        <w:t>une autre organisation dans toute circulaire relative à la procédure TAP ou dans toute annonce concernant le dernier appel dans le cadre de la procédure AAP (§ 7.3)</w:t>
      </w:r>
      <w:bookmarkEnd w:id="21"/>
      <w:r w:rsidRPr="005A058D">
        <w:rPr>
          <w:lang w:val="fr-FR" w:eastAsia="ja-JP"/>
        </w:rPr>
        <w:t>;</w:t>
      </w:r>
    </w:p>
    <w:p w14:paraId="5EAE219D" w14:textId="1ACCE1EF" w:rsidR="000571E2" w:rsidRPr="005A058D" w:rsidRDefault="000571E2" w:rsidP="00E31B2B">
      <w:pPr>
        <w:pStyle w:val="enumlev2"/>
        <w:rPr>
          <w:lang w:val="fr-FR" w:eastAsia="ja-JP"/>
        </w:rPr>
      </w:pPr>
      <w:bookmarkStart w:id="22" w:name="lt_pId214"/>
      <w:r w:rsidRPr="005A058D">
        <w:rPr>
          <w:lang w:val="fr-FR" w:eastAsia="ja-JP"/>
        </w:rPr>
        <w:t>–</w:t>
      </w:r>
      <w:r w:rsidRPr="005A058D">
        <w:rPr>
          <w:lang w:val="fr-FR" w:eastAsia="ja-JP"/>
        </w:rPr>
        <w:tab/>
        <w:t>ajouter, dans les critères d</w:t>
      </w:r>
      <w:r w:rsidR="00E31B2B">
        <w:rPr>
          <w:lang w:val="fr-FR" w:eastAsia="ja-JP"/>
        </w:rPr>
        <w:t>'</w:t>
      </w:r>
      <w:r w:rsidRPr="005A058D">
        <w:rPr>
          <w:lang w:val="fr-FR" w:eastAsia="ja-JP"/>
        </w:rPr>
        <w:t>habilitation des organisations, l</w:t>
      </w:r>
      <w:r w:rsidR="00E31B2B">
        <w:rPr>
          <w:lang w:val="fr-FR" w:eastAsia="ja-JP"/>
        </w:rPr>
        <w:t>'</w:t>
      </w:r>
      <w:r w:rsidRPr="005A058D">
        <w:rPr>
          <w:lang w:val="fr-FR" w:eastAsia="ja-JP"/>
        </w:rPr>
        <w:t>obligation d</w:t>
      </w:r>
      <w:r w:rsidR="00E31B2B">
        <w:rPr>
          <w:lang w:val="fr-FR" w:eastAsia="ja-JP"/>
        </w:rPr>
        <w:t>'</w:t>
      </w:r>
      <w:r w:rsidRPr="005A058D">
        <w:rPr>
          <w:lang w:val="fr-FR" w:eastAsia="ja-JP"/>
        </w:rPr>
        <w:t>informer l</w:t>
      </w:r>
      <w:r w:rsidR="00E31B2B">
        <w:rPr>
          <w:lang w:val="fr-FR" w:eastAsia="ja-JP"/>
        </w:rPr>
        <w:t>'</w:t>
      </w:r>
      <w:r w:rsidRPr="005A058D">
        <w:rPr>
          <w:lang w:val="fr-FR" w:eastAsia="ja-JP"/>
        </w:rPr>
        <w:t>UIT lorsque le droit de toute partie ayant un intérêt matériel à devenir membre de l</w:t>
      </w:r>
      <w:r w:rsidR="00E31B2B">
        <w:rPr>
          <w:lang w:val="fr-FR" w:eastAsia="ja-JP"/>
        </w:rPr>
        <w:t>'</w:t>
      </w:r>
      <w:r w:rsidRPr="005A058D">
        <w:rPr>
          <w:lang w:val="fr-FR" w:eastAsia="ja-JP"/>
        </w:rPr>
        <w:t>autre organisation est restreint (Annexe B, 3</w:t>
      </w:r>
      <w:bookmarkEnd w:id="22"/>
      <w:r w:rsidRPr="005A058D">
        <w:rPr>
          <w:lang w:val="fr-FR" w:eastAsia="ja-JP"/>
        </w:rPr>
        <w:t>).</w:t>
      </w:r>
    </w:p>
    <w:p w14:paraId="594C691D" w14:textId="19666E8C" w:rsidR="000571E2" w:rsidRPr="005A058D" w:rsidRDefault="000571E2" w:rsidP="00E31B2B">
      <w:pPr>
        <w:pStyle w:val="enumlev1"/>
        <w:rPr>
          <w:lang w:val="fr-FR" w:eastAsia="ja-JP"/>
        </w:rPr>
      </w:pPr>
      <w:bookmarkStart w:id="23" w:name="lt_pId215"/>
      <w:r w:rsidRPr="005A058D">
        <w:rPr>
          <w:lang w:val="fr-FR" w:eastAsia="ja-JP"/>
        </w:rPr>
        <w:lastRenderedPageBreak/>
        <w:t>•</w:t>
      </w:r>
      <w:r w:rsidRPr="005A058D">
        <w:rPr>
          <w:lang w:val="fr-FR" w:eastAsia="ja-JP"/>
        </w:rPr>
        <w:tab/>
        <w:t>La Recommandation UIT-T A.25 "</w:t>
      </w:r>
      <w:r w:rsidRPr="005A058D">
        <w:rPr>
          <w:i/>
          <w:iCs/>
          <w:lang w:val="fr-FR" w:eastAsia="ja-JP"/>
        </w:rPr>
        <w:t>Procédures génériques d</w:t>
      </w:r>
      <w:r w:rsidR="00E31B2B">
        <w:rPr>
          <w:i/>
          <w:iCs/>
          <w:lang w:val="fr-FR" w:eastAsia="ja-JP"/>
        </w:rPr>
        <w:t>'</w:t>
      </w:r>
      <w:r w:rsidRPr="005A058D">
        <w:rPr>
          <w:i/>
          <w:iCs/>
          <w:lang w:val="fr-FR" w:eastAsia="ja-JP"/>
        </w:rPr>
        <w:t>incorporation de texte applicables entre l</w:t>
      </w:r>
      <w:r w:rsidR="00E31B2B">
        <w:rPr>
          <w:i/>
          <w:iCs/>
          <w:lang w:val="fr-FR" w:eastAsia="ja-JP"/>
        </w:rPr>
        <w:t>'</w:t>
      </w:r>
      <w:r w:rsidRPr="005A058D">
        <w:rPr>
          <w:i/>
          <w:iCs/>
          <w:lang w:val="fr-FR" w:eastAsia="ja-JP"/>
        </w:rPr>
        <w:t>UIT</w:t>
      </w:r>
      <w:r w:rsidRPr="005A058D">
        <w:rPr>
          <w:i/>
          <w:iCs/>
          <w:lang w:val="fr-FR" w:eastAsia="ja-JP"/>
        </w:rPr>
        <w:noBreakHyphen/>
        <w:t>T et d</w:t>
      </w:r>
      <w:r w:rsidR="00E31B2B">
        <w:rPr>
          <w:i/>
          <w:iCs/>
          <w:lang w:val="fr-FR" w:eastAsia="ja-JP"/>
        </w:rPr>
        <w:t>'</w:t>
      </w:r>
      <w:r w:rsidRPr="005A058D">
        <w:rPr>
          <w:i/>
          <w:iCs/>
          <w:lang w:val="fr-FR" w:eastAsia="ja-JP"/>
        </w:rPr>
        <w:t>autres organisations</w:t>
      </w:r>
      <w:r w:rsidRPr="005A058D">
        <w:rPr>
          <w:lang w:val="fr-FR" w:eastAsia="ja-JP"/>
        </w:rPr>
        <w:t>"</w:t>
      </w:r>
      <w:bookmarkEnd w:id="23"/>
      <w:r w:rsidRPr="005A058D">
        <w:rPr>
          <w:lang w:val="fr-FR" w:eastAsia="ja-JP"/>
        </w:rPr>
        <w:t>.</w:t>
      </w:r>
    </w:p>
    <w:p w14:paraId="636958A5" w14:textId="1A5ECDD0" w:rsidR="000571E2" w:rsidRPr="005A058D" w:rsidRDefault="000571E2" w:rsidP="00E31B2B">
      <w:pPr>
        <w:pStyle w:val="enumlev1"/>
        <w:rPr>
          <w:lang w:val="fr-FR" w:eastAsia="ja-JP"/>
        </w:rPr>
      </w:pPr>
      <w:r w:rsidRPr="005A058D">
        <w:rPr>
          <w:lang w:val="fr-FR" w:eastAsia="ja-JP"/>
        </w:rPr>
        <w:tab/>
        <w:t>Les principales modifications, proposées pour l</w:t>
      </w:r>
      <w:r w:rsidR="00E31B2B">
        <w:rPr>
          <w:lang w:val="fr-FR" w:eastAsia="ja-JP"/>
        </w:rPr>
        <w:t>'</w:t>
      </w:r>
      <w:r w:rsidRPr="005A058D">
        <w:rPr>
          <w:lang w:val="fr-FR" w:eastAsia="ja-JP"/>
        </w:rPr>
        <w:t>essentiel par la Fédération de Russie, visaient notamment à:</w:t>
      </w:r>
    </w:p>
    <w:p w14:paraId="5B7AAD59" w14:textId="77777777" w:rsidR="000571E2" w:rsidRPr="005A058D" w:rsidRDefault="000571E2" w:rsidP="00E31B2B">
      <w:pPr>
        <w:pStyle w:val="enumlev2"/>
        <w:rPr>
          <w:lang w:val="fr-FR" w:eastAsia="ja-JP"/>
        </w:rPr>
      </w:pPr>
      <w:bookmarkStart w:id="24" w:name="lt_pId217"/>
      <w:r w:rsidRPr="005A058D">
        <w:rPr>
          <w:lang w:val="fr-FR" w:eastAsia="ja-JP"/>
        </w:rPr>
        <w:t>–</w:t>
      </w:r>
      <w:r w:rsidRPr="005A058D">
        <w:rPr>
          <w:lang w:val="fr-FR" w:eastAsia="ja-JP"/>
        </w:rPr>
        <w:tab/>
        <w:t>ajouter des dispositions pour indiquer clairement quelle organisation est chargée de tenir à jour le texte incorporé (§ 6.1.2.10, Appendice II, 10)</w:t>
      </w:r>
      <w:bookmarkEnd w:id="24"/>
      <w:r w:rsidRPr="005A058D">
        <w:rPr>
          <w:lang w:val="fr-FR" w:eastAsia="ja-JP"/>
        </w:rPr>
        <w:t>;</w:t>
      </w:r>
    </w:p>
    <w:p w14:paraId="0C590F65" w14:textId="0BE0C341" w:rsidR="000571E2" w:rsidRPr="005A058D" w:rsidRDefault="000571E2" w:rsidP="00E31B2B">
      <w:pPr>
        <w:pStyle w:val="enumlev2"/>
        <w:rPr>
          <w:lang w:val="fr-FR" w:eastAsia="ja-JP"/>
        </w:rPr>
      </w:pPr>
      <w:bookmarkStart w:id="25" w:name="lt_pId218"/>
      <w:r w:rsidRPr="005A058D">
        <w:rPr>
          <w:lang w:val="fr-FR" w:eastAsia="ja-JP"/>
        </w:rPr>
        <w:t>–</w:t>
      </w:r>
      <w:r w:rsidRPr="005A058D">
        <w:rPr>
          <w:lang w:val="fr-FR" w:eastAsia="ja-JP"/>
        </w:rPr>
        <w:tab/>
        <w:t>ajouter un délai pour la notification, par voie d</w:t>
      </w:r>
      <w:r w:rsidR="00E31B2B">
        <w:rPr>
          <w:lang w:val="fr-FR" w:eastAsia="ja-JP"/>
        </w:rPr>
        <w:t>'</w:t>
      </w:r>
      <w:r w:rsidRPr="005A058D">
        <w:rPr>
          <w:lang w:val="fr-FR" w:eastAsia="ja-JP"/>
        </w:rPr>
        <w:t>une lettre circulaire, lorsque l</w:t>
      </w:r>
      <w:r w:rsidR="00E31B2B">
        <w:rPr>
          <w:lang w:val="fr-FR" w:eastAsia="ja-JP"/>
        </w:rPr>
        <w:t>'</w:t>
      </w:r>
      <w:r w:rsidRPr="005A058D">
        <w:rPr>
          <w:lang w:val="fr-FR" w:eastAsia="ja-JP"/>
        </w:rPr>
        <w:t>autre organisation est chargée d</w:t>
      </w:r>
      <w:r w:rsidR="00E31B2B">
        <w:rPr>
          <w:lang w:val="fr-FR" w:eastAsia="ja-JP"/>
        </w:rPr>
        <w:t>'</w:t>
      </w:r>
      <w:r w:rsidRPr="005A058D">
        <w:rPr>
          <w:lang w:val="fr-FR" w:eastAsia="ja-JP"/>
        </w:rPr>
        <w:t>élaborer de nouvelles versions du texte lorsqu</w:t>
      </w:r>
      <w:r w:rsidR="00E31B2B">
        <w:rPr>
          <w:lang w:val="fr-FR" w:eastAsia="ja-JP"/>
        </w:rPr>
        <w:t>'</w:t>
      </w:r>
      <w:r w:rsidRPr="005A058D">
        <w:rPr>
          <w:lang w:val="fr-FR" w:eastAsia="ja-JP"/>
        </w:rPr>
        <w:t>il est prévu de soumettre le projet de Recommandation UIT-T qui en résulte pour détermination en vue de la consultation (procédure TAP), ou pour consentement en vue du dernier appel (procédure AAP) (§ 6.1.3)</w:t>
      </w:r>
      <w:bookmarkEnd w:id="25"/>
      <w:r w:rsidRPr="005A058D">
        <w:rPr>
          <w:lang w:val="fr-FR" w:eastAsia="ja-JP"/>
        </w:rPr>
        <w:t>;</w:t>
      </w:r>
    </w:p>
    <w:p w14:paraId="4FB043EC" w14:textId="0AC8E55D" w:rsidR="000571E2" w:rsidRPr="005A058D" w:rsidRDefault="000571E2" w:rsidP="00E31B2B">
      <w:pPr>
        <w:pStyle w:val="enumlev2"/>
        <w:rPr>
          <w:lang w:val="fr-FR" w:eastAsia="ja-JP"/>
        </w:rPr>
      </w:pPr>
      <w:bookmarkStart w:id="26" w:name="lt_pId219"/>
      <w:r w:rsidRPr="005A058D">
        <w:rPr>
          <w:lang w:val="fr-FR" w:eastAsia="ja-JP"/>
        </w:rPr>
        <w:t>–</w:t>
      </w:r>
      <w:r w:rsidRPr="005A058D">
        <w:rPr>
          <w:lang w:val="fr-FR" w:eastAsia="ja-JP"/>
        </w:rPr>
        <w:tab/>
        <w:t>supprimer le texte faisant mention du transfert des aspects relatifs aux droits de propriété intellectuelle émanant du texte de l</w:t>
      </w:r>
      <w:r w:rsidR="00E31B2B">
        <w:rPr>
          <w:lang w:val="fr-FR" w:eastAsia="ja-JP"/>
        </w:rPr>
        <w:t>'</w:t>
      </w:r>
      <w:r w:rsidRPr="005A058D">
        <w:rPr>
          <w:lang w:val="fr-FR" w:eastAsia="ja-JP"/>
        </w:rPr>
        <w:t>autre organisation incorporé dans la Recommandation UIT-T (§ 6.1.6)</w:t>
      </w:r>
      <w:bookmarkEnd w:id="26"/>
      <w:r w:rsidRPr="005A058D">
        <w:rPr>
          <w:lang w:val="fr-FR" w:eastAsia="ja-JP"/>
        </w:rPr>
        <w:t>;</w:t>
      </w:r>
    </w:p>
    <w:p w14:paraId="382A9159" w14:textId="0B0248AE" w:rsidR="000571E2" w:rsidRPr="005A058D" w:rsidRDefault="000571E2" w:rsidP="00E31B2B">
      <w:pPr>
        <w:pStyle w:val="enumlev2"/>
        <w:rPr>
          <w:lang w:val="fr-FR" w:eastAsia="ja-JP"/>
        </w:rPr>
      </w:pPr>
      <w:bookmarkStart w:id="27" w:name="lt_pId220"/>
      <w:r w:rsidRPr="005A058D">
        <w:rPr>
          <w:lang w:val="fr-FR" w:eastAsia="ja-JP"/>
        </w:rPr>
        <w:t>–</w:t>
      </w:r>
      <w:r w:rsidRPr="005A058D">
        <w:rPr>
          <w:lang w:val="fr-FR" w:eastAsia="ja-JP"/>
        </w:rPr>
        <w:tab/>
        <w:t>ajouter l</w:t>
      </w:r>
      <w:r w:rsidR="00E31B2B">
        <w:rPr>
          <w:lang w:val="fr-FR" w:eastAsia="ja-JP"/>
        </w:rPr>
        <w:t>'</w:t>
      </w:r>
      <w:r w:rsidRPr="005A058D">
        <w:rPr>
          <w:lang w:val="fr-FR" w:eastAsia="ja-JP"/>
        </w:rPr>
        <w:t>obligation de modifier la page de couverture de la Recommandation UIT-T qui en résulte et qui contient du texte incorporé (§ 6.1.7).</w:t>
      </w:r>
      <w:bookmarkEnd w:id="27"/>
    </w:p>
    <w:p w14:paraId="5416CA4A" w14:textId="17D58086" w:rsidR="000571E2" w:rsidRPr="005A058D" w:rsidRDefault="000571E2" w:rsidP="00E31B2B">
      <w:pPr>
        <w:tabs>
          <w:tab w:val="left" w:pos="570"/>
        </w:tabs>
        <w:rPr>
          <w:iCs/>
          <w:lang w:val="fr-FR"/>
        </w:rPr>
      </w:pPr>
      <w:r w:rsidRPr="005A058D">
        <w:rPr>
          <w:iCs/>
          <w:lang w:val="fr-FR"/>
        </w:rPr>
        <w:t>En octobre 2021, le GCNT a commencé à établir une nouvelle version révisée de la Recommandation UIT-T A.5, afin de tenir compte des nouvelles exigences émanant de la CE 15 de l</w:t>
      </w:r>
      <w:r w:rsidR="00E31B2B">
        <w:rPr>
          <w:iCs/>
          <w:lang w:val="fr-FR"/>
        </w:rPr>
        <w:t>'</w:t>
      </w:r>
      <w:r w:rsidRPr="005A058D">
        <w:rPr>
          <w:iCs/>
          <w:lang w:val="fr-FR"/>
        </w:rPr>
        <w:t>UIT-T et des éléments d</w:t>
      </w:r>
      <w:r w:rsidR="00E31B2B">
        <w:rPr>
          <w:iCs/>
          <w:lang w:val="fr-FR"/>
        </w:rPr>
        <w:t>'</w:t>
      </w:r>
      <w:r w:rsidRPr="005A058D">
        <w:rPr>
          <w:iCs/>
          <w:lang w:val="fr-FR"/>
        </w:rPr>
        <w:t>une contribution. Les résultats ont été soumis dans le cadre d</w:t>
      </w:r>
      <w:r w:rsidR="00E31B2B">
        <w:rPr>
          <w:iCs/>
          <w:lang w:val="fr-FR"/>
        </w:rPr>
        <w:t>'</w:t>
      </w:r>
      <w:r w:rsidRPr="005A058D">
        <w:rPr>
          <w:iCs/>
          <w:lang w:val="fr-FR"/>
        </w:rPr>
        <w:t>une proposition soumise à l</w:t>
      </w:r>
      <w:r w:rsidR="00E31B2B">
        <w:rPr>
          <w:iCs/>
          <w:lang w:val="fr-FR"/>
        </w:rPr>
        <w:t>'</w:t>
      </w:r>
      <w:r w:rsidRPr="005A058D">
        <w:rPr>
          <w:iCs/>
          <w:lang w:val="fr-FR"/>
        </w:rPr>
        <w:t>AMNT-20.</w:t>
      </w:r>
    </w:p>
    <w:p w14:paraId="095B5340" w14:textId="77777777" w:rsidR="000571E2" w:rsidRPr="005A058D" w:rsidRDefault="000571E2" w:rsidP="00E31B2B">
      <w:pPr>
        <w:tabs>
          <w:tab w:val="left" w:pos="570"/>
        </w:tabs>
        <w:rPr>
          <w:iCs/>
          <w:lang w:val="fr-FR"/>
        </w:rPr>
      </w:pPr>
      <w:r w:rsidRPr="005A058D">
        <w:rPr>
          <w:iCs/>
          <w:lang w:val="fr-FR"/>
        </w:rPr>
        <w:t>En outre, le GCNT a élaboré et approuvé un nouvel Appendice à la Recommandation UIT-T A.23 concernant les bonnes pratiques</w:t>
      </w:r>
      <w:r>
        <w:rPr>
          <w:iCs/>
          <w:lang w:val="fr-FR"/>
        </w:rPr>
        <w:t>.</w:t>
      </w:r>
    </w:p>
    <w:p w14:paraId="0F9573FA" w14:textId="36DB6943" w:rsidR="000571E2" w:rsidRPr="005A058D" w:rsidRDefault="000571E2" w:rsidP="00E31B2B">
      <w:pPr>
        <w:tabs>
          <w:tab w:val="left" w:pos="570"/>
        </w:tabs>
        <w:rPr>
          <w:iCs/>
          <w:lang w:val="fr-FR"/>
        </w:rPr>
      </w:pPr>
      <w:r w:rsidRPr="005A058D">
        <w:rPr>
          <w:iCs/>
          <w:lang w:val="fr-FR"/>
        </w:rPr>
        <w:t>Le GCNT a communiqué une liste à jour des mécanismes de collaboration à l</w:t>
      </w:r>
      <w:r w:rsidR="00E31B2B">
        <w:rPr>
          <w:iCs/>
          <w:lang w:val="fr-FR"/>
        </w:rPr>
        <w:t>'</w:t>
      </w:r>
      <w:r w:rsidRPr="005A058D">
        <w:rPr>
          <w:iCs/>
          <w:lang w:val="fr-FR"/>
        </w:rPr>
        <w:t xml:space="preserve">UIT-T avec toutes les </w:t>
      </w:r>
      <w:r>
        <w:rPr>
          <w:iCs/>
          <w:lang w:val="fr-FR"/>
        </w:rPr>
        <w:t>C</w:t>
      </w:r>
      <w:r w:rsidRPr="005A058D">
        <w:rPr>
          <w:iCs/>
          <w:lang w:val="fr-FR"/>
        </w:rPr>
        <w:t>ommissions d</w:t>
      </w:r>
      <w:r w:rsidR="00E31B2B">
        <w:rPr>
          <w:iCs/>
          <w:lang w:val="fr-FR"/>
        </w:rPr>
        <w:t>'</w:t>
      </w:r>
      <w:r w:rsidRPr="005A058D">
        <w:rPr>
          <w:iCs/>
          <w:lang w:val="fr-FR"/>
        </w:rPr>
        <w:t>études de l</w:t>
      </w:r>
      <w:r w:rsidR="00E31B2B">
        <w:rPr>
          <w:iCs/>
          <w:lang w:val="fr-FR"/>
        </w:rPr>
        <w:t>'</w:t>
      </w:r>
      <w:r w:rsidRPr="005A058D">
        <w:rPr>
          <w:iCs/>
          <w:lang w:val="fr-FR"/>
        </w:rPr>
        <w:t>UIT-T.</w:t>
      </w:r>
    </w:p>
    <w:p w14:paraId="738EFA5C" w14:textId="3C7A4D3B" w:rsidR="000571E2" w:rsidRPr="005A058D" w:rsidRDefault="000571E2" w:rsidP="00E31B2B">
      <w:pPr>
        <w:pStyle w:val="Heading4"/>
        <w:rPr>
          <w:lang w:val="fr-FR"/>
        </w:rPr>
      </w:pPr>
      <w:r w:rsidRPr="005A058D">
        <w:rPr>
          <w:lang w:val="fr-FR"/>
        </w:rPr>
        <w:t>3.2.3.1</w:t>
      </w:r>
      <w:r w:rsidRPr="005A058D">
        <w:rPr>
          <w:lang w:val="fr-FR"/>
        </w:rPr>
        <w:tab/>
        <w:t>Coordination intersectorielle à l</w:t>
      </w:r>
      <w:r w:rsidR="00E31B2B">
        <w:rPr>
          <w:lang w:val="fr-FR"/>
        </w:rPr>
        <w:t>'</w:t>
      </w:r>
      <w:r w:rsidRPr="005A058D">
        <w:rPr>
          <w:lang w:val="fr-FR"/>
        </w:rPr>
        <w:t>UIT</w:t>
      </w:r>
    </w:p>
    <w:p w14:paraId="4F2792A2" w14:textId="6B6A1D91" w:rsidR="000571E2" w:rsidRPr="005A058D" w:rsidRDefault="000571E2" w:rsidP="00E31B2B">
      <w:pPr>
        <w:tabs>
          <w:tab w:val="left" w:pos="675"/>
          <w:tab w:val="left" w:pos="1526"/>
          <w:tab w:val="left" w:pos="4928"/>
          <w:tab w:val="left" w:pos="5920"/>
        </w:tabs>
        <w:rPr>
          <w:bCs/>
          <w:lang w:val="fr-FR"/>
        </w:rPr>
      </w:pPr>
      <w:r w:rsidRPr="005A058D">
        <w:rPr>
          <w:lang w:val="fr-FR"/>
        </w:rPr>
        <w:t xml:space="preserve">Conformément à la Résolution 191 de la </w:t>
      </w:r>
      <w:r w:rsidRPr="005A058D">
        <w:rPr>
          <w:szCs w:val="24"/>
          <w:lang w:val="fr-FR"/>
        </w:rPr>
        <w:t>Conférence de plénipote</w:t>
      </w:r>
      <w:r w:rsidR="008154FC">
        <w:rPr>
          <w:szCs w:val="24"/>
          <w:lang w:val="fr-FR"/>
        </w:rPr>
        <w:t>ntiaires, le GCNT, le GCR et le </w:t>
      </w:r>
      <w:r w:rsidRPr="005A058D">
        <w:rPr>
          <w:szCs w:val="24"/>
          <w:lang w:val="fr-FR"/>
        </w:rPr>
        <w:t>GCDT ont poursuivi l</w:t>
      </w:r>
      <w:r w:rsidR="00E31B2B">
        <w:rPr>
          <w:szCs w:val="24"/>
          <w:lang w:val="fr-FR"/>
        </w:rPr>
        <w:t>'</w:t>
      </w:r>
      <w:r w:rsidRPr="005A058D">
        <w:rPr>
          <w:szCs w:val="24"/>
          <w:lang w:val="fr-FR"/>
        </w:rPr>
        <w:t>examen des activités actuelles et nouvelles et de leur répartition entre l</w:t>
      </w:r>
      <w:r w:rsidR="00E31B2B">
        <w:rPr>
          <w:szCs w:val="24"/>
          <w:lang w:val="fr-FR"/>
        </w:rPr>
        <w:t>'</w:t>
      </w:r>
      <w:r w:rsidRPr="005A058D">
        <w:rPr>
          <w:szCs w:val="24"/>
          <w:lang w:val="fr-FR"/>
        </w:rPr>
        <w:t>UIT</w:t>
      </w:r>
      <w:r>
        <w:rPr>
          <w:szCs w:val="24"/>
          <w:lang w:val="fr-FR"/>
        </w:rPr>
        <w:noBreakHyphen/>
      </w:r>
      <w:r w:rsidRPr="005A058D">
        <w:rPr>
          <w:szCs w:val="24"/>
          <w:lang w:val="fr-FR"/>
        </w:rPr>
        <w:t>R, l</w:t>
      </w:r>
      <w:r w:rsidR="00E31B2B">
        <w:rPr>
          <w:szCs w:val="24"/>
          <w:lang w:val="fr-FR"/>
        </w:rPr>
        <w:t>'</w:t>
      </w:r>
      <w:r w:rsidRPr="005A058D">
        <w:rPr>
          <w:szCs w:val="24"/>
          <w:lang w:val="fr-FR"/>
        </w:rPr>
        <w:t>UIT-T et l</w:t>
      </w:r>
      <w:r w:rsidR="00E31B2B">
        <w:rPr>
          <w:szCs w:val="24"/>
          <w:lang w:val="fr-FR"/>
        </w:rPr>
        <w:t>'</w:t>
      </w:r>
      <w:r w:rsidRPr="005A058D">
        <w:rPr>
          <w:szCs w:val="24"/>
          <w:lang w:val="fr-FR"/>
        </w:rPr>
        <w:t>UIT-D.</w:t>
      </w:r>
      <w:r w:rsidRPr="005A058D">
        <w:rPr>
          <w:lang w:val="fr-FR"/>
        </w:rPr>
        <w:t xml:space="preserve"> Par l</w:t>
      </w:r>
      <w:r w:rsidR="00E31B2B">
        <w:rPr>
          <w:lang w:val="fr-FR"/>
        </w:rPr>
        <w:t>'</w:t>
      </w:r>
      <w:r w:rsidRPr="005A058D">
        <w:rPr>
          <w:lang w:val="fr-FR"/>
        </w:rPr>
        <w:t>intermédiaire du GCNT, le Groupe entretient une relation étroite avec le GCR et le GCDT, afin de créer des synergies et de renforcer ainsi la coordination et la coopération entre les trois Secteurs de l</w:t>
      </w:r>
      <w:r w:rsidR="00E31B2B">
        <w:rPr>
          <w:lang w:val="fr-FR"/>
        </w:rPr>
        <w:t>'</w:t>
      </w:r>
      <w:r w:rsidRPr="005A058D">
        <w:rPr>
          <w:lang w:val="fr-FR"/>
        </w:rPr>
        <w:t>UIT sur des questions d</w:t>
      </w:r>
      <w:r w:rsidR="00E31B2B">
        <w:rPr>
          <w:lang w:val="fr-FR"/>
        </w:rPr>
        <w:t>'</w:t>
      </w:r>
      <w:r w:rsidRPr="005A058D">
        <w:rPr>
          <w:lang w:val="fr-FR"/>
        </w:rPr>
        <w:t>intérêt mutuel.</w:t>
      </w:r>
      <w:r w:rsidRPr="005A058D">
        <w:rPr>
          <w:bCs/>
          <w:lang w:val="fr-FR"/>
        </w:rPr>
        <w:t xml:space="preserve"> Le Groupe spécial de coordination intersectorielle du Secrétariat général et le Groupe de coordination intersectorielle sur les questions d</w:t>
      </w:r>
      <w:r w:rsidR="00E31B2B">
        <w:rPr>
          <w:bCs/>
          <w:lang w:val="fr-FR"/>
        </w:rPr>
        <w:t>'</w:t>
      </w:r>
      <w:r w:rsidRPr="005A058D">
        <w:rPr>
          <w:bCs/>
          <w:lang w:val="fr-FR"/>
        </w:rPr>
        <w:t>intérêt mutuel (ISCG) ont soumis leurs rapports au GCNT à chacune de ses réunions.</w:t>
      </w:r>
    </w:p>
    <w:p w14:paraId="3C312A64" w14:textId="49F6BF3C" w:rsidR="000571E2" w:rsidRPr="005A058D" w:rsidRDefault="000571E2" w:rsidP="00E31B2B">
      <w:pPr>
        <w:tabs>
          <w:tab w:val="left" w:pos="675"/>
          <w:tab w:val="left" w:pos="1526"/>
          <w:tab w:val="left" w:pos="4928"/>
          <w:tab w:val="left" w:pos="5920"/>
        </w:tabs>
        <w:rPr>
          <w:bCs/>
          <w:lang w:val="fr-FR"/>
        </w:rPr>
      </w:pPr>
      <w:bookmarkStart w:id="28" w:name="_Hlk51305442"/>
      <w:r w:rsidRPr="005A058D">
        <w:rPr>
          <w:bCs/>
          <w:lang w:val="fr-FR"/>
        </w:rPr>
        <w:t>Les représentants désignés du GCNT auprès du Groupe ISCG sont M. Vladimir Minkin et M. Matano Ndaro (Vice-Présidents du GCNT). Des consultations sont en cours afin de confirmer les candidatures proposées et les personnes désignées du GCNT pour la coordination à l</w:t>
      </w:r>
      <w:r w:rsidR="00E31B2B">
        <w:rPr>
          <w:bCs/>
          <w:lang w:val="fr-FR"/>
        </w:rPr>
        <w:t>'</w:t>
      </w:r>
      <w:r w:rsidRPr="005A058D">
        <w:rPr>
          <w:bCs/>
          <w:lang w:val="fr-FR"/>
        </w:rPr>
        <w:t>échelle de l</w:t>
      </w:r>
      <w:r w:rsidR="00E31B2B">
        <w:rPr>
          <w:bCs/>
          <w:lang w:val="fr-FR"/>
        </w:rPr>
        <w:t>'</w:t>
      </w:r>
      <w:r w:rsidRPr="005A058D">
        <w:rPr>
          <w:bCs/>
          <w:lang w:val="fr-FR"/>
        </w:rPr>
        <w:t>UIT en ce qui concerne les questions hautement prioritaires que sont les changements climatiques et l</w:t>
      </w:r>
      <w:r w:rsidR="00E31B2B">
        <w:rPr>
          <w:bCs/>
          <w:lang w:val="fr-FR"/>
        </w:rPr>
        <w:t>'</w:t>
      </w:r>
      <w:r w:rsidRPr="005A058D">
        <w:rPr>
          <w:bCs/>
          <w:lang w:val="fr-FR"/>
        </w:rPr>
        <w:t>accessibilité. Le Groupe RG-SC du GCNT a examiné la situation actuelle des activités de coordination entre les trois Secteurs de l</w:t>
      </w:r>
      <w:r w:rsidR="00E31B2B">
        <w:rPr>
          <w:bCs/>
          <w:lang w:val="fr-FR"/>
        </w:rPr>
        <w:t>'</w:t>
      </w:r>
      <w:r w:rsidRPr="005A058D">
        <w:rPr>
          <w:bCs/>
          <w:lang w:val="fr-FR"/>
        </w:rPr>
        <w:t xml:space="preserve">UIT – ou entre deux Secteurs – sur </w:t>
      </w:r>
      <w:r w:rsidRPr="005A058D">
        <w:rPr>
          <w:color w:val="000000"/>
          <w:lang w:val="fr-FR"/>
        </w:rPr>
        <w:t xml:space="preserve">les sujets communs </w:t>
      </w:r>
      <w:r w:rsidRPr="005A058D">
        <w:rPr>
          <w:bCs/>
          <w:lang w:val="fr-FR"/>
        </w:rPr>
        <w:t>à l</w:t>
      </w:r>
      <w:r w:rsidR="00E31B2B">
        <w:rPr>
          <w:bCs/>
          <w:lang w:val="fr-FR"/>
        </w:rPr>
        <w:t>'</w:t>
      </w:r>
      <w:r w:rsidRPr="005A058D">
        <w:rPr>
          <w:bCs/>
          <w:lang w:val="fr-FR"/>
        </w:rPr>
        <w:t>UIT-T d</w:t>
      </w:r>
      <w:r w:rsidR="00E31B2B">
        <w:rPr>
          <w:bCs/>
          <w:lang w:val="fr-FR"/>
        </w:rPr>
        <w:t>'</w:t>
      </w:r>
      <w:r w:rsidRPr="005A058D">
        <w:rPr>
          <w:bCs/>
          <w:lang w:val="fr-FR"/>
        </w:rPr>
        <w:t>une part, et à l</w:t>
      </w:r>
      <w:r w:rsidR="00E31B2B">
        <w:rPr>
          <w:bCs/>
          <w:lang w:val="fr-FR"/>
        </w:rPr>
        <w:t>'</w:t>
      </w:r>
      <w:r w:rsidRPr="005A058D">
        <w:rPr>
          <w:bCs/>
          <w:lang w:val="fr-FR"/>
        </w:rPr>
        <w:t>UIT-R ou l</w:t>
      </w:r>
      <w:r w:rsidR="00E31B2B">
        <w:rPr>
          <w:bCs/>
          <w:lang w:val="fr-FR"/>
        </w:rPr>
        <w:t>'</w:t>
      </w:r>
      <w:r w:rsidRPr="005A058D">
        <w:rPr>
          <w:bCs/>
          <w:lang w:val="fr-FR"/>
        </w:rPr>
        <w:t>UIT-D d</w:t>
      </w:r>
      <w:r w:rsidR="00E31B2B">
        <w:rPr>
          <w:bCs/>
          <w:lang w:val="fr-FR"/>
        </w:rPr>
        <w:t>'</w:t>
      </w:r>
      <w:r w:rsidRPr="005A058D">
        <w:rPr>
          <w:bCs/>
          <w:lang w:val="fr-FR"/>
        </w:rPr>
        <w:t>autre part, et le GCNT a continué d</w:t>
      </w:r>
      <w:r w:rsidR="00E31B2B">
        <w:rPr>
          <w:bCs/>
          <w:lang w:val="fr-FR"/>
        </w:rPr>
        <w:t>'</w:t>
      </w:r>
      <w:r w:rsidRPr="005A058D">
        <w:rPr>
          <w:bCs/>
          <w:lang w:val="fr-FR"/>
        </w:rPr>
        <w:t>actualiser et de communiquer les tableaux de correspondance des domaines d</w:t>
      </w:r>
      <w:r w:rsidR="00E31B2B">
        <w:rPr>
          <w:bCs/>
          <w:lang w:val="fr-FR"/>
        </w:rPr>
        <w:t>'</w:t>
      </w:r>
      <w:r w:rsidRPr="005A058D">
        <w:rPr>
          <w:bCs/>
          <w:lang w:val="fr-FR"/>
        </w:rPr>
        <w:t>étude communs aux Commissions d</w:t>
      </w:r>
      <w:r w:rsidR="00E31B2B">
        <w:rPr>
          <w:bCs/>
          <w:lang w:val="fr-FR"/>
        </w:rPr>
        <w:t>'</w:t>
      </w:r>
      <w:r w:rsidRPr="005A058D">
        <w:rPr>
          <w:bCs/>
          <w:lang w:val="fr-FR"/>
        </w:rPr>
        <w:t>études de l</w:t>
      </w:r>
      <w:r w:rsidR="00E31B2B">
        <w:rPr>
          <w:bCs/>
          <w:lang w:val="fr-FR"/>
        </w:rPr>
        <w:t>'</w:t>
      </w:r>
      <w:r w:rsidRPr="005A058D">
        <w:rPr>
          <w:bCs/>
          <w:lang w:val="fr-FR"/>
        </w:rPr>
        <w:t>UIT-D et de l</w:t>
      </w:r>
      <w:r w:rsidR="00E31B2B">
        <w:rPr>
          <w:bCs/>
          <w:lang w:val="fr-FR"/>
        </w:rPr>
        <w:t>'</w:t>
      </w:r>
      <w:r w:rsidRPr="005A058D">
        <w:rPr>
          <w:bCs/>
          <w:lang w:val="fr-FR"/>
        </w:rPr>
        <w:t>UIT-T ainsi qu</w:t>
      </w:r>
      <w:r w:rsidR="00E31B2B">
        <w:rPr>
          <w:bCs/>
          <w:lang w:val="fr-FR"/>
        </w:rPr>
        <w:t>'</w:t>
      </w:r>
      <w:r w:rsidRPr="005A058D">
        <w:rPr>
          <w:bCs/>
          <w:lang w:val="fr-FR"/>
        </w:rPr>
        <w:t xml:space="preserve">aux </w:t>
      </w:r>
      <w:r>
        <w:rPr>
          <w:bCs/>
          <w:lang w:val="fr-FR"/>
        </w:rPr>
        <w:t>C</w:t>
      </w:r>
      <w:r w:rsidRPr="005A058D">
        <w:rPr>
          <w:bCs/>
          <w:lang w:val="fr-FR"/>
        </w:rPr>
        <w:t>ommissions d</w:t>
      </w:r>
      <w:r w:rsidR="00E31B2B">
        <w:rPr>
          <w:bCs/>
          <w:lang w:val="fr-FR"/>
        </w:rPr>
        <w:t>'</w:t>
      </w:r>
      <w:r w:rsidRPr="005A058D">
        <w:rPr>
          <w:bCs/>
          <w:lang w:val="fr-FR"/>
        </w:rPr>
        <w:t>études de l</w:t>
      </w:r>
      <w:r w:rsidR="00E31B2B">
        <w:rPr>
          <w:bCs/>
          <w:lang w:val="fr-FR"/>
        </w:rPr>
        <w:t>'</w:t>
      </w:r>
      <w:r w:rsidRPr="005A058D">
        <w:rPr>
          <w:bCs/>
          <w:lang w:val="fr-FR"/>
        </w:rPr>
        <w:t>UIT-R et de l</w:t>
      </w:r>
      <w:r w:rsidR="00E31B2B">
        <w:rPr>
          <w:bCs/>
          <w:lang w:val="fr-FR"/>
        </w:rPr>
        <w:t>'</w:t>
      </w:r>
      <w:r w:rsidRPr="005A058D">
        <w:rPr>
          <w:bCs/>
          <w:lang w:val="fr-FR"/>
        </w:rPr>
        <w:t>UIT-T et les a transmis au GCR, au GCDT, à l</w:t>
      </w:r>
      <w:r w:rsidR="00E31B2B">
        <w:rPr>
          <w:bCs/>
          <w:lang w:val="fr-FR"/>
        </w:rPr>
        <w:t>'</w:t>
      </w:r>
      <w:r w:rsidRPr="005A058D">
        <w:rPr>
          <w:bCs/>
          <w:lang w:val="fr-FR"/>
        </w:rPr>
        <w:t>ISCG ainsi qu</w:t>
      </w:r>
      <w:r w:rsidR="00E31B2B">
        <w:rPr>
          <w:bCs/>
          <w:lang w:val="fr-FR"/>
        </w:rPr>
        <w:t>'</w:t>
      </w:r>
      <w:r w:rsidRPr="005A058D">
        <w:rPr>
          <w:bCs/>
          <w:lang w:val="fr-FR"/>
        </w:rPr>
        <w:t>aux Commissions d</w:t>
      </w:r>
      <w:r w:rsidR="00E31B2B">
        <w:rPr>
          <w:bCs/>
          <w:lang w:val="fr-FR"/>
        </w:rPr>
        <w:t>'</w:t>
      </w:r>
      <w:r w:rsidRPr="005A058D">
        <w:rPr>
          <w:bCs/>
          <w:lang w:val="fr-FR"/>
        </w:rPr>
        <w:t>études de l</w:t>
      </w:r>
      <w:r w:rsidR="00E31B2B">
        <w:rPr>
          <w:bCs/>
          <w:lang w:val="fr-FR"/>
        </w:rPr>
        <w:t>'</w:t>
      </w:r>
      <w:r w:rsidRPr="005A058D">
        <w:rPr>
          <w:bCs/>
          <w:lang w:val="fr-FR"/>
        </w:rPr>
        <w:t>UIT-T. Les activités de coordination ont permis de mettre en évidence les domaines d</w:t>
      </w:r>
      <w:r w:rsidR="00E31B2B">
        <w:rPr>
          <w:bCs/>
          <w:lang w:val="fr-FR"/>
        </w:rPr>
        <w:t>'</w:t>
      </w:r>
      <w:r w:rsidRPr="005A058D">
        <w:rPr>
          <w:bCs/>
          <w:lang w:val="fr-FR"/>
        </w:rPr>
        <w:t>intérêt commun et contribué à réduire ou à éviter les chevauchements et la redondance des travaux entre les Secteurs.</w:t>
      </w:r>
    </w:p>
    <w:bookmarkEnd w:id="28"/>
    <w:p w14:paraId="45341A7D" w14:textId="77777777" w:rsidR="000571E2" w:rsidRPr="005A058D" w:rsidRDefault="000571E2" w:rsidP="00E31B2B">
      <w:pPr>
        <w:pStyle w:val="Heading4"/>
        <w:rPr>
          <w:lang w:val="fr-FR"/>
        </w:rPr>
      </w:pPr>
      <w:r w:rsidRPr="005A058D">
        <w:rPr>
          <w:lang w:val="fr-FR"/>
        </w:rPr>
        <w:lastRenderedPageBreak/>
        <w:t>3.2.3.2</w:t>
      </w:r>
      <w:r w:rsidRPr="005A058D">
        <w:rPr>
          <w:lang w:val="fr-FR"/>
        </w:rPr>
        <w:tab/>
        <w:t>Coopération en matière de normalisation mondiale (WSC)</w:t>
      </w:r>
    </w:p>
    <w:p w14:paraId="7AE91748" w14:textId="087CAB0C" w:rsidR="000571E2" w:rsidRPr="005A058D" w:rsidRDefault="000571E2" w:rsidP="00E31B2B">
      <w:pPr>
        <w:rPr>
          <w:lang w:val="fr-FR"/>
        </w:rPr>
      </w:pPr>
      <w:r w:rsidRPr="005A058D">
        <w:rPr>
          <w:lang w:val="fr-FR"/>
        </w:rPr>
        <w:t>Le Groupe RG-SC du GCNT a été saisi des rapports de</w:t>
      </w:r>
      <w:r w:rsidR="008154FC">
        <w:rPr>
          <w:lang w:val="fr-FR"/>
        </w:rPr>
        <w:t>s 16ème, 17ème, 18ème, 19ème et </w:t>
      </w:r>
      <w:r w:rsidRPr="005A058D">
        <w:rPr>
          <w:lang w:val="fr-FR"/>
        </w:rPr>
        <w:t>20</w:t>
      </w:r>
      <w:r w:rsidRPr="00D73016">
        <w:rPr>
          <w:lang w:val="fr-FR"/>
        </w:rPr>
        <w:t>ème</w:t>
      </w:r>
      <w:r>
        <w:rPr>
          <w:lang w:val="fr-FR"/>
        </w:rPr>
        <w:t> </w:t>
      </w:r>
      <w:r w:rsidRPr="005A058D">
        <w:rPr>
          <w:lang w:val="fr-FR"/>
        </w:rPr>
        <w:t>réunions annuelles de la WSC entre l</w:t>
      </w:r>
      <w:r w:rsidR="00E31B2B">
        <w:rPr>
          <w:lang w:val="fr-FR"/>
        </w:rPr>
        <w:t>'</w:t>
      </w:r>
      <w:r w:rsidRPr="005A058D">
        <w:rPr>
          <w:lang w:val="fr-FR"/>
        </w:rPr>
        <w:t>ISO et la CEI à l</w:t>
      </w:r>
      <w:r w:rsidR="00E31B2B">
        <w:rPr>
          <w:lang w:val="fr-FR"/>
        </w:rPr>
        <w:t>'</w:t>
      </w:r>
      <w:r w:rsidRPr="005A058D">
        <w:rPr>
          <w:lang w:val="fr-FR"/>
        </w:rPr>
        <w:t>intention de l</w:t>
      </w:r>
      <w:r w:rsidR="00E31B2B">
        <w:rPr>
          <w:lang w:val="fr-FR"/>
        </w:rPr>
        <w:t>'</w:t>
      </w:r>
      <w:r w:rsidRPr="005A058D">
        <w:rPr>
          <w:lang w:val="fr-FR"/>
        </w:rPr>
        <w:t>UIT-T. Ces réunions de la WSC se sont révélées utiles pour une coordination de haut niveau entre l</w:t>
      </w:r>
      <w:r w:rsidR="00E31B2B">
        <w:rPr>
          <w:lang w:val="fr-FR"/>
        </w:rPr>
        <w:t>'</w:t>
      </w:r>
      <w:r w:rsidRPr="005A058D">
        <w:rPr>
          <w:lang w:val="fr-FR"/>
        </w:rPr>
        <w:t>UIT, l</w:t>
      </w:r>
      <w:r w:rsidR="00E31B2B">
        <w:rPr>
          <w:lang w:val="fr-FR"/>
        </w:rPr>
        <w:t>'</w:t>
      </w:r>
      <w:r w:rsidRPr="005A058D">
        <w:rPr>
          <w:lang w:val="fr-FR"/>
        </w:rPr>
        <w:t>ISO et la CEI.</w:t>
      </w:r>
    </w:p>
    <w:p w14:paraId="5B2F183F" w14:textId="77777777" w:rsidR="000571E2" w:rsidRPr="005A058D" w:rsidRDefault="000571E2" w:rsidP="00E31B2B">
      <w:pPr>
        <w:rPr>
          <w:lang w:val="fr-FR"/>
        </w:rPr>
      </w:pPr>
      <w:r w:rsidRPr="005A058D">
        <w:rPr>
          <w:lang w:val="fr-FR"/>
        </w:rPr>
        <w:t>Le GCNT a approuvé le mandat révisé de la WSC.</w:t>
      </w:r>
    </w:p>
    <w:p w14:paraId="38C202BA" w14:textId="5FB4262E" w:rsidR="000571E2" w:rsidRPr="005A058D" w:rsidRDefault="000571E2" w:rsidP="00E31B2B">
      <w:pPr>
        <w:pStyle w:val="Heading4"/>
        <w:rPr>
          <w:lang w:val="fr-FR"/>
        </w:rPr>
      </w:pPr>
      <w:r w:rsidRPr="005A058D">
        <w:rPr>
          <w:lang w:val="fr-FR"/>
        </w:rPr>
        <w:t>3.2.3.3</w:t>
      </w:r>
      <w:r w:rsidRPr="005A058D">
        <w:rPr>
          <w:lang w:val="fr-FR"/>
        </w:rPr>
        <w:tab/>
        <w:t>JTC 1 de l</w:t>
      </w:r>
      <w:r w:rsidR="00E31B2B">
        <w:rPr>
          <w:lang w:val="fr-FR"/>
        </w:rPr>
        <w:t>'</w:t>
      </w:r>
      <w:r w:rsidRPr="005A058D">
        <w:rPr>
          <w:lang w:val="fr-FR"/>
        </w:rPr>
        <w:t>ISO/CEI</w:t>
      </w:r>
    </w:p>
    <w:p w14:paraId="05EF6B3F" w14:textId="25BF7B37" w:rsidR="000571E2" w:rsidRPr="005A058D" w:rsidRDefault="000571E2" w:rsidP="00E31B2B">
      <w:pPr>
        <w:rPr>
          <w:lang w:val="fr-FR"/>
        </w:rPr>
      </w:pPr>
      <w:r w:rsidRPr="005A058D">
        <w:rPr>
          <w:lang w:val="fr-FR"/>
        </w:rPr>
        <w:t xml:space="preserve">M. Shigeru Miyake (Hitachi, Japon) </w:t>
      </w:r>
      <w:r w:rsidRPr="005A058D">
        <w:rPr>
          <w:color w:val="000000"/>
          <w:lang w:val="fr-FR"/>
        </w:rPr>
        <w:t xml:space="preserve">exerce la fonction de </w:t>
      </w:r>
      <w:r w:rsidRPr="005A058D">
        <w:rPr>
          <w:lang w:val="fr-FR"/>
        </w:rPr>
        <w:t>chargé de liaison auprès de l</w:t>
      </w:r>
      <w:r w:rsidR="00E31B2B">
        <w:rPr>
          <w:lang w:val="fr-FR"/>
        </w:rPr>
        <w:t>'</w:t>
      </w:r>
      <w:r w:rsidRPr="005A058D">
        <w:rPr>
          <w:lang w:val="fr-FR"/>
        </w:rPr>
        <w:t>ISO/CEI JTC 1 depuis 2018, M. Olivier Dubuisson n</w:t>
      </w:r>
      <w:r w:rsidR="00E31B2B">
        <w:rPr>
          <w:lang w:val="fr-FR"/>
        </w:rPr>
        <w:t>'</w:t>
      </w:r>
      <w:r w:rsidRPr="005A058D">
        <w:rPr>
          <w:lang w:val="fr-FR"/>
        </w:rPr>
        <w:t>étant pas en mesure de continuer d</w:t>
      </w:r>
      <w:r w:rsidR="00E31B2B">
        <w:rPr>
          <w:lang w:val="fr-FR"/>
        </w:rPr>
        <w:t>'</w:t>
      </w:r>
      <w:r w:rsidRPr="005A058D">
        <w:rPr>
          <w:lang w:val="fr-FR"/>
        </w:rPr>
        <w:t>exercer cette fonction. M. Heng Qian est chargé de liaison de l</w:t>
      </w:r>
      <w:r w:rsidR="00E31B2B">
        <w:rPr>
          <w:lang w:val="fr-FR"/>
        </w:rPr>
        <w:t>'</w:t>
      </w:r>
      <w:r w:rsidRPr="005A058D">
        <w:rPr>
          <w:lang w:val="fr-FR"/>
        </w:rPr>
        <w:t>ISO/CEI JTC 1 auprès de l</w:t>
      </w:r>
      <w:r w:rsidR="00E31B2B">
        <w:rPr>
          <w:lang w:val="fr-FR"/>
        </w:rPr>
        <w:t>'</w:t>
      </w:r>
      <w:r w:rsidRPr="005A058D">
        <w:rPr>
          <w:lang w:val="fr-FR"/>
        </w:rPr>
        <w:t xml:space="preserve">UIT-T. </w:t>
      </w:r>
    </w:p>
    <w:p w14:paraId="4CF202EA" w14:textId="01CEF5C2" w:rsidR="000571E2" w:rsidRPr="005A058D" w:rsidRDefault="000571E2" w:rsidP="00E31B2B">
      <w:pPr>
        <w:rPr>
          <w:lang w:val="fr-FR"/>
        </w:rPr>
      </w:pPr>
      <w:r w:rsidRPr="005A058D">
        <w:rPr>
          <w:lang w:val="fr-FR"/>
        </w:rPr>
        <w:t>Le Groupe RG-SC du GCNT, qui était saisi des rapports des séances plénières de l</w:t>
      </w:r>
      <w:r w:rsidR="00E31B2B">
        <w:rPr>
          <w:lang w:val="fr-FR"/>
        </w:rPr>
        <w:t>'</w:t>
      </w:r>
      <w:r w:rsidRPr="005A058D">
        <w:rPr>
          <w:lang w:val="fr-FR"/>
        </w:rPr>
        <w:t>ISO/CEI JTC 1 par l</w:t>
      </w:r>
      <w:r w:rsidR="00E31B2B">
        <w:rPr>
          <w:lang w:val="fr-FR"/>
        </w:rPr>
        <w:t>'</w:t>
      </w:r>
      <w:r w:rsidRPr="005A058D">
        <w:rPr>
          <w:lang w:val="fr-FR"/>
        </w:rPr>
        <w:t>intermédiaire de M. Miyake, a examiné les incidences éventuelles pour l</w:t>
      </w:r>
      <w:r w:rsidR="00E31B2B">
        <w:rPr>
          <w:lang w:val="fr-FR"/>
        </w:rPr>
        <w:t>'</w:t>
      </w:r>
      <w:r w:rsidRPr="005A058D">
        <w:rPr>
          <w:lang w:val="fr-FR"/>
        </w:rPr>
        <w:t xml:space="preserve">UIT-T et donné des avis au GCNT, aux </w:t>
      </w:r>
      <w:r>
        <w:rPr>
          <w:lang w:val="fr-FR"/>
        </w:rPr>
        <w:t>C</w:t>
      </w:r>
      <w:r w:rsidRPr="005A058D">
        <w:rPr>
          <w:lang w:val="fr-FR"/>
        </w:rPr>
        <w:t>ommissions d</w:t>
      </w:r>
      <w:r w:rsidR="00E31B2B">
        <w:rPr>
          <w:lang w:val="fr-FR"/>
        </w:rPr>
        <w:t>'</w:t>
      </w:r>
      <w:r w:rsidRPr="005A058D">
        <w:rPr>
          <w:lang w:val="fr-FR"/>
        </w:rPr>
        <w:t>études de l</w:t>
      </w:r>
      <w:r w:rsidR="00E31B2B">
        <w:rPr>
          <w:lang w:val="fr-FR"/>
        </w:rPr>
        <w:t>'</w:t>
      </w:r>
      <w:r w:rsidRPr="005A058D">
        <w:rPr>
          <w:lang w:val="fr-FR"/>
        </w:rPr>
        <w:t>UIT-T ainsi qu</w:t>
      </w:r>
      <w:r w:rsidR="00E31B2B">
        <w:rPr>
          <w:lang w:val="fr-FR"/>
        </w:rPr>
        <w:t>'</w:t>
      </w:r>
      <w:r w:rsidRPr="005A058D">
        <w:rPr>
          <w:lang w:val="fr-FR"/>
        </w:rPr>
        <w:t>à d</w:t>
      </w:r>
      <w:r w:rsidR="00E31B2B">
        <w:rPr>
          <w:lang w:val="fr-FR"/>
        </w:rPr>
        <w:t>'</w:t>
      </w:r>
      <w:r w:rsidRPr="005A058D">
        <w:rPr>
          <w:lang w:val="fr-FR"/>
        </w:rPr>
        <w:t>autres groupes de l</w:t>
      </w:r>
      <w:r w:rsidR="00E31B2B">
        <w:rPr>
          <w:lang w:val="fr-FR"/>
        </w:rPr>
        <w:t>'</w:t>
      </w:r>
      <w:r w:rsidRPr="005A058D">
        <w:rPr>
          <w:lang w:val="fr-FR"/>
        </w:rPr>
        <w:t>UIT-T. Des activités de liaison ont été menées entre le GCNT et l</w:t>
      </w:r>
      <w:r w:rsidR="00E31B2B">
        <w:rPr>
          <w:lang w:val="fr-FR"/>
        </w:rPr>
        <w:t>'</w:t>
      </w:r>
      <w:r w:rsidRPr="005A058D">
        <w:rPr>
          <w:lang w:val="fr-FR"/>
        </w:rPr>
        <w:t>ISO/CEI JTC 1.</w:t>
      </w:r>
    </w:p>
    <w:p w14:paraId="7B66993B" w14:textId="612C33EB" w:rsidR="000571E2" w:rsidRPr="005A058D" w:rsidRDefault="000571E2" w:rsidP="00E31B2B">
      <w:pPr>
        <w:rPr>
          <w:lang w:val="fr-FR"/>
        </w:rPr>
      </w:pPr>
      <w:r w:rsidRPr="005A058D">
        <w:rPr>
          <w:lang w:val="fr-FR"/>
        </w:rPr>
        <w:t>Des consultations et des échanges d</w:t>
      </w:r>
      <w:r w:rsidR="00E31B2B">
        <w:rPr>
          <w:lang w:val="fr-FR"/>
        </w:rPr>
        <w:t>'</w:t>
      </w:r>
      <w:r w:rsidRPr="005A058D">
        <w:rPr>
          <w:lang w:val="fr-FR"/>
        </w:rPr>
        <w:t>informations ont eu lieu avec les membres du Groupe SPCG et le secrétariat de l</w:t>
      </w:r>
      <w:r w:rsidR="00E31B2B">
        <w:rPr>
          <w:lang w:val="fr-FR"/>
        </w:rPr>
        <w:t>'</w:t>
      </w:r>
      <w:r w:rsidRPr="005A058D">
        <w:rPr>
          <w:lang w:val="fr-FR"/>
        </w:rPr>
        <w:t>ISO/CEI JTC 1 à propos du projet de nouveau sujet d</w:t>
      </w:r>
      <w:r w:rsidR="00E31B2B">
        <w:rPr>
          <w:lang w:val="fr-FR"/>
        </w:rPr>
        <w:t>'</w:t>
      </w:r>
      <w:r w:rsidRPr="005A058D">
        <w:rPr>
          <w:lang w:val="fr-FR"/>
        </w:rPr>
        <w:t xml:space="preserve">étude sur un nouvel </w:t>
      </w:r>
      <w:r w:rsidRPr="005A058D">
        <w:rPr>
          <w:iCs/>
          <w:lang w:val="fr-FR"/>
        </w:rPr>
        <w:t>Appendice à la Recommandation UIT-T A.23 concernant les bonnes pratiques. Le GCNT a informé l</w:t>
      </w:r>
      <w:r w:rsidR="00E31B2B">
        <w:rPr>
          <w:iCs/>
          <w:lang w:val="fr-FR"/>
        </w:rPr>
        <w:t>'</w:t>
      </w:r>
      <w:r w:rsidRPr="005A058D">
        <w:rPr>
          <w:iCs/>
          <w:lang w:val="fr-FR"/>
        </w:rPr>
        <w:t xml:space="preserve">ISO/CEI JTC 1 (Document </w:t>
      </w:r>
      <w:hyperlink r:id="rId63" w:history="1">
        <w:r w:rsidRPr="005A058D">
          <w:rPr>
            <w:rStyle w:val="Hyperlink"/>
            <w:lang w:val="fr-FR"/>
          </w:rPr>
          <w:t>TSAG-LS48</w:t>
        </w:r>
      </w:hyperlink>
      <w:r w:rsidRPr="005A058D">
        <w:rPr>
          <w:lang w:val="fr-FR"/>
        </w:rPr>
        <w:t xml:space="preserve">) </w:t>
      </w:r>
      <w:r w:rsidRPr="005A058D">
        <w:rPr>
          <w:iCs/>
          <w:lang w:val="fr-FR"/>
        </w:rPr>
        <w:t>de l</w:t>
      </w:r>
      <w:r w:rsidR="00E31B2B">
        <w:rPr>
          <w:iCs/>
          <w:lang w:val="fr-FR"/>
        </w:rPr>
        <w:t>'</w:t>
      </w:r>
      <w:r w:rsidRPr="005A058D">
        <w:rPr>
          <w:iCs/>
          <w:lang w:val="fr-FR"/>
        </w:rPr>
        <w:t>approbation de l</w:t>
      </w:r>
      <w:r w:rsidR="00E31B2B">
        <w:rPr>
          <w:iCs/>
          <w:lang w:val="fr-FR"/>
        </w:rPr>
        <w:t>'</w:t>
      </w:r>
      <w:r w:rsidRPr="005A058D">
        <w:rPr>
          <w:iCs/>
          <w:lang w:val="fr-FR"/>
        </w:rPr>
        <w:t>Appendice II à la Recommandation UIT-T A.23 Amd.1</w:t>
      </w:r>
      <w:r>
        <w:rPr>
          <w:iCs/>
          <w:lang w:val="fr-FR"/>
        </w:rPr>
        <w:t>.</w:t>
      </w:r>
    </w:p>
    <w:p w14:paraId="2A115E8D" w14:textId="2B1A57D4" w:rsidR="000571E2" w:rsidRPr="005A058D" w:rsidRDefault="000571E2" w:rsidP="00E31B2B">
      <w:pPr>
        <w:pStyle w:val="Heading4"/>
        <w:rPr>
          <w:lang w:val="fr-FR"/>
        </w:rPr>
      </w:pPr>
      <w:r w:rsidRPr="005A058D">
        <w:rPr>
          <w:lang w:val="fr-FR"/>
        </w:rPr>
        <w:t>3.2.3.4</w:t>
      </w:r>
      <w:r w:rsidRPr="005A058D">
        <w:rPr>
          <w:lang w:val="fr-FR"/>
        </w:rPr>
        <w:tab/>
        <w:t>Groupe d</w:t>
      </w:r>
      <w:r w:rsidR="00E31B2B">
        <w:rPr>
          <w:lang w:val="fr-FR"/>
        </w:rPr>
        <w:t>'</w:t>
      </w:r>
      <w:r w:rsidRPr="005A058D">
        <w:rPr>
          <w:lang w:val="fr-FR"/>
        </w:rPr>
        <w:t>action mixte ISO/CEI/UIT-T sur la collaboration efficace (JTFEC) et Groupe de coordination du programme de normalisation (SPCG) du SMB de la CEI/TMB de l</w:t>
      </w:r>
      <w:r w:rsidR="00E31B2B">
        <w:rPr>
          <w:lang w:val="fr-FR"/>
        </w:rPr>
        <w:t>'</w:t>
      </w:r>
      <w:r w:rsidRPr="005A058D">
        <w:rPr>
          <w:lang w:val="fr-FR"/>
        </w:rPr>
        <w:t>ISO/GCNT de l</w:t>
      </w:r>
      <w:r w:rsidR="00E31B2B">
        <w:rPr>
          <w:lang w:val="fr-FR"/>
        </w:rPr>
        <w:t>'</w:t>
      </w:r>
      <w:r w:rsidRPr="005A058D">
        <w:rPr>
          <w:lang w:val="fr-FR"/>
        </w:rPr>
        <w:t>UIT-T</w:t>
      </w:r>
    </w:p>
    <w:p w14:paraId="77651346" w14:textId="424DED50" w:rsidR="000571E2" w:rsidRPr="005A058D" w:rsidRDefault="000571E2" w:rsidP="00E31B2B">
      <w:pPr>
        <w:rPr>
          <w:b/>
          <w:lang w:val="fr-FR"/>
        </w:rPr>
      </w:pPr>
      <w:r w:rsidRPr="005A058D">
        <w:rPr>
          <w:lang w:val="fr-FR"/>
        </w:rPr>
        <w:t>M. Ajit Jillavenkatesa (États-Unis), M. Yoichi Maeda (Japon) et Mme Gaelle Martin-Cocher (Blackberry, Canada) sont les représentants du GCNT désignés pour participer aux travaux du Groupe d</w:t>
      </w:r>
      <w:r w:rsidR="00E31B2B">
        <w:rPr>
          <w:lang w:val="fr-FR"/>
        </w:rPr>
        <w:t>'</w:t>
      </w:r>
      <w:r w:rsidRPr="005A058D">
        <w:rPr>
          <w:lang w:val="fr-FR"/>
        </w:rPr>
        <w:t>action mixte ISO/CEI/UIT-T sur la collaboration efficace (JTFEC), qui a exercé ses activités de mai 2017 à septembre 2018. Ce Groupe d</w:t>
      </w:r>
      <w:r w:rsidR="00E31B2B">
        <w:rPr>
          <w:lang w:val="fr-FR"/>
        </w:rPr>
        <w:t>'</w:t>
      </w:r>
      <w:r w:rsidRPr="005A058D">
        <w:rPr>
          <w:lang w:val="fr-FR"/>
        </w:rPr>
        <w:t>action a élaboré une proposition contenant le mandat d</w:t>
      </w:r>
      <w:r w:rsidR="00E31B2B">
        <w:rPr>
          <w:lang w:val="fr-FR"/>
        </w:rPr>
        <w:t>'</w:t>
      </w:r>
      <w:r w:rsidRPr="005A058D">
        <w:rPr>
          <w:lang w:val="fr-FR"/>
        </w:rPr>
        <w:t>un nouveau Groupe de coordination du programme de normalisation (SPCG) du SMB de la CEI/TMB de l</w:t>
      </w:r>
      <w:r w:rsidR="00E31B2B">
        <w:rPr>
          <w:lang w:val="fr-FR"/>
        </w:rPr>
        <w:t>'</w:t>
      </w:r>
      <w:r w:rsidRPr="005A058D">
        <w:rPr>
          <w:lang w:val="fr-FR"/>
        </w:rPr>
        <w:t>ISO/GCNT de l</w:t>
      </w:r>
      <w:r w:rsidR="00E31B2B">
        <w:rPr>
          <w:lang w:val="fr-FR"/>
        </w:rPr>
        <w:t>'</w:t>
      </w:r>
      <w:r w:rsidRPr="005A058D">
        <w:rPr>
          <w:lang w:val="fr-FR"/>
        </w:rPr>
        <w:t>UIT-T ainsi qu</w:t>
      </w:r>
      <w:r w:rsidR="00E31B2B">
        <w:rPr>
          <w:lang w:val="fr-FR"/>
        </w:rPr>
        <w:t>'</w:t>
      </w:r>
      <w:r w:rsidRPr="005A058D">
        <w:rPr>
          <w:lang w:val="fr-FR"/>
        </w:rPr>
        <w:t>une déclaration de communication, qui ont été approuvées par le GCNT, le SMB de la CEI et le TMB de l</w:t>
      </w:r>
      <w:r w:rsidR="00E31B2B">
        <w:rPr>
          <w:lang w:val="fr-FR"/>
        </w:rPr>
        <w:t>'</w:t>
      </w:r>
      <w:r w:rsidRPr="005A058D">
        <w:rPr>
          <w:lang w:val="fr-FR"/>
        </w:rPr>
        <w:t>ISO.</w:t>
      </w:r>
    </w:p>
    <w:p w14:paraId="7BA14C47" w14:textId="7F17E6A5" w:rsidR="000571E2" w:rsidRPr="005A058D" w:rsidRDefault="000571E2" w:rsidP="00E31B2B">
      <w:pPr>
        <w:tabs>
          <w:tab w:val="left" w:pos="570"/>
        </w:tabs>
        <w:rPr>
          <w:lang w:val="fr-FR"/>
        </w:rPr>
      </w:pPr>
      <w:r w:rsidRPr="005A058D">
        <w:rPr>
          <w:lang w:val="fr-FR"/>
        </w:rPr>
        <w:t>Le Groupe de coordination du programme de normalisation (SPCG) du SMB de la CEI/TMB de l</w:t>
      </w:r>
      <w:r w:rsidR="00E31B2B">
        <w:rPr>
          <w:lang w:val="fr-FR"/>
        </w:rPr>
        <w:t>'</w:t>
      </w:r>
      <w:r w:rsidRPr="005A058D">
        <w:rPr>
          <w:lang w:val="fr-FR"/>
        </w:rPr>
        <w:t>ISO/GCNT de l</w:t>
      </w:r>
      <w:r w:rsidR="00E31B2B">
        <w:rPr>
          <w:lang w:val="fr-FR"/>
        </w:rPr>
        <w:t>'</w:t>
      </w:r>
      <w:r w:rsidRPr="005A058D">
        <w:rPr>
          <w:lang w:val="fr-FR"/>
        </w:rPr>
        <w:t>UIT-T est actif depuis l</w:t>
      </w:r>
      <w:r w:rsidR="00E31B2B">
        <w:rPr>
          <w:lang w:val="fr-FR"/>
        </w:rPr>
        <w:t>'</w:t>
      </w:r>
      <w:r w:rsidRPr="005A058D">
        <w:rPr>
          <w:lang w:val="fr-FR"/>
        </w:rPr>
        <w:t>été 2019. M. Ajit Jillavenkatesa, M. Yoichi Maeda (Japon) et Mme Gaelle Martin-Cocher ont été désignés comme représentants du GCNT pour participer aux travaux Groupe SPCG, qui a rendu compte de ses activités et soumis des recommandations au GCNT, au SMB de la CEI et au TMB de l</w:t>
      </w:r>
      <w:r w:rsidR="00E31B2B">
        <w:rPr>
          <w:lang w:val="fr-FR"/>
        </w:rPr>
        <w:t>'</w:t>
      </w:r>
      <w:r w:rsidRPr="005A058D">
        <w:rPr>
          <w:lang w:val="fr-FR"/>
        </w:rPr>
        <w:t>ISO. Le Groupe SPCG a reçu et examiné des propositions concernant les nouveaux domaines d</w:t>
      </w:r>
      <w:r w:rsidR="00E31B2B">
        <w:rPr>
          <w:lang w:val="fr-FR"/>
        </w:rPr>
        <w:t>'</w:t>
      </w:r>
      <w:r w:rsidRPr="005A058D">
        <w:rPr>
          <w:lang w:val="fr-FR"/>
        </w:rPr>
        <w:t>étude proposés et a transmis ses commentaires au GCNT. Le Groupe SPCG soumet un rapport d</w:t>
      </w:r>
      <w:r w:rsidR="00E31B2B">
        <w:rPr>
          <w:lang w:val="fr-FR"/>
        </w:rPr>
        <w:t>'</w:t>
      </w:r>
      <w:r w:rsidRPr="005A058D">
        <w:rPr>
          <w:lang w:val="fr-FR"/>
        </w:rPr>
        <w:t>activité à chaque réunion du GCNT.</w:t>
      </w:r>
    </w:p>
    <w:p w14:paraId="75F836B4" w14:textId="77777777" w:rsidR="000571E2" w:rsidRPr="005A058D" w:rsidRDefault="000571E2" w:rsidP="00E31B2B">
      <w:pPr>
        <w:tabs>
          <w:tab w:val="left" w:pos="570"/>
        </w:tabs>
        <w:rPr>
          <w:rFonts w:asciiTheme="majorBidi" w:hAnsiTheme="majorBidi" w:cstheme="majorBidi"/>
          <w:lang w:val="fr-FR"/>
        </w:rPr>
      </w:pPr>
      <w:r w:rsidRPr="005A058D">
        <w:rPr>
          <w:lang w:val="fr-FR"/>
        </w:rPr>
        <w:t xml:space="preserve">Les participants à la sixième réunion du GCNT ont désigné auprès du Groupe SPCG une nouvelle délégation du GCNT comprenant M. Ajit Jillavenkatesa (États-Unis), Mme Gaelle Martin-Cocher </w:t>
      </w:r>
      <w:r w:rsidRPr="005A058D">
        <w:rPr>
          <w:rFonts w:asciiTheme="majorBidi" w:hAnsiTheme="majorBidi" w:cstheme="majorBidi"/>
          <w:lang w:val="fr-FR"/>
        </w:rPr>
        <w:t>(InterDigital Canada Ltee)</w:t>
      </w:r>
      <w:r w:rsidRPr="005A058D">
        <w:rPr>
          <w:lang w:val="fr-FR"/>
        </w:rPr>
        <w:t>, Mme Miho</w:t>
      </w:r>
      <w:bookmarkStart w:id="29" w:name="_GoBack"/>
      <w:bookmarkEnd w:id="29"/>
      <w:r w:rsidRPr="005A058D">
        <w:rPr>
          <w:lang w:val="fr-FR"/>
        </w:rPr>
        <w:t xml:space="preserve"> Naganuma </w:t>
      </w:r>
      <w:r w:rsidRPr="005A058D">
        <w:rPr>
          <w:rFonts w:asciiTheme="majorBidi" w:hAnsiTheme="majorBidi" w:cstheme="majorBidi"/>
          <w:lang w:val="fr-FR"/>
        </w:rPr>
        <w:t>(NEC Corporation) et</w:t>
      </w:r>
      <w:r w:rsidRPr="005A058D">
        <w:rPr>
          <w:lang w:val="fr-FR"/>
        </w:rPr>
        <w:t xml:space="preserve"> M. </w:t>
      </w:r>
      <w:r w:rsidRPr="005A058D">
        <w:rPr>
          <w:rFonts w:asciiTheme="majorBidi" w:hAnsiTheme="majorBidi" w:cstheme="majorBidi"/>
          <w:lang w:val="fr-FR"/>
        </w:rPr>
        <w:t>Per Fröjdh (Telefon AB – LM Ericsson).</w:t>
      </w:r>
    </w:p>
    <w:p w14:paraId="4E577B6B" w14:textId="3756FBBF" w:rsidR="000571E2" w:rsidRPr="005A058D" w:rsidRDefault="000571E2" w:rsidP="00E31B2B">
      <w:pPr>
        <w:tabs>
          <w:tab w:val="left" w:pos="570"/>
        </w:tabs>
        <w:rPr>
          <w:highlight w:val="yellow"/>
          <w:lang w:val="fr-FR"/>
        </w:rPr>
      </w:pPr>
      <w:r w:rsidRPr="005A058D">
        <w:rPr>
          <w:rFonts w:asciiTheme="majorBidi" w:hAnsiTheme="majorBidi" w:cstheme="majorBidi"/>
          <w:lang w:val="fr-FR"/>
        </w:rPr>
        <w:t>Le GCNT a distribué un document approuvé du Groupe SPCG de la CEI/de l</w:t>
      </w:r>
      <w:r w:rsidR="00E31B2B">
        <w:rPr>
          <w:rFonts w:asciiTheme="majorBidi" w:hAnsiTheme="majorBidi" w:cstheme="majorBidi"/>
          <w:lang w:val="fr-FR"/>
        </w:rPr>
        <w:t>'</w:t>
      </w:r>
      <w:r w:rsidRPr="005A058D">
        <w:rPr>
          <w:rFonts w:asciiTheme="majorBidi" w:hAnsiTheme="majorBidi" w:cstheme="majorBidi"/>
          <w:lang w:val="fr-FR"/>
        </w:rPr>
        <w:t>ISO/de l</w:t>
      </w:r>
      <w:r w:rsidR="00E31B2B">
        <w:rPr>
          <w:rFonts w:asciiTheme="majorBidi" w:hAnsiTheme="majorBidi" w:cstheme="majorBidi"/>
          <w:lang w:val="fr-FR"/>
        </w:rPr>
        <w:t>'</w:t>
      </w:r>
      <w:r w:rsidRPr="005A058D">
        <w:rPr>
          <w:rFonts w:asciiTheme="majorBidi" w:hAnsiTheme="majorBidi" w:cstheme="majorBidi"/>
          <w:lang w:val="fr-FR"/>
        </w:rPr>
        <w:t>UIT-T intitulé "</w:t>
      </w:r>
      <w:r w:rsidRPr="005A058D">
        <w:rPr>
          <w:rFonts w:asciiTheme="majorBidi" w:hAnsiTheme="majorBidi" w:cstheme="majorBidi"/>
          <w:i/>
          <w:iCs/>
          <w:lang w:val="fr-FR"/>
        </w:rPr>
        <w:t>Appel du TMB de l</w:t>
      </w:r>
      <w:r w:rsidR="00E31B2B">
        <w:rPr>
          <w:rFonts w:asciiTheme="majorBidi" w:hAnsiTheme="majorBidi" w:cstheme="majorBidi"/>
          <w:i/>
          <w:iCs/>
          <w:lang w:val="fr-FR"/>
        </w:rPr>
        <w:t>'</w:t>
      </w:r>
      <w:r w:rsidRPr="005A058D">
        <w:rPr>
          <w:rFonts w:asciiTheme="majorBidi" w:hAnsiTheme="majorBidi" w:cstheme="majorBidi"/>
          <w:i/>
          <w:iCs/>
          <w:lang w:val="fr-FR"/>
        </w:rPr>
        <w:t>ISO, du SMB de la CEI</w:t>
      </w:r>
      <w:r w:rsidRPr="005A058D" w:rsidDel="006F51DC">
        <w:rPr>
          <w:rFonts w:asciiTheme="majorBidi" w:hAnsiTheme="majorBidi" w:cstheme="majorBidi"/>
          <w:i/>
          <w:iCs/>
          <w:lang w:val="fr-FR"/>
        </w:rPr>
        <w:t xml:space="preserve"> </w:t>
      </w:r>
      <w:r w:rsidRPr="005A058D">
        <w:rPr>
          <w:rFonts w:asciiTheme="majorBidi" w:hAnsiTheme="majorBidi" w:cstheme="majorBidi"/>
          <w:i/>
          <w:iCs/>
          <w:lang w:val="fr-FR"/>
        </w:rPr>
        <w:t>et du GCNT de l</w:t>
      </w:r>
      <w:r w:rsidR="00E31B2B">
        <w:rPr>
          <w:rFonts w:asciiTheme="majorBidi" w:hAnsiTheme="majorBidi" w:cstheme="majorBidi"/>
          <w:i/>
          <w:iCs/>
          <w:lang w:val="fr-FR"/>
        </w:rPr>
        <w:t>'</w:t>
      </w:r>
      <w:r w:rsidRPr="005A058D">
        <w:rPr>
          <w:rFonts w:asciiTheme="majorBidi" w:hAnsiTheme="majorBidi" w:cstheme="majorBidi"/>
          <w:i/>
          <w:iCs/>
          <w:lang w:val="fr-FR"/>
        </w:rPr>
        <w:t>UIT</w:t>
      </w:r>
      <w:r w:rsidRPr="005A058D">
        <w:rPr>
          <w:rFonts w:asciiTheme="majorBidi" w:hAnsiTheme="majorBidi" w:cstheme="majorBidi"/>
          <w:i/>
          <w:iCs/>
          <w:lang w:val="fr-FR"/>
        </w:rPr>
        <w:noBreakHyphen/>
        <w:t>T concernant la coordination efficace des activités de normalisation technique de l</w:t>
      </w:r>
      <w:r w:rsidR="00E31B2B">
        <w:rPr>
          <w:rFonts w:asciiTheme="majorBidi" w:hAnsiTheme="majorBidi" w:cstheme="majorBidi"/>
          <w:i/>
          <w:iCs/>
          <w:lang w:val="fr-FR"/>
        </w:rPr>
        <w:t>'</w:t>
      </w:r>
      <w:r w:rsidRPr="005A058D">
        <w:rPr>
          <w:rFonts w:asciiTheme="majorBidi" w:hAnsiTheme="majorBidi" w:cstheme="majorBidi"/>
          <w:i/>
          <w:iCs/>
          <w:lang w:val="fr-FR"/>
        </w:rPr>
        <w:t>ISO, de la CEI et de l</w:t>
      </w:r>
      <w:r w:rsidR="00E31B2B">
        <w:rPr>
          <w:rFonts w:asciiTheme="majorBidi" w:hAnsiTheme="majorBidi" w:cstheme="majorBidi"/>
          <w:i/>
          <w:iCs/>
          <w:lang w:val="fr-FR"/>
        </w:rPr>
        <w:t>'</w:t>
      </w:r>
      <w:r w:rsidRPr="005A058D">
        <w:rPr>
          <w:rFonts w:asciiTheme="majorBidi" w:hAnsiTheme="majorBidi" w:cstheme="majorBidi"/>
          <w:i/>
          <w:iCs/>
          <w:lang w:val="fr-FR"/>
        </w:rPr>
        <w:t>UIT-T</w:t>
      </w:r>
      <w:r w:rsidRPr="005A058D">
        <w:rPr>
          <w:rFonts w:asciiTheme="majorBidi" w:hAnsiTheme="majorBidi" w:cstheme="majorBidi"/>
          <w:lang w:val="fr-FR"/>
        </w:rPr>
        <w:t>"</w:t>
      </w:r>
      <w:r w:rsidRPr="005A058D">
        <w:rPr>
          <w:rFonts w:asciiTheme="majorBidi" w:hAnsiTheme="majorBidi" w:cstheme="majorBidi"/>
          <w:i/>
          <w:iCs/>
          <w:lang w:val="fr-FR"/>
        </w:rPr>
        <w:t>.</w:t>
      </w:r>
    </w:p>
    <w:p w14:paraId="0D26A498" w14:textId="115A6360" w:rsidR="000571E2" w:rsidRPr="005A058D" w:rsidRDefault="000571E2" w:rsidP="00E31B2B">
      <w:pPr>
        <w:pStyle w:val="Heading4"/>
        <w:rPr>
          <w:b w:val="0"/>
          <w:lang w:val="fr-FR"/>
        </w:rPr>
      </w:pPr>
      <w:r w:rsidRPr="005A058D">
        <w:rPr>
          <w:lang w:val="fr-FR"/>
        </w:rPr>
        <w:t>3.2.3.5</w:t>
      </w:r>
      <w:r w:rsidRPr="005A058D">
        <w:rPr>
          <w:lang w:val="fr-FR"/>
        </w:rPr>
        <w:tab/>
        <w:t>Groupe d</w:t>
      </w:r>
      <w:r w:rsidR="00E31B2B">
        <w:rPr>
          <w:lang w:val="fr-FR"/>
        </w:rPr>
        <w:t>'</w:t>
      </w:r>
      <w:r w:rsidRPr="005A058D">
        <w:rPr>
          <w:lang w:val="fr-FR"/>
        </w:rPr>
        <w:t>action mixte CEI-ISO-UIT sur les villes intelligentes</w:t>
      </w:r>
    </w:p>
    <w:p w14:paraId="1E852434" w14:textId="307DB04B" w:rsidR="000571E2" w:rsidRPr="005A058D" w:rsidRDefault="000571E2" w:rsidP="00E31B2B">
      <w:pPr>
        <w:tabs>
          <w:tab w:val="left" w:pos="570"/>
        </w:tabs>
        <w:rPr>
          <w:bCs/>
          <w:lang w:val="fr-FR"/>
        </w:rPr>
      </w:pPr>
      <w:r w:rsidRPr="005A058D">
        <w:rPr>
          <w:bCs/>
          <w:lang w:val="fr-FR"/>
        </w:rPr>
        <w:t>Le GCNT a pris note de la création du nouveau Groupe d</w:t>
      </w:r>
      <w:r w:rsidR="00E31B2B">
        <w:rPr>
          <w:bCs/>
          <w:lang w:val="fr-FR"/>
        </w:rPr>
        <w:t>'</w:t>
      </w:r>
      <w:r w:rsidRPr="005A058D">
        <w:rPr>
          <w:bCs/>
          <w:lang w:val="fr-FR"/>
        </w:rPr>
        <w:t>action mixte CEI-ISO-UIT sur les villes intelligentes.</w:t>
      </w:r>
    </w:p>
    <w:p w14:paraId="74CA8F37" w14:textId="77777777" w:rsidR="000571E2" w:rsidRPr="005A058D" w:rsidRDefault="000571E2" w:rsidP="00E31B2B">
      <w:pPr>
        <w:pStyle w:val="Heading4"/>
        <w:rPr>
          <w:lang w:val="fr-FR"/>
        </w:rPr>
      </w:pPr>
      <w:r w:rsidRPr="005A058D">
        <w:rPr>
          <w:lang w:val="fr-FR"/>
        </w:rPr>
        <w:lastRenderedPageBreak/>
        <w:t>3.2.3.6</w:t>
      </w:r>
      <w:r w:rsidRPr="005A058D">
        <w:rPr>
          <w:lang w:val="fr-FR"/>
        </w:rPr>
        <w:tab/>
        <w:t>Collaboration pour la normalisation mondiale (GSC)</w:t>
      </w:r>
    </w:p>
    <w:p w14:paraId="19E53741" w14:textId="77777777" w:rsidR="000571E2" w:rsidRPr="005A058D" w:rsidRDefault="000571E2" w:rsidP="00E31B2B">
      <w:pPr>
        <w:rPr>
          <w:lang w:val="fr-FR"/>
        </w:rPr>
      </w:pPr>
      <w:r w:rsidRPr="005A058D">
        <w:rPr>
          <w:lang w:val="fr-FR"/>
        </w:rPr>
        <w:t>Le Groupe RG-SC du GCNT a examiné les résultats de la réunion de la Collaboration pour la normalisation mondiale (GSC-22) tenue les 26 et 27 mars 2019.</w:t>
      </w:r>
    </w:p>
    <w:p w14:paraId="09857F46" w14:textId="77777777" w:rsidR="000571E2" w:rsidRPr="005A058D" w:rsidRDefault="000571E2" w:rsidP="00E31B2B">
      <w:pPr>
        <w:pStyle w:val="Heading4"/>
        <w:rPr>
          <w:lang w:val="fr-FR"/>
        </w:rPr>
      </w:pPr>
      <w:r w:rsidRPr="005A058D">
        <w:rPr>
          <w:lang w:val="fr-FR"/>
        </w:rPr>
        <w:t>3.2.3.7</w:t>
      </w:r>
      <w:r w:rsidRPr="005A058D">
        <w:rPr>
          <w:lang w:val="fr-FR"/>
        </w:rPr>
        <w:tab/>
        <w:t>Collaboration avec la CEI/SEG 8</w:t>
      </w:r>
    </w:p>
    <w:p w14:paraId="61705EEB" w14:textId="3067305E" w:rsidR="000571E2" w:rsidRPr="005A058D" w:rsidRDefault="000571E2" w:rsidP="00E31B2B">
      <w:pPr>
        <w:keepNext/>
        <w:keepLines/>
        <w:tabs>
          <w:tab w:val="left" w:pos="570"/>
        </w:tabs>
        <w:rPr>
          <w:lang w:val="fr-FR"/>
        </w:rPr>
      </w:pPr>
      <w:r w:rsidRPr="005A058D">
        <w:rPr>
          <w:lang w:val="fr-FR"/>
        </w:rPr>
        <w:t>Le GCNT collabore avec la CEI/SEG 8, auprès de laquelle M. Yoichi Maeda est le représentant désigné du GCNT pour la veille concernant les sujets d</w:t>
      </w:r>
      <w:r w:rsidR="00E31B2B">
        <w:rPr>
          <w:lang w:val="fr-FR"/>
        </w:rPr>
        <w:t>'</w:t>
      </w:r>
      <w:r w:rsidRPr="005A058D">
        <w:rPr>
          <w:lang w:val="fr-FR"/>
        </w:rPr>
        <w:t>actualité.</w:t>
      </w:r>
    </w:p>
    <w:p w14:paraId="2EF649F2" w14:textId="77777777" w:rsidR="000571E2" w:rsidRPr="005A058D" w:rsidRDefault="000571E2" w:rsidP="00E31B2B">
      <w:pPr>
        <w:pStyle w:val="Heading4"/>
        <w:rPr>
          <w:lang w:val="fr-FR"/>
        </w:rPr>
      </w:pPr>
      <w:r w:rsidRPr="005A058D">
        <w:rPr>
          <w:lang w:val="fr-FR"/>
        </w:rPr>
        <w:t>3.2.3.8</w:t>
      </w:r>
      <w:r w:rsidRPr="005A058D">
        <w:rPr>
          <w:lang w:val="fr-FR"/>
        </w:rPr>
        <w:tab/>
        <w:t>Code source ouvert</w:t>
      </w:r>
    </w:p>
    <w:p w14:paraId="397F83F5" w14:textId="77809324" w:rsidR="000571E2" w:rsidRPr="005A058D" w:rsidRDefault="000571E2" w:rsidP="00E31B2B">
      <w:pPr>
        <w:tabs>
          <w:tab w:val="left" w:pos="675"/>
          <w:tab w:val="left" w:pos="1526"/>
          <w:tab w:val="left" w:pos="4928"/>
          <w:tab w:val="left" w:pos="5920"/>
        </w:tabs>
        <w:rPr>
          <w:lang w:val="fr-FR"/>
        </w:rPr>
      </w:pPr>
      <w:r w:rsidRPr="005A058D">
        <w:rPr>
          <w:lang w:val="fr-FR"/>
        </w:rPr>
        <w:t xml:space="preserve">Conformément à la Résolution 90 (Hammamet, 2016), le Groupe RG-SC du GCNT a étudié plusieurs contributions et notes de liaison concernant le code source ouvert. Il a recueilli des commentaires auprès des </w:t>
      </w:r>
      <w:r>
        <w:rPr>
          <w:lang w:val="fr-FR"/>
        </w:rPr>
        <w:t>C</w:t>
      </w:r>
      <w:r w:rsidRPr="005A058D">
        <w:rPr>
          <w:lang w:val="fr-FR"/>
        </w:rPr>
        <w:t>ommissions d</w:t>
      </w:r>
      <w:r w:rsidR="00E31B2B">
        <w:rPr>
          <w:lang w:val="fr-FR"/>
        </w:rPr>
        <w:t>'</w:t>
      </w:r>
      <w:r w:rsidRPr="005A058D">
        <w:rPr>
          <w:lang w:val="fr-FR"/>
        </w:rPr>
        <w:t>études de l</w:t>
      </w:r>
      <w:r w:rsidR="00E31B2B">
        <w:rPr>
          <w:lang w:val="fr-FR"/>
        </w:rPr>
        <w:t>'</w:t>
      </w:r>
      <w:r w:rsidRPr="005A058D">
        <w:rPr>
          <w:lang w:val="fr-FR"/>
        </w:rPr>
        <w:t>UIT-T et obtenu une vue d</w:t>
      </w:r>
      <w:r w:rsidR="00E31B2B">
        <w:rPr>
          <w:lang w:val="fr-FR"/>
        </w:rPr>
        <w:t>'</w:t>
      </w:r>
      <w:r w:rsidRPr="005A058D">
        <w:rPr>
          <w:lang w:val="fr-FR"/>
        </w:rPr>
        <w:t>ensemble de leurs activités en matière de code source ouvert.</w:t>
      </w:r>
    </w:p>
    <w:p w14:paraId="6BF62CF0" w14:textId="16137D42" w:rsidR="000571E2" w:rsidRPr="005A058D" w:rsidRDefault="000571E2" w:rsidP="00E31B2B">
      <w:pPr>
        <w:tabs>
          <w:tab w:val="left" w:pos="675"/>
          <w:tab w:val="left" w:pos="1526"/>
          <w:tab w:val="left" w:pos="4928"/>
          <w:tab w:val="left" w:pos="5920"/>
        </w:tabs>
        <w:rPr>
          <w:lang w:val="fr-FR"/>
        </w:rPr>
      </w:pPr>
      <w:r w:rsidRPr="005A058D">
        <w:rPr>
          <w:lang w:val="fr-FR"/>
        </w:rPr>
        <w:t>Le GCNT a assuré la liaison avec l</w:t>
      </w:r>
      <w:r w:rsidR="00E31B2B">
        <w:rPr>
          <w:lang w:val="fr-FR"/>
        </w:rPr>
        <w:t>'</w:t>
      </w:r>
      <w:r w:rsidRPr="005A058D">
        <w:rPr>
          <w:lang w:val="fr-FR"/>
        </w:rPr>
        <w:t>ISO/CEI 1 au sujet du code source ouvert et contribué à l</w:t>
      </w:r>
      <w:r w:rsidR="00E31B2B">
        <w:rPr>
          <w:lang w:val="fr-FR"/>
        </w:rPr>
        <w:t>'</w:t>
      </w:r>
      <w:r w:rsidRPr="005A058D">
        <w:rPr>
          <w:lang w:val="fr-FR"/>
        </w:rPr>
        <w:t>étude de l</w:t>
      </w:r>
      <w:r w:rsidR="00E31B2B">
        <w:rPr>
          <w:lang w:val="fr-FR"/>
        </w:rPr>
        <w:t>'</w:t>
      </w:r>
      <w:r w:rsidRPr="005A058D">
        <w:rPr>
          <w:lang w:val="fr-FR"/>
        </w:rPr>
        <w:t>ISO/CEI JTC 1/AG3 sur les logiciels à code source ouvert.</w:t>
      </w:r>
    </w:p>
    <w:p w14:paraId="5E26D258" w14:textId="49924575" w:rsidR="000571E2" w:rsidRPr="005A058D" w:rsidRDefault="000571E2" w:rsidP="00E31B2B">
      <w:pPr>
        <w:pStyle w:val="Heading4"/>
        <w:rPr>
          <w:lang w:val="fr-FR"/>
        </w:rPr>
      </w:pPr>
      <w:r w:rsidRPr="005A058D">
        <w:rPr>
          <w:lang w:val="fr-FR"/>
        </w:rPr>
        <w:t>3.2.3.9</w:t>
      </w:r>
      <w:r w:rsidRPr="005A058D">
        <w:rPr>
          <w:lang w:val="fr-FR"/>
        </w:rPr>
        <w:tab/>
        <w:t>Collaboration avec l</w:t>
      </w:r>
      <w:r w:rsidR="00E31B2B">
        <w:rPr>
          <w:lang w:val="fr-FR"/>
        </w:rPr>
        <w:t>'</w:t>
      </w:r>
      <w:r w:rsidRPr="005A058D">
        <w:rPr>
          <w:lang w:val="fr-FR"/>
        </w:rPr>
        <w:t>UPU</w:t>
      </w:r>
    </w:p>
    <w:p w14:paraId="12606E30" w14:textId="144E664B" w:rsidR="000571E2" w:rsidRPr="005A058D" w:rsidRDefault="000571E2" w:rsidP="00E31B2B">
      <w:pPr>
        <w:keepNext/>
        <w:keepLines/>
        <w:tabs>
          <w:tab w:val="left" w:pos="570"/>
        </w:tabs>
        <w:rPr>
          <w:lang w:val="fr-FR"/>
        </w:rPr>
      </w:pPr>
      <w:r w:rsidRPr="005A058D">
        <w:rPr>
          <w:lang w:val="fr-FR"/>
        </w:rPr>
        <w:t>Le GCNT a apporté un appui à la CE 17 de l</w:t>
      </w:r>
      <w:r w:rsidR="00E31B2B">
        <w:rPr>
          <w:lang w:val="fr-FR"/>
        </w:rPr>
        <w:t>'</w:t>
      </w:r>
      <w:r w:rsidRPr="005A058D">
        <w:rPr>
          <w:lang w:val="fr-FR"/>
        </w:rPr>
        <w:t>UIT-T, en vue d</w:t>
      </w:r>
      <w:r w:rsidR="00E31B2B">
        <w:rPr>
          <w:lang w:val="fr-FR"/>
        </w:rPr>
        <w:t>'</w:t>
      </w:r>
      <w:r w:rsidRPr="005A058D">
        <w:rPr>
          <w:lang w:val="fr-FR"/>
        </w:rPr>
        <w:t>habiliter l</w:t>
      </w:r>
      <w:r w:rsidR="00E31B2B">
        <w:rPr>
          <w:lang w:val="fr-FR"/>
        </w:rPr>
        <w:t>'</w:t>
      </w:r>
      <w:r w:rsidRPr="005A058D">
        <w:rPr>
          <w:lang w:val="fr-FR"/>
        </w:rPr>
        <w:t>UPU au titre de la Recommandation UIT</w:t>
      </w:r>
      <w:r w:rsidRPr="005A058D">
        <w:rPr>
          <w:lang w:val="fr-FR"/>
        </w:rPr>
        <w:noBreakHyphen/>
        <w:t>T A.5, afin que la Recommandation UIT-T A.25 puisse être appliquée aux fins de l</w:t>
      </w:r>
      <w:r w:rsidR="00E31B2B">
        <w:rPr>
          <w:lang w:val="fr-FR"/>
        </w:rPr>
        <w:t>'</w:t>
      </w:r>
      <w:r w:rsidRPr="005A058D">
        <w:rPr>
          <w:lang w:val="fr-FR"/>
        </w:rPr>
        <w:t>incorporation de la norme UPU S68 dans un projet de Recommandation UIT-T X.upu.</w:t>
      </w:r>
    </w:p>
    <w:p w14:paraId="186FD05A" w14:textId="77777777" w:rsidR="000571E2" w:rsidRPr="005A058D" w:rsidRDefault="000571E2" w:rsidP="00E31B2B">
      <w:pPr>
        <w:pStyle w:val="Heading4"/>
        <w:rPr>
          <w:b w:val="0"/>
          <w:lang w:val="fr-FR"/>
        </w:rPr>
      </w:pPr>
      <w:r w:rsidRPr="005A058D">
        <w:rPr>
          <w:lang w:val="fr-FR"/>
        </w:rPr>
        <w:t>3.2.3.10</w:t>
      </w:r>
      <w:r w:rsidRPr="005A058D">
        <w:rPr>
          <w:lang w:val="fr-FR"/>
        </w:rPr>
        <w:tab/>
        <w:t>Collaboration renforcée avec oneM2M</w:t>
      </w:r>
    </w:p>
    <w:p w14:paraId="1498C6EB" w14:textId="427E1C3C" w:rsidR="000571E2" w:rsidRPr="005A058D" w:rsidRDefault="000571E2" w:rsidP="00E31B2B">
      <w:pPr>
        <w:tabs>
          <w:tab w:val="left" w:pos="570"/>
        </w:tabs>
        <w:rPr>
          <w:lang w:val="fr-FR"/>
        </w:rPr>
      </w:pPr>
      <w:r w:rsidRPr="005A058D">
        <w:rPr>
          <w:lang w:val="fr-FR"/>
        </w:rPr>
        <w:t>Le GCNT, par l</w:t>
      </w:r>
      <w:r w:rsidR="00E31B2B">
        <w:rPr>
          <w:lang w:val="fr-FR"/>
        </w:rPr>
        <w:t>'</w:t>
      </w:r>
      <w:r w:rsidRPr="005A058D">
        <w:rPr>
          <w:lang w:val="fr-FR"/>
        </w:rPr>
        <w:t>intermédiaire de la CE 20, s</w:t>
      </w:r>
      <w:r w:rsidR="00E31B2B">
        <w:rPr>
          <w:lang w:val="fr-FR"/>
        </w:rPr>
        <w:t>'</w:t>
      </w:r>
      <w:r w:rsidRPr="005A058D">
        <w:rPr>
          <w:lang w:val="fr-FR"/>
        </w:rPr>
        <w:t>est efforcé d</w:t>
      </w:r>
      <w:r w:rsidR="00E31B2B">
        <w:rPr>
          <w:lang w:val="fr-FR"/>
        </w:rPr>
        <w:t>'</w:t>
      </w:r>
      <w:r w:rsidRPr="005A058D">
        <w:rPr>
          <w:lang w:val="fr-FR"/>
        </w:rPr>
        <w:t xml:space="preserve">intensifier la collaboration avec oneM2M; à cet égard, un projet de procédure applicable à la soumission et à la tenue à jour des spécifications oneM2M </w:t>
      </w:r>
      <w:r w:rsidRPr="005A058D">
        <w:rPr>
          <w:color w:val="000000"/>
          <w:lang w:val="fr-FR"/>
        </w:rPr>
        <w:t xml:space="preserve">incorporées </w:t>
      </w:r>
      <w:r w:rsidRPr="005A058D">
        <w:rPr>
          <w:lang w:val="fr-FR"/>
        </w:rPr>
        <w:t>dans des Recommandations UIT-T est en cours d</w:t>
      </w:r>
      <w:r w:rsidR="00E31B2B">
        <w:rPr>
          <w:lang w:val="fr-FR"/>
        </w:rPr>
        <w:t>'</w:t>
      </w:r>
      <w:r w:rsidRPr="005A058D">
        <w:rPr>
          <w:lang w:val="fr-FR"/>
        </w:rPr>
        <w:t xml:space="preserve">élaboration (voir la note de liaison </w:t>
      </w:r>
      <w:hyperlink r:id="rId64" w:history="1">
        <w:r w:rsidRPr="005A058D">
          <w:rPr>
            <w:rStyle w:val="Hyperlink"/>
            <w:lang w:val="fr-FR"/>
          </w:rPr>
          <w:t>TSAG-LS43</w:t>
        </w:r>
      </w:hyperlink>
      <w:r w:rsidRPr="005A058D">
        <w:rPr>
          <w:lang w:val="fr-FR"/>
        </w:rPr>
        <w:t>).</w:t>
      </w:r>
    </w:p>
    <w:p w14:paraId="4413DE04" w14:textId="70E3381A" w:rsidR="000571E2" w:rsidRPr="005A058D" w:rsidRDefault="000571E2" w:rsidP="00E31B2B">
      <w:pPr>
        <w:pStyle w:val="Heading4"/>
        <w:rPr>
          <w:lang w:val="fr-FR"/>
        </w:rPr>
      </w:pPr>
      <w:r w:rsidRPr="005A058D">
        <w:rPr>
          <w:lang w:val="fr-FR"/>
        </w:rPr>
        <w:t>3.2.3.11</w:t>
      </w:r>
      <w:r w:rsidRPr="005A058D">
        <w:rPr>
          <w:lang w:val="fr-FR"/>
        </w:rPr>
        <w:tab/>
        <w:t>Collaboration avec l</w:t>
      </w:r>
      <w:r w:rsidR="00E31B2B">
        <w:rPr>
          <w:lang w:val="fr-FR"/>
        </w:rPr>
        <w:t>'</w:t>
      </w:r>
      <w:r w:rsidRPr="005A058D">
        <w:rPr>
          <w:lang w:val="fr-FR"/>
        </w:rPr>
        <w:t>IETF et l</w:t>
      </w:r>
      <w:r w:rsidR="00E31B2B">
        <w:rPr>
          <w:lang w:val="fr-FR"/>
        </w:rPr>
        <w:t>'</w:t>
      </w:r>
      <w:r w:rsidRPr="005A058D">
        <w:rPr>
          <w:lang w:val="fr-FR"/>
        </w:rPr>
        <w:t>IRTF</w:t>
      </w:r>
    </w:p>
    <w:p w14:paraId="49392595" w14:textId="2902159F" w:rsidR="000571E2" w:rsidRPr="005A058D" w:rsidRDefault="000571E2" w:rsidP="00E31B2B">
      <w:pPr>
        <w:keepNext/>
        <w:keepLines/>
        <w:tabs>
          <w:tab w:val="left" w:pos="570"/>
        </w:tabs>
        <w:rPr>
          <w:lang w:val="fr-FR"/>
        </w:rPr>
      </w:pPr>
      <w:r w:rsidRPr="005A058D">
        <w:rPr>
          <w:lang w:val="fr-FR"/>
        </w:rPr>
        <w:t>Le GCNT a reconnu l</w:t>
      </w:r>
      <w:r w:rsidR="00E31B2B">
        <w:rPr>
          <w:lang w:val="fr-FR"/>
        </w:rPr>
        <w:t>'</w:t>
      </w:r>
      <w:r w:rsidRPr="005A058D">
        <w:rPr>
          <w:lang w:val="fr-FR"/>
        </w:rPr>
        <w:t>importance de la collaboration entre l</w:t>
      </w:r>
      <w:r w:rsidR="00E31B2B">
        <w:rPr>
          <w:lang w:val="fr-FR"/>
        </w:rPr>
        <w:t>'</w:t>
      </w:r>
      <w:r w:rsidRPr="005A058D">
        <w:rPr>
          <w:lang w:val="fr-FR"/>
        </w:rPr>
        <w:t>IETF, l</w:t>
      </w:r>
      <w:r w:rsidR="00E31B2B">
        <w:rPr>
          <w:lang w:val="fr-FR"/>
        </w:rPr>
        <w:t>'</w:t>
      </w:r>
      <w:r w:rsidRPr="005A058D">
        <w:rPr>
          <w:lang w:val="fr-FR"/>
        </w:rPr>
        <w:t>IRTF et l</w:t>
      </w:r>
      <w:r w:rsidR="00E31B2B">
        <w:rPr>
          <w:lang w:val="fr-FR"/>
        </w:rPr>
        <w:t>'</w:t>
      </w:r>
      <w:r w:rsidRPr="005A058D">
        <w:rPr>
          <w:lang w:val="fr-FR"/>
        </w:rPr>
        <w:t>UIT-T et transmis le rapport de liaison avec l</w:t>
      </w:r>
      <w:r w:rsidR="00E31B2B">
        <w:rPr>
          <w:lang w:val="fr-FR"/>
        </w:rPr>
        <w:t>'</w:t>
      </w:r>
      <w:r w:rsidRPr="005A058D">
        <w:rPr>
          <w:lang w:val="fr-FR"/>
        </w:rPr>
        <w:t xml:space="preserve">IETF à toutes les </w:t>
      </w:r>
      <w:r>
        <w:rPr>
          <w:lang w:val="fr-FR"/>
        </w:rPr>
        <w:t>C</w:t>
      </w:r>
      <w:r w:rsidRPr="005A058D">
        <w:rPr>
          <w:lang w:val="fr-FR"/>
        </w:rPr>
        <w:t>ommissions d</w:t>
      </w:r>
      <w:r w:rsidR="00E31B2B">
        <w:rPr>
          <w:lang w:val="fr-FR"/>
        </w:rPr>
        <w:t>'</w:t>
      </w:r>
      <w:r w:rsidRPr="005A058D">
        <w:rPr>
          <w:lang w:val="fr-FR"/>
        </w:rPr>
        <w:t>études de l</w:t>
      </w:r>
      <w:r w:rsidR="00E31B2B">
        <w:rPr>
          <w:lang w:val="fr-FR"/>
        </w:rPr>
        <w:t>'</w:t>
      </w:r>
      <w:r w:rsidRPr="005A058D">
        <w:rPr>
          <w:lang w:val="fr-FR"/>
        </w:rPr>
        <w:t>UIT-T.</w:t>
      </w:r>
    </w:p>
    <w:p w14:paraId="30638EB6" w14:textId="77777777" w:rsidR="000571E2" w:rsidRPr="005A058D" w:rsidRDefault="000571E2" w:rsidP="00E31B2B">
      <w:pPr>
        <w:pStyle w:val="Heading4"/>
        <w:rPr>
          <w:lang w:val="fr-FR"/>
        </w:rPr>
      </w:pPr>
      <w:r w:rsidRPr="005A058D">
        <w:rPr>
          <w:lang w:val="fr-FR"/>
        </w:rPr>
        <w:t>3.2.3.12</w:t>
      </w:r>
      <w:r w:rsidRPr="005A058D">
        <w:rPr>
          <w:lang w:val="fr-FR"/>
        </w:rPr>
        <w:tab/>
        <w:t>Collaboration sur les normes de communication pour les systèmes ITS (CITS)</w:t>
      </w:r>
    </w:p>
    <w:p w14:paraId="76669DD4" w14:textId="3BC4B823" w:rsidR="000571E2" w:rsidRPr="005A058D" w:rsidRDefault="000571E2" w:rsidP="00E31B2B">
      <w:pPr>
        <w:tabs>
          <w:tab w:val="left" w:pos="570"/>
        </w:tabs>
        <w:rPr>
          <w:rFonts w:asciiTheme="majorBidi" w:hAnsiTheme="majorBidi" w:cstheme="majorBidi"/>
          <w:lang w:val="fr-FR"/>
        </w:rPr>
      </w:pPr>
      <w:r w:rsidRPr="005A058D">
        <w:rPr>
          <w:rFonts w:asciiTheme="majorBidi" w:hAnsiTheme="majorBidi" w:cstheme="majorBidi"/>
          <w:lang w:val="fr-FR"/>
        </w:rPr>
        <w:t>Les participants se sont félicités de la Collaboration CITS, qui constitue un excellent modèle de collaboration entre l</w:t>
      </w:r>
      <w:r w:rsidR="00E31B2B">
        <w:rPr>
          <w:rFonts w:asciiTheme="majorBidi" w:hAnsiTheme="majorBidi" w:cstheme="majorBidi"/>
          <w:lang w:val="fr-FR"/>
        </w:rPr>
        <w:t>'</w:t>
      </w:r>
      <w:r w:rsidRPr="005A058D">
        <w:rPr>
          <w:rFonts w:asciiTheme="majorBidi" w:hAnsiTheme="majorBidi" w:cstheme="majorBidi"/>
          <w:lang w:val="fr-FR"/>
        </w:rPr>
        <w:t>UIT et les organismes de normalisation équivalents. Deux Groupes spécialisés de l</w:t>
      </w:r>
      <w:r w:rsidR="00E31B2B">
        <w:rPr>
          <w:rFonts w:asciiTheme="majorBidi" w:hAnsiTheme="majorBidi" w:cstheme="majorBidi"/>
          <w:lang w:val="fr-FR"/>
        </w:rPr>
        <w:t>'</w:t>
      </w:r>
      <w:r w:rsidRPr="005A058D">
        <w:rPr>
          <w:rFonts w:asciiTheme="majorBidi" w:hAnsiTheme="majorBidi" w:cstheme="majorBidi"/>
          <w:lang w:val="fr-FR"/>
        </w:rPr>
        <w:t>UIT-T – le Groupe spécialisé sur l</w:t>
      </w:r>
      <w:r w:rsidR="00E31B2B">
        <w:rPr>
          <w:rFonts w:asciiTheme="majorBidi" w:hAnsiTheme="majorBidi" w:cstheme="majorBidi"/>
          <w:lang w:val="fr-FR"/>
        </w:rPr>
        <w:t>'</w:t>
      </w:r>
      <w:r w:rsidRPr="005A058D">
        <w:rPr>
          <w:rFonts w:asciiTheme="majorBidi" w:hAnsiTheme="majorBidi" w:cstheme="majorBidi"/>
          <w:lang w:val="fr-FR"/>
        </w:rPr>
        <w:t>intelligence artificielle au service de la conduite autonome et de la conduite assistée (FG-AI4AD) et le Groupe spécialisé sur le multimédia dans les véhicules (FG-VM) – participent activement aux travaux de la Collaboration CITS. Lorsque cette dernière a vu le jour en 2005, elle comptait dans ses rangs cinq organismes de normalisation. La Collaboration CITS compte aujourd</w:t>
      </w:r>
      <w:r w:rsidR="00E31B2B">
        <w:rPr>
          <w:rFonts w:asciiTheme="majorBidi" w:hAnsiTheme="majorBidi" w:cstheme="majorBidi"/>
          <w:lang w:val="fr-FR"/>
        </w:rPr>
        <w:t>'</w:t>
      </w:r>
      <w:r w:rsidRPr="005A058D">
        <w:rPr>
          <w:rFonts w:asciiTheme="majorBidi" w:hAnsiTheme="majorBidi" w:cstheme="majorBidi"/>
          <w:lang w:val="fr-FR"/>
        </w:rPr>
        <w:t>hui de nombreux autres organismes de normalisation et son champ d</w:t>
      </w:r>
      <w:r w:rsidR="00E31B2B">
        <w:rPr>
          <w:rFonts w:asciiTheme="majorBidi" w:hAnsiTheme="majorBidi" w:cstheme="majorBidi"/>
          <w:lang w:val="fr-FR"/>
        </w:rPr>
        <w:t>'</w:t>
      </w:r>
      <w:r w:rsidRPr="005A058D">
        <w:rPr>
          <w:rFonts w:asciiTheme="majorBidi" w:hAnsiTheme="majorBidi" w:cstheme="majorBidi"/>
          <w:lang w:val="fr-FR"/>
        </w:rPr>
        <w:t>action a été élargi pour tenir compte des évolutions technologiques intervenues depuis.</w:t>
      </w:r>
    </w:p>
    <w:p w14:paraId="59C1B351" w14:textId="77777777" w:rsidR="000571E2" w:rsidRPr="005A058D" w:rsidRDefault="000571E2" w:rsidP="00E31B2B">
      <w:pPr>
        <w:pStyle w:val="Heading4"/>
        <w:rPr>
          <w:b w:val="0"/>
          <w:lang w:val="fr-FR"/>
        </w:rPr>
      </w:pPr>
      <w:r w:rsidRPr="005A058D">
        <w:rPr>
          <w:lang w:val="fr-FR"/>
        </w:rPr>
        <w:t>3.2.3.13</w:t>
      </w:r>
      <w:r w:rsidRPr="005A058D">
        <w:rPr>
          <w:lang w:val="fr-FR"/>
        </w:rPr>
        <w:tab/>
        <w:t>Collaboration avec les organisations récemment habilitées conformément aux Recommandations UIT-T A.4/A.5/A.6</w:t>
      </w:r>
    </w:p>
    <w:p w14:paraId="77091A71" w14:textId="5441C6D5" w:rsidR="000571E2" w:rsidRPr="005A058D" w:rsidRDefault="000571E2" w:rsidP="00E31B2B">
      <w:pPr>
        <w:rPr>
          <w:lang w:val="fr-FR"/>
        </w:rPr>
      </w:pPr>
      <w:r w:rsidRPr="005A058D">
        <w:rPr>
          <w:lang w:val="fr-FR"/>
        </w:rPr>
        <w:t>Le GCNT a pris note de l</w:t>
      </w:r>
      <w:r w:rsidR="00E31B2B">
        <w:rPr>
          <w:lang w:val="fr-FR"/>
        </w:rPr>
        <w:t>'</w:t>
      </w:r>
      <w:r w:rsidRPr="005A058D">
        <w:rPr>
          <w:lang w:val="fr-FR"/>
        </w:rPr>
        <w:t>habilitation de l</w:t>
      </w:r>
      <w:r w:rsidR="00E31B2B">
        <w:rPr>
          <w:lang w:val="fr-FR"/>
        </w:rPr>
        <w:t>'</w:t>
      </w:r>
      <w:r w:rsidRPr="005A058D">
        <w:rPr>
          <w:lang w:val="fr-FR"/>
        </w:rPr>
        <w:t>International Association of Trusted Blockchain Application (INATBA) conformément à la Recommandation UIT-T A.4.</w:t>
      </w:r>
    </w:p>
    <w:p w14:paraId="33485018" w14:textId="0A09E2EC" w:rsidR="000571E2" w:rsidRPr="005A058D" w:rsidRDefault="000571E2" w:rsidP="00E31B2B">
      <w:pPr>
        <w:rPr>
          <w:rFonts w:asciiTheme="majorBidi" w:hAnsiTheme="majorBidi" w:cstheme="majorBidi"/>
          <w:lang w:val="fr-FR"/>
        </w:rPr>
      </w:pPr>
      <w:r w:rsidRPr="005A058D">
        <w:rPr>
          <w:lang w:val="fr-FR"/>
        </w:rPr>
        <w:t>Il a également pris note de l</w:t>
      </w:r>
      <w:r w:rsidR="00E31B2B">
        <w:rPr>
          <w:lang w:val="fr-FR"/>
        </w:rPr>
        <w:t>'</w:t>
      </w:r>
      <w:r w:rsidRPr="005A058D">
        <w:rPr>
          <w:lang w:val="fr-FR"/>
        </w:rPr>
        <w:t>analyse de l</w:t>
      </w:r>
      <w:r w:rsidR="00E31B2B">
        <w:rPr>
          <w:lang w:val="fr-FR"/>
        </w:rPr>
        <w:t>'</w:t>
      </w:r>
      <w:r w:rsidRPr="005A058D">
        <w:rPr>
          <w:lang w:val="fr-FR"/>
        </w:rPr>
        <w:t xml:space="preserve">habilitation de </w:t>
      </w:r>
      <w:r w:rsidRPr="005A058D">
        <w:rPr>
          <w:rFonts w:asciiTheme="majorBidi" w:hAnsiTheme="majorBidi" w:cstheme="majorBidi"/>
          <w:lang w:val="fr-FR"/>
        </w:rPr>
        <w:t>SAE International (</w:t>
      </w:r>
      <w:hyperlink r:id="rId65" w:history="1">
        <w:r w:rsidRPr="005A058D">
          <w:rPr>
            <w:rStyle w:val="Hyperlink"/>
            <w:rFonts w:asciiTheme="majorBidi" w:hAnsiTheme="majorBidi" w:cstheme="majorBidi"/>
            <w:lang w:val="fr-FR"/>
          </w:rPr>
          <w:t>SAE</w:t>
        </w:r>
      </w:hyperlink>
      <w:r w:rsidRPr="005A058D">
        <w:rPr>
          <w:rFonts w:asciiTheme="majorBidi" w:hAnsiTheme="majorBidi" w:cstheme="majorBidi"/>
          <w:lang w:val="fr-FR"/>
        </w:rPr>
        <w:t>) conformément aux Recommandations UIT-T A.5 et A.6.</w:t>
      </w:r>
    </w:p>
    <w:p w14:paraId="78358A0C" w14:textId="77777777" w:rsidR="008154FC" w:rsidRDefault="008154FC" w:rsidP="00E31B2B">
      <w:pPr>
        <w:rPr>
          <w:rFonts w:asciiTheme="majorBidi" w:hAnsiTheme="majorBidi" w:cstheme="majorBidi"/>
          <w:lang w:val="fr-FR"/>
        </w:rPr>
      </w:pPr>
      <w:r>
        <w:rPr>
          <w:rFonts w:asciiTheme="majorBidi" w:hAnsiTheme="majorBidi" w:cstheme="majorBidi"/>
          <w:lang w:val="fr-FR"/>
        </w:rPr>
        <w:br w:type="page"/>
      </w:r>
    </w:p>
    <w:p w14:paraId="38FDECB0" w14:textId="2003D3FE" w:rsidR="000571E2" w:rsidRPr="005A058D" w:rsidRDefault="000571E2" w:rsidP="00E31B2B">
      <w:pPr>
        <w:rPr>
          <w:rFonts w:asciiTheme="majorBidi" w:hAnsiTheme="majorBidi" w:cstheme="majorBidi"/>
          <w:lang w:val="fr-FR"/>
        </w:rPr>
      </w:pPr>
      <w:r w:rsidRPr="005A058D">
        <w:rPr>
          <w:rFonts w:asciiTheme="majorBidi" w:hAnsiTheme="majorBidi" w:cstheme="majorBidi"/>
          <w:lang w:val="fr-FR"/>
        </w:rPr>
        <w:lastRenderedPageBreak/>
        <w:t>Le GCNT a pris note de l</w:t>
      </w:r>
      <w:r w:rsidR="00E31B2B">
        <w:rPr>
          <w:rFonts w:asciiTheme="majorBidi" w:hAnsiTheme="majorBidi" w:cstheme="majorBidi"/>
          <w:lang w:val="fr-FR"/>
        </w:rPr>
        <w:t>'</w:t>
      </w:r>
      <w:r w:rsidRPr="005A058D">
        <w:rPr>
          <w:rFonts w:asciiTheme="majorBidi" w:hAnsiTheme="majorBidi" w:cstheme="majorBidi"/>
          <w:lang w:val="fr-FR"/>
        </w:rPr>
        <w:t xml:space="preserve">habilitation de la </w:t>
      </w:r>
      <w:r w:rsidRPr="005A058D">
        <w:rPr>
          <w:lang w:val="fr-FR"/>
        </w:rPr>
        <w:t>JEDEC Solid State Technology Association (</w:t>
      </w:r>
      <w:hyperlink r:id="rId66" w:history="1">
        <w:r w:rsidRPr="005A058D">
          <w:rPr>
            <w:rStyle w:val="Hyperlink"/>
            <w:lang w:val="fr-FR"/>
          </w:rPr>
          <w:t>JEDEC</w:t>
        </w:r>
      </w:hyperlink>
      <w:r w:rsidRPr="005A058D">
        <w:rPr>
          <w:lang w:val="fr-FR"/>
        </w:rPr>
        <w:t xml:space="preserve">), du </w:t>
      </w:r>
      <w:hyperlink r:id="rId67" w:history="1">
        <w:r w:rsidRPr="005A058D">
          <w:rPr>
            <w:rStyle w:val="Hyperlink"/>
            <w:lang w:val="fr-FR"/>
          </w:rPr>
          <w:t>3GPP</w:t>
        </w:r>
      </w:hyperlink>
      <w:r w:rsidRPr="005A058D">
        <w:rPr>
          <w:lang w:val="fr-FR"/>
        </w:rPr>
        <w:t xml:space="preserve">, de la </w:t>
      </w:r>
      <w:r w:rsidRPr="005A058D">
        <w:rPr>
          <w:color w:val="000000"/>
          <w:lang w:val="fr-FR"/>
        </w:rPr>
        <w:t>Telecommunications Standards Development Society</w:t>
      </w:r>
      <w:r w:rsidRPr="005A058D">
        <w:rPr>
          <w:lang w:val="fr-FR"/>
        </w:rPr>
        <w:t xml:space="preserve"> (</w:t>
      </w:r>
      <w:hyperlink r:id="rId68" w:history="1">
        <w:r w:rsidRPr="005A058D">
          <w:rPr>
            <w:rStyle w:val="Hyperlink"/>
            <w:lang w:val="fr-FR"/>
          </w:rPr>
          <w:t>TSDSI</w:t>
        </w:r>
      </w:hyperlink>
      <w:r w:rsidRPr="005A058D">
        <w:rPr>
          <w:lang w:val="fr-FR"/>
        </w:rPr>
        <w:t xml:space="preserve">) et de la </w:t>
      </w:r>
      <w:hyperlink r:id="rId69" w:history="1">
        <w:r w:rsidRPr="005A058D">
          <w:rPr>
            <w:rStyle w:val="Hyperlink"/>
            <w:lang w:val="fr-FR"/>
          </w:rPr>
          <w:t>LoRa Alliance</w:t>
        </w:r>
      </w:hyperlink>
      <w:r w:rsidRPr="005A058D">
        <w:rPr>
          <w:lang w:val="fr-FR"/>
        </w:rPr>
        <w:t xml:space="preserve"> conformément à la Recommandation UIT-T A.5. On trouvera la liste des organisations habilitées conformément aux Recommandations UIT-T A.4, A.5 et A.6 à l</w:t>
      </w:r>
      <w:r w:rsidR="00E31B2B">
        <w:rPr>
          <w:lang w:val="fr-FR"/>
        </w:rPr>
        <w:t>'</w:t>
      </w:r>
      <w:r w:rsidRPr="005A058D">
        <w:rPr>
          <w:lang w:val="fr-FR"/>
        </w:rPr>
        <w:t xml:space="preserve">adresse </w:t>
      </w:r>
      <w:hyperlink r:id="rId70" w:history="1">
        <w:r w:rsidRPr="005A058D">
          <w:rPr>
            <w:rStyle w:val="Hyperlink"/>
            <w:lang w:val="fr-FR"/>
          </w:rPr>
          <w:t>https://www.itu.int/en/ITU-T/extcoop/Pages/sdo.aspx</w:t>
        </w:r>
      </w:hyperlink>
      <w:r w:rsidRPr="005A058D">
        <w:rPr>
          <w:lang w:val="fr-FR"/>
        </w:rPr>
        <w:t>.</w:t>
      </w:r>
    </w:p>
    <w:p w14:paraId="006DFF5F" w14:textId="77777777" w:rsidR="000571E2" w:rsidRPr="005A058D" w:rsidRDefault="000571E2" w:rsidP="00E31B2B">
      <w:pPr>
        <w:pStyle w:val="Heading3"/>
        <w:rPr>
          <w:lang w:val="fr-FR"/>
        </w:rPr>
      </w:pPr>
      <w:r w:rsidRPr="005A058D">
        <w:rPr>
          <w:lang w:val="fr-FR"/>
        </w:rPr>
        <w:t>3.2.4</w:t>
      </w:r>
      <w:r w:rsidRPr="005A058D">
        <w:rPr>
          <w:lang w:val="fr-FR"/>
        </w:rPr>
        <w:tab/>
        <w:t>Groupe du Rapporteur du GCNT sur le plan stratégique et le plan opérationnel (RG</w:t>
      </w:r>
      <w:r w:rsidRPr="005A058D">
        <w:rPr>
          <w:lang w:val="fr-FR"/>
        </w:rPr>
        <w:noBreakHyphen/>
        <w:t>SOP)</w:t>
      </w:r>
    </w:p>
    <w:p w14:paraId="16EA946A" w14:textId="0A1BDAB6" w:rsidR="000571E2" w:rsidRPr="005A058D" w:rsidRDefault="000571E2" w:rsidP="00E31B2B">
      <w:pPr>
        <w:rPr>
          <w:lang w:val="fr-FR"/>
        </w:rPr>
      </w:pPr>
      <w:r w:rsidRPr="005A058D">
        <w:rPr>
          <w:lang w:val="fr-FR"/>
        </w:rPr>
        <w:t>Le Groupe RG-SOP du GCNT (</w:t>
      </w:r>
      <w:hyperlink r:id="rId71" w:history="1">
        <w:r w:rsidRPr="005A058D">
          <w:rPr>
            <w:rStyle w:val="Hyperlink"/>
            <w:lang w:val="fr-FR"/>
          </w:rPr>
          <w:t>mandat</w:t>
        </w:r>
      </w:hyperlink>
      <w:r w:rsidRPr="005A058D">
        <w:rPr>
          <w:lang w:val="fr-FR"/>
        </w:rPr>
        <w:t>) est un nouveau Groupe du Rapporteur du GCNT qui a été créé pendant la période d</w:t>
      </w:r>
      <w:r w:rsidR="00E31B2B">
        <w:rPr>
          <w:lang w:val="fr-FR"/>
        </w:rPr>
        <w:t>'</w:t>
      </w:r>
      <w:r w:rsidRPr="005A058D">
        <w:rPr>
          <w:lang w:val="fr-FR"/>
        </w:rPr>
        <w:t>études actuelle. Ce Groupe a aidé le GCNT à établir et à examiner les plans stratégique, opérationnel et financier de l</w:t>
      </w:r>
      <w:r w:rsidR="00E31B2B">
        <w:rPr>
          <w:lang w:val="fr-FR"/>
        </w:rPr>
        <w:t>'</w:t>
      </w:r>
      <w:r w:rsidRPr="005A058D">
        <w:rPr>
          <w:lang w:val="fr-FR"/>
        </w:rPr>
        <w:t>UIT-T et a donné des avis au Directeur du TSB,, par l</w:t>
      </w:r>
      <w:r w:rsidR="00E31B2B">
        <w:rPr>
          <w:lang w:val="fr-FR"/>
        </w:rPr>
        <w:t>'</w:t>
      </w:r>
      <w:r w:rsidRPr="005A058D">
        <w:rPr>
          <w:lang w:val="fr-FR"/>
        </w:rPr>
        <w:t>intermédiaire du GCNT, afin qu</w:t>
      </w:r>
      <w:r w:rsidR="00E31B2B">
        <w:rPr>
          <w:lang w:val="fr-FR"/>
        </w:rPr>
        <w:t>'</w:t>
      </w:r>
      <w:r w:rsidRPr="005A058D">
        <w:rPr>
          <w:lang w:val="fr-FR"/>
        </w:rPr>
        <w:t xml:space="preserve">il soumette </w:t>
      </w:r>
      <w:r w:rsidRPr="005A058D">
        <w:rPr>
          <w:color w:val="000000"/>
          <w:lang w:val="fr-FR"/>
        </w:rPr>
        <w:t xml:space="preserve">des contributions pertinentes </w:t>
      </w:r>
      <w:r w:rsidRPr="005A058D">
        <w:rPr>
          <w:lang w:val="fr-FR"/>
        </w:rPr>
        <w:t>au Groupe de travail du Conseil sur les ressources financières et les ressources humaines en vue de l</w:t>
      </w:r>
      <w:r w:rsidR="00E31B2B">
        <w:rPr>
          <w:lang w:val="fr-FR"/>
        </w:rPr>
        <w:t>'</w:t>
      </w:r>
      <w:r w:rsidRPr="005A058D">
        <w:rPr>
          <w:lang w:val="fr-FR"/>
        </w:rPr>
        <w:t>élaboration du projet de plan stratégique de l</w:t>
      </w:r>
      <w:r w:rsidR="00E31B2B">
        <w:rPr>
          <w:lang w:val="fr-FR"/>
        </w:rPr>
        <w:t>'</w:t>
      </w:r>
      <w:r w:rsidRPr="005A058D">
        <w:rPr>
          <w:lang w:val="fr-FR"/>
        </w:rPr>
        <w:t>Union. Le Secrétariat général a soumis aux réunions du GCNT le projet actualisé de plan opérationnel quadriennal glissant pour examen.</w:t>
      </w:r>
    </w:p>
    <w:p w14:paraId="404C6320" w14:textId="0D91B658" w:rsidR="000571E2" w:rsidRPr="005A058D" w:rsidRDefault="000571E2" w:rsidP="00E31B2B">
      <w:pPr>
        <w:rPr>
          <w:lang w:val="fr-FR"/>
        </w:rPr>
      </w:pPr>
      <w:r w:rsidRPr="005A058D">
        <w:rPr>
          <w:lang w:val="fr-FR"/>
        </w:rPr>
        <w:t>Le rapport d</w:t>
      </w:r>
      <w:r w:rsidR="00E31B2B">
        <w:rPr>
          <w:lang w:val="fr-FR"/>
        </w:rPr>
        <w:t>'</w:t>
      </w:r>
      <w:r w:rsidRPr="005A058D">
        <w:rPr>
          <w:lang w:val="fr-FR"/>
        </w:rPr>
        <w:t>activité des réunions intérimaires du Groupe RG-SOP figure dans le Document </w:t>
      </w:r>
      <w:hyperlink r:id="rId72" w:history="1">
        <w:r w:rsidRPr="005A058D">
          <w:rPr>
            <w:rStyle w:val="Hyperlink"/>
            <w:szCs w:val="24"/>
            <w:lang w:val="fr-FR" w:eastAsia="zh-CN"/>
          </w:rPr>
          <w:t>TSAG</w:t>
        </w:r>
        <w:r w:rsidRPr="005A058D">
          <w:rPr>
            <w:rStyle w:val="Hyperlink"/>
            <w:szCs w:val="24"/>
            <w:lang w:val="fr-FR" w:eastAsia="zh-CN"/>
          </w:rPr>
          <w:noBreakHyphen/>
          <w:t>TD956</w:t>
        </w:r>
      </w:hyperlink>
      <w:r w:rsidRPr="005A058D">
        <w:rPr>
          <w:lang w:val="fr-FR"/>
        </w:rPr>
        <w:t xml:space="preserve"> et les rapports du Groupe RG-SOP soumis lors des réunions du GCNT figurent dans les Documents temporaires </w:t>
      </w:r>
      <w:hyperlink r:id="rId73" w:history="1">
        <w:r w:rsidRPr="005A058D">
          <w:rPr>
            <w:rStyle w:val="Hyperlink"/>
            <w:lang w:val="fr-FR"/>
          </w:rPr>
          <w:t>87</w:t>
        </w:r>
      </w:hyperlink>
      <w:r w:rsidRPr="005A058D">
        <w:rPr>
          <w:lang w:val="fr-FR"/>
        </w:rPr>
        <w:t xml:space="preserve"> et </w:t>
      </w:r>
      <w:hyperlink r:id="rId74" w:history="1">
        <w:r w:rsidRPr="005A058D">
          <w:rPr>
            <w:rStyle w:val="Hyperlink"/>
            <w:lang w:val="fr-FR"/>
          </w:rPr>
          <w:t>131</w:t>
        </w:r>
      </w:hyperlink>
      <w:r w:rsidRPr="005A058D">
        <w:rPr>
          <w:lang w:val="fr-FR"/>
        </w:rPr>
        <w:t xml:space="preserve"> du GCNT.</w:t>
      </w:r>
    </w:p>
    <w:p w14:paraId="4D83A5F1" w14:textId="64CDEE1E" w:rsidR="000571E2" w:rsidRPr="005A058D" w:rsidRDefault="000571E2" w:rsidP="00E31B2B">
      <w:pPr>
        <w:rPr>
          <w:rFonts w:eastAsiaTheme="minorEastAsia"/>
          <w:bCs/>
          <w:szCs w:val="24"/>
          <w:lang w:val="fr-FR" w:eastAsia="ja-JP"/>
        </w:rPr>
      </w:pPr>
      <w:r w:rsidRPr="005A058D">
        <w:rPr>
          <w:szCs w:val="24"/>
          <w:lang w:val="fr-FR"/>
        </w:rPr>
        <w:t>Il est indiqué au § 33 du document de la Commission 6 de la PP (Dubaï, 2018) concernant les normes internationales non discriminatoires que, lors de la révision de l</w:t>
      </w:r>
      <w:r w:rsidR="00E31B2B">
        <w:rPr>
          <w:szCs w:val="24"/>
          <w:lang w:val="fr-FR"/>
        </w:rPr>
        <w:t>'</w:t>
      </w:r>
      <w:r w:rsidRPr="005A058D">
        <w:rPr>
          <w:szCs w:val="24"/>
          <w:lang w:val="fr-FR"/>
        </w:rPr>
        <w:t>Annexe 1 de la Résolution 71 (Plan stratégique de l</w:t>
      </w:r>
      <w:r w:rsidR="00E31B2B">
        <w:rPr>
          <w:szCs w:val="24"/>
          <w:lang w:val="fr-FR"/>
        </w:rPr>
        <w:t>'</w:t>
      </w:r>
      <w:r w:rsidRPr="005A058D">
        <w:rPr>
          <w:szCs w:val="24"/>
          <w:lang w:val="fr-FR"/>
        </w:rPr>
        <w:t>UIT pour la période 2020-2023), plusieurs administrations ont souligné que le terme "non discriminatoire" utilisé pour décrire les normes internationales est ambigu et pourrait conduire à différentes interprétations, raison pour laquelle il n</w:t>
      </w:r>
      <w:r w:rsidR="00E31B2B">
        <w:rPr>
          <w:szCs w:val="24"/>
          <w:lang w:val="fr-FR"/>
        </w:rPr>
        <w:t>'</w:t>
      </w:r>
      <w:r w:rsidRPr="005A058D">
        <w:rPr>
          <w:szCs w:val="24"/>
          <w:lang w:val="fr-FR"/>
        </w:rPr>
        <w:t>est pas acceptable. Toutefois, étant donné qu</w:t>
      </w:r>
      <w:r w:rsidR="00E31B2B">
        <w:rPr>
          <w:szCs w:val="24"/>
          <w:lang w:val="fr-FR"/>
        </w:rPr>
        <w:t>'</w:t>
      </w:r>
      <w:r w:rsidRPr="005A058D">
        <w:rPr>
          <w:szCs w:val="24"/>
          <w:lang w:val="fr-FR"/>
        </w:rPr>
        <w:t>il figure dans le texte original de la PP-14, il ne sera pas formulé d</w:t>
      </w:r>
      <w:r w:rsidR="00E31B2B">
        <w:rPr>
          <w:szCs w:val="24"/>
          <w:lang w:val="fr-FR"/>
        </w:rPr>
        <w:t>'</w:t>
      </w:r>
      <w:r w:rsidRPr="005A058D">
        <w:rPr>
          <w:szCs w:val="24"/>
          <w:lang w:val="fr-FR"/>
        </w:rPr>
        <w:t>objection à son utilisation dans le Plan stratégique pour la période 2020-2023. Cependant, lorsque le Plan stratégique pour la période 2024-2027 sera examiné, en particulier lorsque les plans du Secteur de l</w:t>
      </w:r>
      <w:r w:rsidR="00E31B2B">
        <w:rPr>
          <w:szCs w:val="24"/>
          <w:lang w:val="fr-FR"/>
        </w:rPr>
        <w:t>'</w:t>
      </w:r>
      <w:r w:rsidRPr="005A058D">
        <w:rPr>
          <w:szCs w:val="24"/>
          <w:lang w:val="fr-FR"/>
        </w:rPr>
        <w:t>UIT-T seront examinés, il conviendra de trouver une formulation décrivant la situation sans créer d</w:t>
      </w:r>
      <w:r w:rsidR="00E31B2B">
        <w:rPr>
          <w:szCs w:val="24"/>
          <w:lang w:val="fr-FR"/>
        </w:rPr>
        <w:t>'</w:t>
      </w:r>
      <w:r w:rsidRPr="005A058D">
        <w:rPr>
          <w:szCs w:val="24"/>
          <w:lang w:val="fr-FR"/>
        </w:rPr>
        <w:t>ambiguïté.</w:t>
      </w:r>
      <w:r w:rsidRPr="005A058D">
        <w:rPr>
          <w:rFonts w:eastAsiaTheme="minorEastAsia"/>
          <w:bCs/>
          <w:szCs w:val="24"/>
          <w:lang w:val="fr-FR" w:eastAsia="ja-JP"/>
        </w:rPr>
        <w:t xml:space="preserve"> Lors de sa réunion électronique tenue le 9 novembre 2020, le Groupe du Rapporteur du GCNT sur le plan stratégique et le plan opérationnel a examiné les questions relatives au terme "non discriminatoire" et a conclu que des contributions devraient être soumises à la prochaine réunion du GCNT, afin de reprendre les discussions. Aucune contribution n</w:t>
      </w:r>
      <w:r w:rsidR="00E31B2B">
        <w:rPr>
          <w:rFonts w:eastAsiaTheme="minorEastAsia"/>
          <w:bCs/>
          <w:szCs w:val="24"/>
          <w:lang w:val="fr-FR" w:eastAsia="ja-JP"/>
        </w:rPr>
        <w:t>'</w:t>
      </w:r>
      <w:r w:rsidRPr="005A058D">
        <w:rPr>
          <w:rFonts w:eastAsiaTheme="minorEastAsia"/>
          <w:bCs/>
          <w:szCs w:val="24"/>
          <w:lang w:val="fr-FR" w:eastAsia="ja-JP"/>
        </w:rPr>
        <w:t>a été reçue.</w:t>
      </w:r>
    </w:p>
    <w:p w14:paraId="4E81F281" w14:textId="77777777" w:rsidR="000571E2" w:rsidRPr="005A058D" w:rsidRDefault="000571E2" w:rsidP="00E31B2B">
      <w:pPr>
        <w:pStyle w:val="Heading3"/>
        <w:rPr>
          <w:lang w:val="fr-FR"/>
        </w:rPr>
      </w:pPr>
      <w:r w:rsidRPr="005A058D">
        <w:rPr>
          <w:lang w:val="fr-FR"/>
        </w:rPr>
        <w:t>3.2.5</w:t>
      </w:r>
      <w:r w:rsidRPr="005A058D">
        <w:rPr>
          <w:lang w:val="fr-FR"/>
        </w:rPr>
        <w:tab/>
        <w:t>Groupe du Rapporteur du GCNT sur la stratégie en matière de normalisation (RG</w:t>
      </w:r>
      <w:r w:rsidRPr="005A058D">
        <w:rPr>
          <w:lang w:val="fr-FR"/>
        </w:rPr>
        <w:noBreakHyphen/>
        <w:t>StdsStrat)</w:t>
      </w:r>
    </w:p>
    <w:p w14:paraId="6A41248A" w14:textId="468825FA" w:rsidR="000571E2" w:rsidRPr="005A058D" w:rsidRDefault="000571E2" w:rsidP="00E31B2B">
      <w:pPr>
        <w:rPr>
          <w:lang w:val="fr-FR"/>
        </w:rPr>
      </w:pPr>
      <w:r w:rsidRPr="005A058D">
        <w:rPr>
          <w:lang w:val="fr-FR"/>
        </w:rPr>
        <w:t>Le Groupe RG-StdsStrat du GCNT (</w:t>
      </w:r>
      <w:hyperlink r:id="rId75" w:history="1">
        <w:r w:rsidRPr="005A058D">
          <w:rPr>
            <w:rStyle w:val="Hyperlink"/>
            <w:lang w:val="fr-FR"/>
          </w:rPr>
          <w:t>mandat</w:t>
        </w:r>
      </w:hyperlink>
      <w:r w:rsidRPr="005A058D">
        <w:rPr>
          <w:lang w:val="fr-FR"/>
        </w:rPr>
        <w:t>) est un nouveau Groupe du Rapporteur du GCNT établi pendant la période d</w:t>
      </w:r>
      <w:r w:rsidR="00E31B2B">
        <w:rPr>
          <w:lang w:val="fr-FR"/>
        </w:rPr>
        <w:t>'</w:t>
      </w:r>
      <w:r w:rsidRPr="005A058D">
        <w:rPr>
          <w:lang w:val="fr-FR"/>
        </w:rPr>
        <w:t xml:space="preserve">études actuelle. Il a communiqué des renseignements stratégiques au GCNT, afin que celui-ci en tienne compte </w:t>
      </w:r>
      <w:r w:rsidRPr="005A058D">
        <w:rPr>
          <w:color w:val="000000"/>
          <w:lang w:val="fr-FR"/>
        </w:rPr>
        <w:t>lorsqu</w:t>
      </w:r>
      <w:r w:rsidR="00E31B2B">
        <w:rPr>
          <w:color w:val="000000"/>
          <w:lang w:val="fr-FR"/>
        </w:rPr>
        <w:t>'</w:t>
      </w:r>
      <w:r w:rsidRPr="005A058D">
        <w:rPr>
          <w:color w:val="000000"/>
          <w:lang w:val="fr-FR"/>
        </w:rPr>
        <w:t xml:space="preserve">il donnera </w:t>
      </w:r>
      <w:r w:rsidRPr="005A058D">
        <w:rPr>
          <w:lang w:val="fr-FR"/>
        </w:rPr>
        <w:t>au Secteur des avis sur les mesures stratégiques. À la différence des autres groupes du Rapporteur, le Groupe RG-StdsStrat a été présidé par roulement par plusieurs Corapporteurs. Les rapports d</w:t>
      </w:r>
      <w:r w:rsidR="00E31B2B">
        <w:rPr>
          <w:lang w:val="fr-FR"/>
        </w:rPr>
        <w:t>'</w:t>
      </w:r>
      <w:r w:rsidRPr="005A058D">
        <w:rPr>
          <w:lang w:val="fr-FR"/>
        </w:rPr>
        <w:t xml:space="preserve">activité des réunions intérimaires du Groupe RG-StdsStrat figurent dans les Documents temporaires </w:t>
      </w:r>
      <w:hyperlink r:id="rId76" w:history="1">
        <w:r w:rsidRPr="005A058D">
          <w:rPr>
            <w:rStyle w:val="Hyperlink"/>
            <w:rFonts w:asciiTheme="majorBidi" w:hAnsiTheme="majorBidi" w:cstheme="majorBidi"/>
            <w:szCs w:val="24"/>
            <w:lang w:val="fr-FR"/>
          </w:rPr>
          <w:t>215</w:t>
        </w:r>
      </w:hyperlink>
      <w:r w:rsidRPr="005A058D">
        <w:rPr>
          <w:rStyle w:val="Hyperlink"/>
          <w:rFonts w:asciiTheme="majorBidi" w:hAnsiTheme="majorBidi" w:cstheme="majorBidi"/>
          <w:szCs w:val="24"/>
          <w:lang w:val="fr-FR"/>
        </w:rPr>
        <w:t>-R2</w:t>
      </w:r>
      <w:hyperlink r:id="rId77" w:history="1">
        <w:r w:rsidRPr="005A058D">
          <w:rPr>
            <w:lang w:val="fr-FR"/>
          </w:rPr>
          <w:t xml:space="preserve">, </w:t>
        </w:r>
        <w:r w:rsidRPr="005A058D">
          <w:rPr>
            <w:rStyle w:val="Hyperlink"/>
            <w:szCs w:val="24"/>
            <w:lang w:val="fr-FR"/>
          </w:rPr>
          <w:t>315</w:t>
        </w:r>
      </w:hyperlink>
      <w:r w:rsidRPr="005A058D">
        <w:rPr>
          <w:rStyle w:val="Hyperlink"/>
          <w:szCs w:val="24"/>
          <w:lang w:val="fr-FR"/>
        </w:rPr>
        <w:t>-R1</w:t>
      </w:r>
      <w:r w:rsidRPr="005A058D">
        <w:rPr>
          <w:lang w:val="fr-FR"/>
        </w:rPr>
        <w:t>,</w:t>
      </w:r>
      <w:hyperlink r:id="rId78" w:history="1">
        <w:r w:rsidRPr="005A058D">
          <w:rPr>
            <w:lang w:val="fr-FR"/>
          </w:rPr>
          <w:t xml:space="preserve"> </w:t>
        </w:r>
        <w:hyperlink r:id="rId79" w:history="1">
          <w:r w:rsidRPr="005A058D">
            <w:rPr>
              <w:rStyle w:val="Hyperlink"/>
              <w:szCs w:val="24"/>
              <w:lang w:val="fr-FR"/>
            </w:rPr>
            <w:t>489</w:t>
          </w:r>
        </w:hyperlink>
        <w:r w:rsidRPr="005A058D">
          <w:rPr>
            <w:lang w:val="fr-FR"/>
          </w:rPr>
          <w:t xml:space="preserve">, </w:t>
        </w:r>
        <w:r w:rsidRPr="005A058D">
          <w:rPr>
            <w:rStyle w:val="Hyperlink"/>
            <w:rFonts w:asciiTheme="majorBidi" w:hAnsiTheme="majorBidi" w:cstheme="majorBidi"/>
            <w:szCs w:val="24"/>
            <w:lang w:val="fr-FR"/>
          </w:rPr>
          <w:t>675</w:t>
        </w:r>
      </w:hyperlink>
      <w:r w:rsidRPr="005A058D">
        <w:rPr>
          <w:lang w:val="fr-FR"/>
        </w:rPr>
        <w:t xml:space="preserve">, </w:t>
      </w:r>
      <w:hyperlink r:id="rId80" w:history="1">
        <w:r w:rsidRPr="005A058D">
          <w:rPr>
            <w:rStyle w:val="Hyperlink"/>
            <w:lang w:val="fr-FR"/>
          </w:rPr>
          <w:t>810</w:t>
        </w:r>
        <w:r w:rsidRPr="005A058D">
          <w:rPr>
            <w:rStyle w:val="Hyperlink"/>
            <w:lang w:val="fr-FR"/>
          </w:rPr>
          <w:noBreakHyphen/>
          <w:t>R1</w:t>
        </w:r>
      </w:hyperlink>
      <w:r w:rsidRPr="005A058D">
        <w:rPr>
          <w:lang w:val="fr-FR"/>
        </w:rPr>
        <w:t xml:space="preserve">, </w:t>
      </w:r>
      <w:hyperlink r:id="rId81" w:history="1">
        <w:r w:rsidRPr="005A058D">
          <w:rPr>
            <w:rStyle w:val="Hyperlink"/>
            <w:lang w:val="fr-FR"/>
          </w:rPr>
          <w:t>951-R1</w:t>
        </w:r>
      </w:hyperlink>
      <w:r w:rsidRPr="005A058D">
        <w:rPr>
          <w:lang w:val="fr-FR"/>
        </w:rPr>
        <w:t xml:space="preserve"> et </w:t>
      </w:r>
      <w:hyperlink r:id="rId82" w:history="1">
        <w:r w:rsidRPr="005A058D">
          <w:rPr>
            <w:rStyle w:val="Hyperlink"/>
            <w:lang w:val="fr-FR"/>
          </w:rPr>
          <w:t>1052</w:t>
        </w:r>
      </w:hyperlink>
      <w:r w:rsidRPr="005A058D">
        <w:rPr>
          <w:rStyle w:val="Hyperlink"/>
          <w:lang w:val="fr-FR"/>
        </w:rPr>
        <w:t xml:space="preserve"> </w:t>
      </w:r>
      <w:r w:rsidRPr="005A058D">
        <w:rPr>
          <w:lang w:val="fr-FR"/>
        </w:rPr>
        <w:t xml:space="preserve">du GCNT. Les rapports du Groupe RG-StdsStrat présentés lors des réunions du GCNT figurent dans les </w:t>
      </w:r>
      <w:r>
        <w:rPr>
          <w:lang w:val="fr-FR"/>
        </w:rPr>
        <w:t>D</w:t>
      </w:r>
      <w:r w:rsidRPr="005A058D">
        <w:rPr>
          <w:lang w:val="fr-FR"/>
        </w:rPr>
        <w:t xml:space="preserve">ocuments temporaires </w:t>
      </w:r>
      <w:hyperlink r:id="rId83" w:history="1">
        <w:r w:rsidRPr="005A058D">
          <w:rPr>
            <w:rStyle w:val="Hyperlink"/>
            <w:rFonts w:asciiTheme="majorBidi" w:hAnsiTheme="majorBidi" w:cstheme="majorBidi"/>
            <w:szCs w:val="24"/>
            <w:lang w:val="fr-FR"/>
          </w:rPr>
          <w:t>215</w:t>
        </w:r>
      </w:hyperlink>
      <w:r w:rsidRPr="005A058D">
        <w:rPr>
          <w:rStyle w:val="Hyperlink"/>
          <w:rFonts w:asciiTheme="majorBidi" w:hAnsiTheme="majorBidi" w:cstheme="majorBidi"/>
          <w:szCs w:val="24"/>
          <w:lang w:val="fr-FR"/>
        </w:rPr>
        <w:t>-R2</w:t>
      </w:r>
      <w:hyperlink r:id="rId84" w:history="1">
        <w:r w:rsidRPr="005A058D">
          <w:rPr>
            <w:lang w:val="fr-FR"/>
          </w:rPr>
          <w:t xml:space="preserve">, </w:t>
        </w:r>
        <w:r w:rsidRPr="005A058D">
          <w:rPr>
            <w:rStyle w:val="Hyperlink"/>
            <w:szCs w:val="24"/>
            <w:lang w:val="fr-FR"/>
          </w:rPr>
          <w:t>315</w:t>
        </w:r>
      </w:hyperlink>
      <w:r w:rsidRPr="005A058D">
        <w:rPr>
          <w:rStyle w:val="Hyperlink"/>
          <w:szCs w:val="24"/>
          <w:lang w:val="fr-FR"/>
        </w:rPr>
        <w:t>-R1</w:t>
      </w:r>
      <w:r w:rsidRPr="005A058D">
        <w:rPr>
          <w:lang w:val="fr-FR"/>
        </w:rPr>
        <w:t>,</w:t>
      </w:r>
      <w:hyperlink r:id="rId85" w:history="1">
        <w:r w:rsidRPr="005A058D">
          <w:rPr>
            <w:lang w:val="fr-FR"/>
          </w:rPr>
          <w:t xml:space="preserve"> </w:t>
        </w:r>
        <w:hyperlink r:id="rId86" w:history="1">
          <w:r w:rsidRPr="005A058D">
            <w:rPr>
              <w:rStyle w:val="Hyperlink"/>
              <w:szCs w:val="24"/>
              <w:lang w:val="fr-FR"/>
            </w:rPr>
            <w:t>489</w:t>
          </w:r>
        </w:hyperlink>
        <w:r w:rsidRPr="005A058D">
          <w:rPr>
            <w:lang w:val="fr-FR"/>
          </w:rPr>
          <w:t xml:space="preserve">, </w:t>
        </w:r>
        <w:r w:rsidRPr="005A058D">
          <w:rPr>
            <w:rStyle w:val="Hyperlink"/>
            <w:rFonts w:asciiTheme="majorBidi" w:hAnsiTheme="majorBidi" w:cstheme="majorBidi"/>
            <w:szCs w:val="24"/>
            <w:lang w:val="fr-FR"/>
          </w:rPr>
          <w:t>675</w:t>
        </w:r>
      </w:hyperlink>
      <w:r w:rsidRPr="005A058D">
        <w:rPr>
          <w:lang w:val="fr-FR"/>
        </w:rPr>
        <w:t xml:space="preserve">, </w:t>
      </w:r>
      <w:hyperlink r:id="rId87" w:history="1">
        <w:r w:rsidRPr="005A058D">
          <w:rPr>
            <w:rStyle w:val="Hyperlink"/>
            <w:lang w:val="fr-FR"/>
          </w:rPr>
          <w:t>810-R1</w:t>
        </w:r>
      </w:hyperlink>
      <w:r w:rsidRPr="005A058D">
        <w:rPr>
          <w:lang w:val="fr-FR"/>
        </w:rPr>
        <w:t xml:space="preserve">, </w:t>
      </w:r>
      <w:hyperlink r:id="rId88" w:history="1">
        <w:r w:rsidRPr="005A058D">
          <w:rPr>
            <w:rStyle w:val="Hyperlink"/>
            <w:lang w:val="fr-FR"/>
          </w:rPr>
          <w:t>951-R1</w:t>
        </w:r>
      </w:hyperlink>
      <w:r w:rsidRPr="005A058D">
        <w:rPr>
          <w:lang w:val="fr-FR"/>
        </w:rPr>
        <w:t xml:space="preserve"> et </w:t>
      </w:r>
      <w:hyperlink r:id="rId89" w:history="1">
        <w:r w:rsidRPr="005A058D">
          <w:rPr>
            <w:rStyle w:val="Hyperlink"/>
            <w:lang w:val="fr-FR"/>
          </w:rPr>
          <w:t>1052</w:t>
        </w:r>
      </w:hyperlink>
      <w:r w:rsidR="008154FC">
        <w:rPr>
          <w:lang w:val="fr-FR"/>
        </w:rPr>
        <w:t xml:space="preserve"> du </w:t>
      </w:r>
      <w:r w:rsidRPr="005A058D">
        <w:rPr>
          <w:lang w:val="fr-FR"/>
        </w:rPr>
        <w:t>GCNT.</w:t>
      </w:r>
    </w:p>
    <w:p w14:paraId="6023AEA1" w14:textId="46867F09" w:rsidR="000571E2" w:rsidRPr="005A058D" w:rsidRDefault="000571E2" w:rsidP="00E31B2B">
      <w:pPr>
        <w:rPr>
          <w:lang w:val="fr-FR"/>
        </w:rPr>
      </w:pPr>
      <w:r w:rsidRPr="005A058D">
        <w:rPr>
          <w:lang w:val="fr-FR"/>
        </w:rPr>
        <w:t>Un appel à participation a été lancé en vue d</w:t>
      </w:r>
      <w:r w:rsidR="00E31B2B">
        <w:rPr>
          <w:lang w:val="fr-FR"/>
        </w:rPr>
        <w:t>'</w:t>
      </w:r>
      <w:r w:rsidRPr="005A058D">
        <w:rPr>
          <w:lang w:val="fr-FR"/>
        </w:rPr>
        <w:t>accroître le nombre de membres du secteur privé participant aux travaux du Groupe RG-StdsStrat du GCNT et d</w:t>
      </w:r>
      <w:r w:rsidR="00E31B2B">
        <w:rPr>
          <w:lang w:val="fr-FR"/>
        </w:rPr>
        <w:t>'</w:t>
      </w:r>
      <w:r w:rsidRPr="005A058D">
        <w:rPr>
          <w:lang w:val="fr-FR"/>
        </w:rPr>
        <w:t>encourager</w:t>
      </w:r>
      <w:r w:rsidRPr="005A058D">
        <w:rPr>
          <w:rFonts w:eastAsia="HGPSoeiKakugothicUB"/>
          <w:lang w:val="fr-FR"/>
        </w:rPr>
        <w:t xml:space="preserve"> la participation active de ce secteur pour tenir compte des dernières évolutions techniques et des besoins du marché.</w:t>
      </w:r>
    </w:p>
    <w:p w14:paraId="53EF30ED" w14:textId="60839D88" w:rsidR="000571E2" w:rsidRPr="005A058D" w:rsidRDefault="000571E2" w:rsidP="00E31B2B">
      <w:pPr>
        <w:rPr>
          <w:lang w:val="fr-FR"/>
        </w:rPr>
      </w:pPr>
      <w:r w:rsidRPr="005A058D">
        <w:rPr>
          <w:lang w:val="fr-FR"/>
        </w:rPr>
        <w:t>Les réunions des directeurs techniques</w:t>
      </w:r>
      <w:r w:rsidRPr="005A058D">
        <w:rPr>
          <w:color w:val="000000"/>
          <w:lang w:val="fr-FR"/>
        </w:rPr>
        <w:t xml:space="preserve"> et des hauts dirigeants</w:t>
      </w:r>
      <w:r w:rsidRPr="005A058D">
        <w:rPr>
          <w:lang w:val="fr-FR"/>
        </w:rPr>
        <w:t xml:space="preserve"> (CTO, CXO), organisées par le Directeur du TSB conformément à la Résolution 68 </w:t>
      </w:r>
      <w:r w:rsidRPr="005A058D">
        <w:rPr>
          <w:rFonts w:asciiTheme="majorBidi" w:eastAsia="MS Mincho" w:hAnsiTheme="majorBidi" w:cstheme="majorBidi"/>
          <w:color w:val="000000"/>
          <w:lang w:val="fr-FR"/>
        </w:rPr>
        <w:t>(Rév. Hammamet, 2016), ont aidé le Groupe du Rapporteur à examiner les enjeux stratégiques auxquels est confronté le Secteur de l</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 xml:space="preserve">UIT-T et ont permis de faire connaître les vues du secteur privé lors des débats, le secteur privé la principale </w:t>
      </w:r>
      <w:r w:rsidRPr="005A058D">
        <w:rPr>
          <w:rFonts w:asciiTheme="majorBidi" w:eastAsia="MS Mincho" w:hAnsiTheme="majorBidi" w:cstheme="majorBidi"/>
          <w:color w:val="000000"/>
          <w:lang w:val="fr-FR"/>
        </w:rPr>
        <w:lastRenderedPageBreak/>
        <w:t>composante des activités de l</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 xml:space="preserve">UIT-T dans le domaine technique. Le Groupe RG-StdsStrat a examiné les Communiqués établis lors des réunions des directeurs techniques et des hauts dirigeants et a indiqué les </w:t>
      </w:r>
      <w:r w:rsidRPr="005A058D">
        <w:rPr>
          <w:color w:val="000000"/>
          <w:lang w:val="fr-FR"/>
        </w:rPr>
        <w:t>thèmes à examiner</w:t>
      </w:r>
      <w:r w:rsidRPr="005A058D" w:rsidDel="0020471E">
        <w:rPr>
          <w:rFonts w:asciiTheme="majorBidi" w:eastAsia="MS Mincho" w:hAnsiTheme="majorBidi" w:cstheme="majorBidi"/>
          <w:color w:val="000000"/>
          <w:lang w:val="fr-FR"/>
        </w:rPr>
        <w:t xml:space="preserve"> </w:t>
      </w:r>
      <w:r w:rsidRPr="005A058D">
        <w:rPr>
          <w:rFonts w:asciiTheme="majorBidi" w:eastAsia="MS Mincho" w:hAnsiTheme="majorBidi" w:cstheme="majorBidi"/>
          <w:color w:val="000000"/>
          <w:lang w:val="fr-FR"/>
        </w:rPr>
        <w:t>dans une liste de sujets d</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actualité à jour, qui a par la suite été transformée en répertoire formel des sujets d</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 xml:space="preserve">actualité (voir le Document </w:t>
      </w:r>
      <w:hyperlink r:id="rId90" w:history="1">
        <w:r w:rsidRPr="005A058D">
          <w:rPr>
            <w:rStyle w:val="Hyperlink"/>
            <w:rFonts w:asciiTheme="majorBidi" w:hAnsiTheme="majorBidi" w:cstheme="majorBidi"/>
            <w:lang w:val="fr-FR"/>
          </w:rPr>
          <w:t>TSAG-TD846-R1</w:t>
        </w:r>
      </w:hyperlink>
      <w:r w:rsidRPr="005A058D">
        <w:rPr>
          <w:rFonts w:asciiTheme="majorBidi" w:eastAsia="MS Mincho" w:hAnsiTheme="majorBidi" w:cstheme="majorBidi"/>
          <w:color w:val="000000"/>
          <w:lang w:val="fr-FR"/>
        </w:rPr>
        <w:t>). Ce répertoire a été transmis aux Commissions d</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études de l</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UIT-T et a permis au Groupe du Rapporteur de prendre connaissance de plusieurs sujets d</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actualité en cours ou en projet au sein des différentes commissions d</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 xml:space="preserve">études. Toutefois, certaines questions fondamentales restent en suspens (voir le Document temporaire </w:t>
      </w:r>
      <w:hyperlink r:id="rId91" w:history="1">
        <w:r w:rsidRPr="005A058D">
          <w:rPr>
            <w:rStyle w:val="Hyperlink"/>
            <w:rFonts w:asciiTheme="majorBidi" w:eastAsia="MS Mincho" w:hAnsiTheme="majorBidi" w:cstheme="majorBidi"/>
            <w:lang w:val="fr-FR"/>
          </w:rPr>
          <w:t>61</w:t>
        </w:r>
      </w:hyperlink>
      <w:r w:rsidRPr="005A058D">
        <w:rPr>
          <w:rFonts w:asciiTheme="majorBidi" w:eastAsia="MS Mincho" w:hAnsiTheme="majorBidi" w:cstheme="majorBidi"/>
          <w:color w:val="000000"/>
          <w:lang w:val="fr-FR"/>
        </w:rPr>
        <w:t xml:space="preserve"> du Groupe RG-StdsStrat du GCNT) en ce qui concerne la notion de sujet d</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actualité, l</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objectif et la tenue à jour de ce répertoire de sujets d</w:t>
      </w:r>
      <w:r w:rsidR="00E31B2B">
        <w:rPr>
          <w:rFonts w:asciiTheme="majorBidi" w:eastAsia="MS Mincho" w:hAnsiTheme="majorBidi" w:cstheme="majorBidi"/>
          <w:color w:val="000000"/>
          <w:lang w:val="fr-FR"/>
        </w:rPr>
        <w:t>'</w:t>
      </w:r>
      <w:r w:rsidRPr="005A058D">
        <w:rPr>
          <w:rFonts w:asciiTheme="majorBidi" w:eastAsia="MS Mincho" w:hAnsiTheme="majorBidi" w:cstheme="majorBidi"/>
          <w:color w:val="000000"/>
          <w:lang w:val="fr-FR"/>
        </w:rPr>
        <w:t>actualité et les procédures qui y sont associées. Une collaboration a été établie avec la CEI/SEG 8, auprès de laquelle M.</w:t>
      </w:r>
      <w:r>
        <w:rPr>
          <w:rFonts w:asciiTheme="majorBidi" w:eastAsia="MS Mincho" w:hAnsiTheme="majorBidi" w:cstheme="majorBidi"/>
          <w:color w:val="000000"/>
          <w:lang w:val="fr-FR"/>
        </w:rPr>
        <w:t> </w:t>
      </w:r>
      <w:r w:rsidRPr="005A058D">
        <w:rPr>
          <w:rFonts w:asciiTheme="majorBidi" w:eastAsia="MS Mincho" w:hAnsiTheme="majorBidi" w:cstheme="majorBidi"/>
          <w:color w:val="000000"/>
          <w:lang w:val="fr-FR"/>
        </w:rPr>
        <w:t>Yoichi</w:t>
      </w:r>
      <w:r>
        <w:rPr>
          <w:rFonts w:asciiTheme="majorBidi" w:eastAsia="MS Mincho" w:hAnsiTheme="majorBidi" w:cstheme="majorBidi"/>
          <w:color w:val="000000"/>
          <w:lang w:val="fr-FR"/>
        </w:rPr>
        <w:t> </w:t>
      </w:r>
      <w:r w:rsidRPr="005A058D">
        <w:rPr>
          <w:rFonts w:asciiTheme="majorBidi" w:eastAsia="MS Mincho" w:hAnsiTheme="majorBidi" w:cstheme="majorBidi"/>
          <w:color w:val="000000"/>
          <w:lang w:val="fr-FR"/>
        </w:rPr>
        <w:t>Maeda est le représentant désigné du GCNT, pour ce qui est de ses activités de</w:t>
      </w:r>
      <w:r w:rsidRPr="005A058D">
        <w:rPr>
          <w:lang w:val="fr-FR"/>
        </w:rPr>
        <w:t xml:space="preserve"> veille concernant les sujets d</w:t>
      </w:r>
      <w:r w:rsidR="00E31B2B">
        <w:rPr>
          <w:lang w:val="fr-FR"/>
        </w:rPr>
        <w:t>'</w:t>
      </w:r>
      <w:r w:rsidRPr="005A058D">
        <w:rPr>
          <w:lang w:val="fr-FR"/>
        </w:rPr>
        <w:t>actualité</w:t>
      </w:r>
      <w:r w:rsidRPr="005A058D">
        <w:rPr>
          <w:rFonts w:asciiTheme="majorBidi" w:eastAsia="MS Mincho" w:hAnsiTheme="majorBidi" w:cstheme="majorBidi"/>
          <w:color w:val="000000"/>
          <w:lang w:val="fr-FR"/>
        </w:rPr>
        <w:t>.</w:t>
      </w:r>
    </w:p>
    <w:p w14:paraId="1A34D728" w14:textId="44222ACF" w:rsidR="000571E2" w:rsidRPr="005A058D" w:rsidRDefault="000571E2" w:rsidP="00E31B2B">
      <w:pPr>
        <w:rPr>
          <w:lang w:val="fr-FR"/>
        </w:rPr>
      </w:pPr>
      <w:r w:rsidRPr="005A058D">
        <w:rPr>
          <w:lang w:val="fr-FR"/>
        </w:rPr>
        <w:t>Le Groupe s</w:t>
      </w:r>
      <w:r w:rsidR="00E31B2B">
        <w:rPr>
          <w:lang w:val="fr-FR"/>
        </w:rPr>
        <w:t>'</w:t>
      </w:r>
      <w:r w:rsidRPr="005A058D">
        <w:rPr>
          <w:lang w:val="fr-FR"/>
        </w:rPr>
        <w:t>est intéressé davantage à l</w:t>
      </w:r>
      <w:r w:rsidR="00E31B2B">
        <w:rPr>
          <w:lang w:val="fr-FR"/>
        </w:rPr>
        <w:t>'</w:t>
      </w:r>
      <w:r w:rsidRPr="005A058D">
        <w:rPr>
          <w:lang w:val="fr-FR"/>
        </w:rPr>
        <w:t>élaboration de mesures et de statistiques visant à mesurer et évaluer les activités actuelles de l</w:t>
      </w:r>
      <w:r w:rsidR="00E31B2B">
        <w:rPr>
          <w:lang w:val="fr-FR"/>
        </w:rPr>
        <w:t>'</w:t>
      </w:r>
      <w:r w:rsidRPr="005A058D">
        <w:rPr>
          <w:lang w:val="fr-FR"/>
        </w:rPr>
        <w:t>UIT-T, afin de déterminer différentes possibilités d</w:t>
      </w:r>
      <w:r w:rsidR="00E31B2B">
        <w:rPr>
          <w:lang w:val="fr-FR"/>
        </w:rPr>
        <w:t>'</w:t>
      </w:r>
      <w:r w:rsidRPr="005A058D">
        <w:rPr>
          <w:lang w:val="fr-FR"/>
        </w:rPr>
        <w:t>amélioration ou d</w:t>
      </w:r>
      <w:r w:rsidR="00E31B2B">
        <w:rPr>
          <w:lang w:val="fr-FR"/>
        </w:rPr>
        <w:t>'</w:t>
      </w:r>
      <w:r w:rsidRPr="005A058D">
        <w:rPr>
          <w:lang w:val="fr-FR"/>
        </w:rPr>
        <w:t>optimisation structurelle et d</w:t>
      </w:r>
      <w:r w:rsidR="00E31B2B">
        <w:rPr>
          <w:lang w:val="fr-FR"/>
        </w:rPr>
        <w:t>'</w:t>
      </w:r>
      <w:r w:rsidRPr="005A058D">
        <w:rPr>
          <w:lang w:val="fr-FR"/>
        </w:rPr>
        <w:t>apporter des améliorations stratégiques à la structure de l</w:t>
      </w:r>
      <w:r w:rsidR="00E31B2B">
        <w:rPr>
          <w:lang w:val="fr-FR"/>
        </w:rPr>
        <w:t>'</w:t>
      </w:r>
      <w:r w:rsidRPr="005A058D">
        <w:rPr>
          <w:lang w:val="fr-FR"/>
        </w:rPr>
        <w:t>UIT-T. Le Groupe s</w:t>
      </w:r>
      <w:r w:rsidR="00E31B2B">
        <w:rPr>
          <w:lang w:val="fr-FR"/>
        </w:rPr>
        <w:t>'</w:t>
      </w:r>
      <w:r w:rsidRPr="005A058D">
        <w:rPr>
          <w:lang w:val="fr-FR"/>
        </w:rPr>
        <w:t>est mis d</w:t>
      </w:r>
      <w:r w:rsidR="00E31B2B">
        <w:rPr>
          <w:lang w:val="fr-FR"/>
        </w:rPr>
        <w:t>'</w:t>
      </w:r>
      <w:r w:rsidRPr="005A058D">
        <w:rPr>
          <w:lang w:val="fr-FR"/>
        </w:rPr>
        <w:t xml:space="preserve">accord sur </w:t>
      </w:r>
      <w:r w:rsidRPr="005A058D">
        <w:rPr>
          <w:color w:val="000000"/>
          <w:lang w:val="fr-FR"/>
        </w:rPr>
        <w:t>la portée de ses travaux</w:t>
      </w:r>
      <w:r w:rsidRPr="005A058D" w:rsidDel="00D51281">
        <w:rPr>
          <w:lang w:val="fr-FR"/>
        </w:rPr>
        <w:t xml:space="preserve"> </w:t>
      </w:r>
      <w:r w:rsidRPr="005A058D">
        <w:rPr>
          <w:lang w:val="fr-FR"/>
        </w:rPr>
        <w:t>et la marche à suivre et a étudié la possibilité, conjointement avec le TSB, d</w:t>
      </w:r>
      <w:r w:rsidR="00E31B2B">
        <w:rPr>
          <w:lang w:val="fr-FR"/>
        </w:rPr>
        <w:t>'</w:t>
      </w:r>
      <w:r w:rsidRPr="005A058D">
        <w:rPr>
          <w:lang w:val="fr-FR"/>
        </w:rPr>
        <w:t xml:space="preserve">automatiser </w:t>
      </w:r>
      <w:r w:rsidRPr="005A058D">
        <w:rPr>
          <w:color w:val="000000"/>
          <w:lang w:val="fr-FR"/>
        </w:rPr>
        <w:t xml:space="preserve">la création de ces mesures en vue de leur application </w:t>
      </w:r>
      <w:r w:rsidRPr="005A058D">
        <w:rPr>
          <w:lang w:val="fr-FR"/>
        </w:rPr>
        <w:t xml:space="preserve">par le Bureau. Un catalogue contenant de nombreuses méthodes possibles pour mettre en œuvre les mesures/statistiques a été élaboré </w:t>
      </w:r>
      <w:r w:rsidRPr="005A058D">
        <w:rPr>
          <w:color w:val="000000"/>
          <w:lang w:val="fr-FR"/>
        </w:rPr>
        <w:t xml:space="preserve">pour utilisation </w:t>
      </w:r>
      <w:r w:rsidRPr="005A058D">
        <w:rPr>
          <w:lang w:val="fr-FR"/>
        </w:rPr>
        <w:t>par le TSB (voir l</w:t>
      </w:r>
      <w:r w:rsidR="00E31B2B">
        <w:rPr>
          <w:lang w:val="fr-FR"/>
        </w:rPr>
        <w:t>'</w:t>
      </w:r>
      <w:r w:rsidRPr="005A058D">
        <w:rPr>
          <w:lang w:val="fr-FR"/>
        </w:rPr>
        <w:t xml:space="preserve">Annexe du Document </w:t>
      </w:r>
      <w:hyperlink r:id="rId92" w:history="1">
        <w:r w:rsidRPr="005A058D">
          <w:rPr>
            <w:rStyle w:val="Hyperlink"/>
            <w:szCs w:val="24"/>
            <w:lang w:val="fr-FR"/>
          </w:rPr>
          <w:t>TSAG-TD810</w:t>
        </w:r>
      </w:hyperlink>
      <w:r w:rsidRPr="005A058D">
        <w:rPr>
          <w:rStyle w:val="Hyperlink"/>
          <w:szCs w:val="24"/>
          <w:lang w:val="fr-FR"/>
        </w:rPr>
        <w:t>-R1</w:t>
      </w:r>
      <w:r w:rsidRPr="005A058D">
        <w:rPr>
          <w:lang w:val="fr-FR"/>
        </w:rPr>
        <w:t>).</w:t>
      </w:r>
    </w:p>
    <w:p w14:paraId="782ED1F3" w14:textId="2C4D513C" w:rsidR="000571E2" w:rsidRPr="005A058D" w:rsidRDefault="000571E2" w:rsidP="00E31B2B">
      <w:pPr>
        <w:rPr>
          <w:rFonts w:asciiTheme="majorBidi" w:hAnsiTheme="majorBidi" w:cstheme="majorBidi"/>
          <w:szCs w:val="24"/>
          <w:lang w:val="fr-FR"/>
        </w:rPr>
      </w:pPr>
      <w:r w:rsidRPr="005A058D">
        <w:rPr>
          <w:rFonts w:asciiTheme="majorBidi" w:hAnsiTheme="majorBidi" w:cstheme="majorBidi"/>
          <w:szCs w:val="24"/>
          <w:lang w:val="fr-FR"/>
        </w:rPr>
        <w:t>Le Groupe a également réfléchi à la manière dont les travaux de l</w:t>
      </w:r>
      <w:r w:rsidR="00E31B2B">
        <w:rPr>
          <w:rFonts w:asciiTheme="majorBidi" w:hAnsiTheme="majorBidi" w:cstheme="majorBidi"/>
          <w:szCs w:val="24"/>
          <w:lang w:val="fr-FR"/>
        </w:rPr>
        <w:t>'</w:t>
      </w:r>
      <w:r w:rsidRPr="005A058D">
        <w:rPr>
          <w:rFonts w:asciiTheme="majorBidi" w:hAnsiTheme="majorBidi" w:cstheme="majorBidi"/>
          <w:szCs w:val="24"/>
          <w:lang w:val="fr-FR"/>
        </w:rPr>
        <w:t>UIT pourraient contribuer à la réalisation des ODD (Objectifs de développement durable définis par les Nations Unies) et dont l</w:t>
      </w:r>
      <w:r w:rsidR="00E31B2B">
        <w:rPr>
          <w:rFonts w:asciiTheme="majorBidi" w:hAnsiTheme="majorBidi" w:cstheme="majorBidi"/>
          <w:szCs w:val="24"/>
          <w:lang w:val="fr-FR"/>
        </w:rPr>
        <w:t>'</w:t>
      </w:r>
      <w:r w:rsidRPr="005A058D">
        <w:rPr>
          <w:rFonts w:asciiTheme="majorBidi" w:hAnsiTheme="majorBidi" w:cstheme="majorBidi"/>
          <w:szCs w:val="24"/>
          <w:lang w:val="fr-FR"/>
        </w:rPr>
        <w:t>élaboration de Recommandations pourrait tenir compte, dès la conception, des incidences positives et négatives pour certains ODD. Les travaux des auteurs de contributions et des commissions d</w:t>
      </w:r>
      <w:r w:rsidR="00E31B2B">
        <w:rPr>
          <w:rFonts w:asciiTheme="majorBidi" w:hAnsiTheme="majorBidi" w:cstheme="majorBidi"/>
          <w:szCs w:val="24"/>
          <w:lang w:val="fr-FR"/>
        </w:rPr>
        <w:t>'</w:t>
      </w:r>
      <w:r w:rsidRPr="005A058D">
        <w:rPr>
          <w:rFonts w:asciiTheme="majorBidi" w:hAnsiTheme="majorBidi" w:cstheme="majorBidi"/>
          <w:szCs w:val="24"/>
          <w:lang w:val="fr-FR"/>
        </w:rPr>
        <w:t>études pourraient ainsi être menés de façon plus inclusive et intégrer une approche stratégique mondiale dans le cadre d</w:t>
      </w:r>
      <w:r w:rsidR="00E31B2B">
        <w:rPr>
          <w:rFonts w:asciiTheme="majorBidi" w:hAnsiTheme="majorBidi" w:cstheme="majorBidi"/>
          <w:szCs w:val="24"/>
          <w:lang w:val="fr-FR"/>
        </w:rPr>
        <w:t>'</w:t>
      </w:r>
      <w:r w:rsidRPr="005A058D">
        <w:rPr>
          <w:rFonts w:asciiTheme="majorBidi" w:hAnsiTheme="majorBidi" w:cstheme="majorBidi"/>
          <w:szCs w:val="24"/>
          <w:lang w:val="fr-FR"/>
        </w:rPr>
        <w:t>une procédure formelle. Il a été décidé d</w:t>
      </w:r>
      <w:r w:rsidR="00E31B2B">
        <w:rPr>
          <w:rFonts w:asciiTheme="majorBidi" w:hAnsiTheme="majorBidi" w:cstheme="majorBidi"/>
          <w:szCs w:val="24"/>
          <w:lang w:val="fr-FR"/>
        </w:rPr>
        <w:t>'</w:t>
      </w:r>
      <w:r w:rsidRPr="005A058D">
        <w:rPr>
          <w:rFonts w:asciiTheme="majorBidi" w:hAnsiTheme="majorBidi" w:cstheme="majorBidi"/>
          <w:szCs w:val="24"/>
          <w:lang w:val="fr-FR"/>
        </w:rPr>
        <w:t>inscrire ces travaux dans un contexte différent lors de la nouvelle période d</w:t>
      </w:r>
      <w:r w:rsidR="00E31B2B">
        <w:rPr>
          <w:rFonts w:asciiTheme="majorBidi" w:hAnsiTheme="majorBidi" w:cstheme="majorBidi"/>
          <w:szCs w:val="24"/>
          <w:lang w:val="fr-FR"/>
        </w:rPr>
        <w:t>'</w:t>
      </w:r>
      <w:r w:rsidRPr="005A058D">
        <w:rPr>
          <w:rFonts w:asciiTheme="majorBidi" w:hAnsiTheme="majorBidi" w:cstheme="majorBidi"/>
          <w:szCs w:val="24"/>
          <w:lang w:val="fr-FR"/>
        </w:rPr>
        <w:t>études.</w:t>
      </w:r>
    </w:p>
    <w:p w14:paraId="37394EDD" w14:textId="33438E2C" w:rsidR="000571E2" w:rsidRPr="005A058D" w:rsidRDefault="000571E2" w:rsidP="00E31B2B">
      <w:pPr>
        <w:rPr>
          <w:lang w:val="fr-FR"/>
        </w:rPr>
      </w:pPr>
      <w:r w:rsidRPr="005A058D">
        <w:rPr>
          <w:lang w:val="fr-FR"/>
        </w:rPr>
        <w:t>Le Groupe RG-StdsStrat a examiné une proposition visant à constituer un Conseil consultatif sur des questions d</w:t>
      </w:r>
      <w:r w:rsidR="00E31B2B">
        <w:rPr>
          <w:lang w:val="fr-FR"/>
        </w:rPr>
        <w:t>'</w:t>
      </w:r>
      <w:r w:rsidRPr="005A058D">
        <w:rPr>
          <w:lang w:val="fr-FR"/>
        </w:rPr>
        <w:t>architecture (AAB) en tant que nouvelle fonction/entité de normalisation stratégique (au niveau de l</w:t>
      </w:r>
      <w:r w:rsidR="00E31B2B">
        <w:rPr>
          <w:lang w:val="fr-FR"/>
        </w:rPr>
        <w:t>'</w:t>
      </w:r>
      <w:r w:rsidRPr="005A058D">
        <w:rPr>
          <w:lang w:val="fr-FR"/>
        </w:rPr>
        <w:t>UIT-T ou des commissions d</w:t>
      </w:r>
      <w:r w:rsidR="00E31B2B">
        <w:rPr>
          <w:lang w:val="fr-FR"/>
        </w:rPr>
        <w:t>'</w:t>
      </w:r>
      <w:r w:rsidRPr="005A058D">
        <w:rPr>
          <w:lang w:val="fr-FR"/>
        </w:rPr>
        <w:t>études). Les conclusions de cet examen ont permis à la CE 15 et à la CE 17 de collaborer à la création d</w:t>
      </w:r>
      <w:r w:rsidR="00E31B2B">
        <w:rPr>
          <w:lang w:val="fr-FR"/>
        </w:rPr>
        <w:t>'</w:t>
      </w:r>
      <w:r w:rsidRPr="005A058D">
        <w:rPr>
          <w:lang w:val="fr-FR"/>
        </w:rPr>
        <w:t>un premier groupe de travail par correspondance sur la mise au point d</w:t>
      </w:r>
      <w:r w:rsidR="00E31B2B">
        <w:rPr>
          <w:lang w:val="fr-FR"/>
        </w:rPr>
        <w:t>'</w:t>
      </w:r>
      <w:r w:rsidRPr="005A058D">
        <w:rPr>
          <w:lang w:val="fr-FR"/>
        </w:rPr>
        <w:t>une architecture de sécurité (CG-SECAD).</w:t>
      </w:r>
    </w:p>
    <w:p w14:paraId="2C934A3B" w14:textId="6C1DC12C" w:rsidR="000571E2" w:rsidRPr="005A058D" w:rsidRDefault="000571E2" w:rsidP="00E31B2B">
      <w:pPr>
        <w:rPr>
          <w:rFonts w:asciiTheme="majorBidi" w:hAnsiTheme="majorBidi" w:cstheme="majorBidi"/>
          <w:szCs w:val="24"/>
          <w:lang w:val="fr-FR"/>
        </w:rPr>
      </w:pPr>
      <w:r w:rsidRPr="005A058D">
        <w:rPr>
          <w:rFonts w:asciiTheme="majorBidi" w:hAnsiTheme="majorBidi" w:cstheme="majorBidi"/>
          <w:szCs w:val="24"/>
          <w:lang w:val="fr-FR"/>
        </w:rPr>
        <w:t>Le Groupe a reçu une contribution sur les nouvelles technologies IP et la manière dont elles définissent les réseaux futurs et a aidé le GCNT à mener des consultations avec les commissions d</w:t>
      </w:r>
      <w:r w:rsidR="00E31B2B">
        <w:rPr>
          <w:rFonts w:asciiTheme="majorBidi" w:hAnsiTheme="majorBidi" w:cstheme="majorBidi"/>
          <w:szCs w:val="24"/>
          <w:lang w:val="fr-FR"/>
        </w:rPr>
        <w:t>'</w:t>
      </w:r>
      <w:r w:rsidRPr="005A058D">
        <w:rPr>
          <w:rFonts w:asciiTheme="majorBidi" w:hAnsiTheme="majorBidi" w:cstheme="majorBidi"/>
          <w:szCs w:val="24"/>
          <w:lang w:val="fr-FR"/>
        </w:rPr>
        <w:t>études et l</w:t>
      </w:r>
      <w:r w:rsidR="00E31B2B">
        <w:rPr>
          <w:rFonts w:asciiTheme="majorBidi" w:hAnsiTheme="majorBidi" w:cstheme="majorBidi"/>
          <w:szCs w:val="24"/>
          <w:lang w:val="fr-FR"/>
        </w:rPr>
        <w:t>'</w:t>
      </w:r>
      <w:r w:rsidRPr="005A058D">
        <w:rPr>
          <w:rFonts w:asciiTheme="majorBidi" w:hAnsiTheme="majorBidi" w:cstheme="majorBidi"/>
          <w:szCs w:val="24"/>
          <w:lang w:val="fr-FR"/>
        </w:rPr>
        <w:t>IAB sur ce nouveau thème.</w:t>
      </w:r>
    </w:p>
    <w:p w14:paraId="29937A06" w14:textId="0674A22D" w:rsidR="000571E2" w:rsidRPr="005A058D" w:rsidRDefault="000571E2" w:rsidP="00E31B2B">
      <w:pPr>
        <w:rPr>
          <w:szCs w:val="24"/>
          <w:lang w:val="fr-FR"/>
        </w:rPr>
      </w:pPr>
      <w:r w:rsidRPr="005A058D">
        <w:rPr>
          <w:szCs w:val="24"/>
          <w:lang w:val="fr-FR"/>
        </w:rPr>
        <w:t>Le Groupe a contribué à l</w:t>
      </w:r>
      <w:r w:rsidR="00E31B2B">
        <w:rPr>
          <w:szCs w:val="24"/>
          <w:lang w:val="fr-FR"/>
        </w:rPr>
        <w:t>'</w:t>
      </w:r>
      <w:r w:rsidRPr="005A058D">
        <w:rPr>
          <w:szCs w:val="24"/>
          <w:lang w:val="fr-FR"/>
        </w:rPr>
        <w:t>élaboration de la version finale du mandat des Groupes spécialisés de l</w:t>
      </w:r>
      <w:r w:rsidR="00E31B2B">
        <w:rPr>
          <w:szCs w:val="24"/>
          <w:lang w:val="fr-FR"/>
        </w:rPr>
        <w:t>'</w:t>
      </w:r>
      <w:r w:rsidRPr="005A058D">
        <w:rPr>
          <w:szCs w:val="24"/>
          <w:lang w:val="fr-FR"/>
        </w:rPr>
        <w:t>UIT-T sur la monnaie numérique, y compris la monnaie fiduciaire numérique, et sur l</w:t>
      </w:r>
      <w:r w:rsidR="00E31B2B">
        <w:rPr>
          <w:szCs w:val="24"/>
          <w:lang w:val="fr-FR"/>
        </w:rPr>
        <w:t>'</w:t>
      </w:r>
      <w:r w:rsidRPr="005A058D">
        <w:rPr>
          <w:szCs w:val="24"/>
          <w:lang w:val="fr-FR"/>
        </w:rPr>
        <w:t>utilisation de la technologie des registres distribués, dont la création a été proposée.</w:t>
      </w:r>
    </w:p>
    <w:p w14:paraId="19BD01B0" w14:textId="77777777" w:rsidR="000571E2" w:rsidRPr="005A058D" w:rsidRDefault="000571E2" w:rsidP="00E31B2B">
      <w:pPr>
        <w:pStyle w:val="Heading3"/>
        <w:rPr>
          <w:lang w:val="fr-FR"/>
        </w:rPr>
      </w:pPr>
      <w:r w:rsidRPr="005A058D">
        <w:rPr>
          <w:lang w:val="fr-FR"/>
        </w:rPr>
        <w:t>3.2.6</w:t>
      </w:r>
      <w:r w:rsidRPr="005A058D">
        <w:rPr>
          <w:lang w:val="fr-FR"/>
        </w:rPr>
        <w:tab/>
        <w:t>Groupe du Rapporteur du GCNT sur les méthodes de travail (RG-WM)</w:t>
      </w:r>
    </w:p>
    <w:p w14:paraId="02F677AF" w14:textId="31181016" w:rsidR="000571E2" w:rsidRPr="005A058D" w:rsidRDefault="000571E2" w:rsidP="00E31B2B">
      <w:pPr>
        <w:rPr>
          <w:lang w:val="fr-FR"/>
        </w:rPr>
      </w:pPr>
      <w:r w:rsidRPr="005A058D">
        <w:rPr>
          <w:lang w:val="fr-FR"/>
        </w:rPr>
        <w:t>Le Groupe RG-WM du GCNT (</w:t>
      </w:r>
      <w:hyperlink r:id="rId93" w:history="1">
        <w:r w:rsidRPr="005A058D">
          <w:rPr>
            <w:rStyle w:val="Hyperlink"/>
            <w:lang w:val="fr-FR"/>
          </w:rPr>
          <w:t>mandat</w:t>
        </w:r>
      </w:hyperlink>
      <w:r w:rsidRPr="005A058D">
        <w:rPr>
          <w:lang w:val="fr-FR"/>
        </w:rPr>
        <w:t>) a apporté un appui au GCNT concernant l</w:t>
      </w:r>
      <w:r w:rsidR="00E31B2B">
        <w:rPr>
          <w:lang w:val="fr-FR"/>
        </w:rPr>
        <w:t>'</w:t>
      </w:r>
      <w:r w:rsidRPr="005A058D">
        <w:rPr>
          <w:lang w:val="fr-FR"/>
        </w:rPr>
        <w:t>examen et l</w:t>
      </w:r>
      <w:r w:rsidR="00E31B2B">
        <w:rPr>
          <w:lang w:val="fr-FR"/>
        </w:rPr>
        <w:t>'</w:t>
      </w:r>
      <w:r w:rsidRPr="005A058D">
        <w:rPr>
          <w:lang w:val="fr-FR"/>
        </w:rPr>
        <w:t>amélioration des méthodes de travail existantes (y compris les méthodes de travail électroniques). Les rapports d</w:t>
      </w:r>
      <w:r w:rsidR="00E31B2B">
        <w:rPr>
          <w:lang w:val="fr-FR"/>
        </w:rPr>
        <w:t>'</w:t>
      </w:r>
      <w:r w:rsidRPr="005A058D">
        <w:rPr>
          <w:lang w:val="fr-FR"/>
        </w:rPr>
        <w:t xml:space="preserve">activité des réunions intérimaires du Groupe RG-WM sont reproduits dans les </w:t>
      </w:r>
      <w:r>
        <w:rPr>
          <w:lang w:val="fr-FR"/>
        </w:rPr>
        <w:t>D</w:t>
      </w:r>
      <w:r w:rsidRPr="005A058D">
        <w:rPr>
          <w:lang w:val="fr-FR"/>
        </w:rPr>
        <w:t xml:space="preserve">ocuments temporaires </w:t>
      </w:r>
      <w:hyperlink r:id="rId94" w:history="1">
        <w:r w:rsidRPr="005A058D">
          <w:rPr>
            <w:rStyle w:val="Hyperlink"/>
            <w:lang w:val="fr-FR"/>
          </w:rPr>
          <w:t>161</w:t>
        </w:r>
      </w:hyperlink>
      <w:hyperlink r:id="rId95" w:history="1">
        <w:r w:rsidRPr="005A058D">
          <w:rPr>
            <w:lang w:val="fr-FR"/>
          </w:rPr>
          <w:t xml:space="preserve">, </w:t>
        </w:r>
        <w:r w:rsidRPr="005A058D">
          <w:rPr>
            <w:rStyle w:val="Hyperlink"/>
            <w:lang w:val="fr-FR"/>
          </w:rPr>
          <w:t>316</w:t>
        </w:r>
      </w:hyperlink>
      <w:hyperlink r:id="rId96" w:history="1">
        <w:r w:rsidRPr="005A058D">
          <w:rPr>
            <w:lang w:val="fr-FR"/>
          </w:rPr>
          <w:t xml:space="preserve">, </w:t>
        </w:r>
        <w:r w:rsidRPr="005A058D">
          <w:rPr>
            <w:rStyle w:val="Hyperlink"/>
            <w:lang w:val="fr-FR"/>
          </w:rPr>
          <w:t>491</w:t>
        </w:r>
      </w:hyperlink>
      <w:r w:rsidRPr="005A058D">
        <w:rPr>
          <w:lang w:val="fr-FR"/>
        </w:rPr>
        <w:t xml:space="preserve">, </w:t>
      </w:r>
      <w:hyperlink r:id="rId97" w:history="1">
        <w:r w:rsidRPr="005A058D">
          <w:rPr>
            <w:rStyle w:val="Hyperlink"/>
            <w:rFonts w:cstheme="majorBidi"/>
            <w:lang w:val="fr-FR"/>
          </w:rPr>
          <w:t>676</w:t>
        </w:r>
      </w:hyperlink>
      <w:r w:rsidRPr="005A058D">
        <w:rPr>
          <w:szCs w:val="24"/>
          <w:lang w:val="fr-FR"/>
        </w:rPr>
        <w:t xml:space="preserve">, </w:t>
      </w:r>
      <w:hyperlink r:id="rId98" w:history="1">
        <w:r w:rsidRPr="005A058D">
          <w:rPr>
            <w:rStyle w:val="Hyperlink"/>
            <w:szCs w:val="24"/>
            <w:lang w:val="fr-FR" w:eastAsia="zh-CN"/>
          </w:rPr>
          <w:t>811</w:t>
        </w:r>
      </w:hyperlink>
      <w:r w:rsidRPr="005A058D">
        <w:rPr>
          <w:szCs w:val="24"/>
          <w:lang w:val="fr-FR"/>
        </w:rPr>
        <w:t xml:space="preserve">, </w:t>
      </w:r>
      <w:hyperlink r:id="rId99" w:history="1">
        <w:r w:rsidRPr="005A058D">
          <w:rPr>
            <w:rStyle w:val="Hyperlink"/>
            <w:szCs w:val="24"/>
            <w:lang w:val="fr-FR" w:eastAsia="zh-CN"/>
          </w:rPr>
          <w:t>952</w:t>
        </w:r>
      </w:hyperlink>
      <w:r w:rsidRPr="005A058D">
        <w:rPr>
          <w:szCs w:val="24"/>
          <w:lang w:val="fr-FR"/>
        </w:rPr>
        <w:t xml:space="preserve"> et </w:t>
      </w:r>
      <w:hyperlink r:id="rId100" w:history="1">
        <w:r w:rsidRPr="005A058D">
          <w:rPr>
            <w:rStyle w:val="Hyperlink"/>
            <w:szCs w:val="24"/>
            <w:lang w:val="fr-FR" w:eastAsia="zh-CN"/>
          </w:rPr>
          <w:t>1201</w:t>
        </w:r>
      </w:hyperlink>
      <w:r w:rsidRPr="005A058D">
        <w:rPr>
          <w:lang w:val="fr-FR"/>
        </w:rPr>
        <w:t xml:space="preserve"> du GCNT. Les rapports du Groupe RG-WM présentés lors des réunions du GCNT figurent dans les Documents temporaires </w:t>
      </w:r>
      <w:hyperlink r:id="rId101" w:history="1">
        <w:r w:rsidRPr="005A058D">
          <w:rPr>
            <w:rStyle w:val="Hyperlink"/>
            <w:lang w:val="fr-FR"/>
          </w:rPr>
          <w:t>85-R1</w:t>
        </w:r>
      </w:hyperlink>
      <w:r w:rsidRPr="005A058D">
        <w:rPr>
          <w:lang w:val="fr-FR"/>
        </w:rPr>
        <w:t xml:space="preserve">, </w:t>
      </w:r>
      <w:hyperlink r:id="rId102" w:history="1">
        <w:r w:rsidRPr="005A058D">
          <w:rPr>
            <w:rStyle w:val="Hyperlink"/>
            <w:lang w:val="fr-FR"/>
          </w:rPr>
          <w:t>135</w:t>
        </w:r>
      </w:hyperlink>
      <w:r w:rsidRPr="005A058D">
        <w:rPr>
          <w:lang w:val="fr-FR"/>
        </w:rPr>
        <w:t xml:space="preserve">, </w:t>
      </w:r>
      <w:hyperlink r:id="rId103" w:history="1">
        <w:r w:rsidRPr="005A058D">
          <w:rPr>
            <w:rStyle w:val="Hyperlink"/>
            <w:lang w:val="fr-FR"/>
          </w:rPr>
          <w:t>288</w:t>
        </w:r>
      </w:hyperlink>
      <w:r w:rsidRPr="005A058D">
        <w:rPr>
          <w:lang w:val="fr-FR"/>
        </w:rPr>
        <w:t xml:space="preserve">, </w:t>
      </w:r>
      <w:hyperlink r:id="rId104" w:history="1">
        <w:r w:rsidRPr="005A058D">
          <w:rPr>
            <w:rStyle w:val="Hyperlink"/>
            <w:lang w:val="fr-FR"/>
          </w:rPr>
          <w:t>463-R2</w:t>
        </w:r>
      </w:hyperlink>
      <w:r w:rsidRPr="005A058D">
        <w:rPr>
          <w:lang w:val="fr-FR"/>
        </w:rPr>
        <w:t xml:space="preserve">, </w:t>
      </w:r>
      <w:hyperlink r:id="rId105" w:history="1">
        <w:r w:rsidRPr="005A058D">
          <w:rPr>
            <w:rStyle w:val="Hyperlink"/>
            <w:lang w:val="fr-FR"/>
          </w:rPr>
          <w:t>653</w:t>
        </w:r>
      </w:hyperlink>
      <w:r w:rsidRPr="005A058D">
        <w:rPr>
          <w:lang w:val="fr-FR"/>
        </w:rPr>
        <w:t xml:space="preserve">, </w:t>
      </w:r>
      <w:hyperlink r:id="rId106" w:history="1">
        <w:r w:rsidRPr="005A058D">
          <w:rPr>
            <w:rStyle w:val="Hyperlink"/>
            <w:lang w:val="fr-FR"/>
          </w:rPr>
          <w:t>785</w:t>
        </w:r>
      </w:hyperlink>
      <w:r w:rsidRPr="005A058D">
        <w:rPr>
          <w:lang w:val="fr-FR"/>
        </w:rPr>
        <w:t xml:space="preserve">, </w:t>
      </w:r>
      <w:hyperlink r:id="rId107" w:history="1">
        <w:r w:rsidRPr="005A058D">
          <w:rPr>
            <w:rStyle w:val="Hyperlink"/>
            <w:lang w:val="fr-FR"/>
          </w:rPr>
          <w:t>928-</w:t>
        </w:r>
        <w:r w:rsidRPr="005A058D">
          <w:rPr>
            <w:lang w:val="fr-FR"/>
          </w:rPr>
          <w:t> </w:t>
        </w:r>
        <w:r w:rsidRPr="005A058D">
          <w:rPr>
            <w:rStyle w:val="Hyperlink"/>
            <w:lang w:val="fr-FR"/>
          </w:rPr>
          <w:t>R1</w:t>
        </w:r>
      </w:hyperlink>
      <w:r w:rsidRPr="005A058D">
        <w:rPr>
          <w:lang w:val="fr-FR"/>
        </w:rPr>
        <w:t xml:space="preserve">, </w:t>
      </w:r>
      <w:hyperlink r:id="rId108" w:history="1">
        <w:r w:rsidRPr="005A058D">
          <w:rPr>
            <w:rStyle w:val="Hyperlink"/>
            <w:lang w:val="fr-FR"/>
          </w:rPr>
          <w:t>1027-R1</w:t>
        </w:r>
      </w:hyperlink>
      <w:r w:rsidRPr="005A058D">
        <w:rPr>
          <w:lang w:val="fr-FR"/>
        </w:rPr>
        <w:t xml:space="preserve"> et </w:t>
      </w:r>
      <w:hyperlink r:id="rId109" w:history="1">
        <w:r w:rsidRPr="005A058D">
          <w:rPr>
            <w:rStyle w:val="Hyperlink"/>
            <w:szCs w:val="24"/>
            <w:lang w:val="fr-FR" w:eastAsia="zh-CN"/>
          </w:rPr>
          <w:t>1182</w:t>
        </w:r>
      </w:hyperlink>
      <w:r w:rsidRPr="005A058D">
        <w:rPr>
          <w:rStyle w:val="Hyperlink"/>
          <w:szCs w:val="24"/>
          <w:lang w:val="fr-FR" w:eastAsia="zh-CN"/>
        </w:rPr>
        <w:t>-R1</w:t>
      </w:r>
      <w:r w:rsidRPr="005A058D">
        <w:rPr>
          <w:lang w:val="fr-FR"/>
        </w:rPr>
        <w:t xml:space="preserve"> du GCNT.</w:t>
      </w:r>
    </w:p>
    <w:p w14:paraId="445A37A3" w14:textId="1CD04AA6" w:rsidR="000571E2" w:rsidRPr="005A058D" w:rsidRDefault="000571E2" w:rsidP="00E31B2B">
      <w:pPr>
        <w:rPr>
          <w:rFonts w:asciiTheme="majorBidi" w:hAnsiTheme="majorBidi" w:cstheme="majorBidi"/>
          <w:bCs/>
          <w:lang w:val="fr-FR"/>
        </w:rPr>
      </w:pPr>
      <w:r w:rsidRPr="005A058D">
        <w:rPr>
          <w:rFonts w:asciiTheme="majorBidi" w:hAnsiTheme="majorBidi" w:cstheme="majorBidi"/>
          <w:bCs/>
          <w:lang w:val="fr-FR"/>
        </w:rPr>
        <w:lastRenderedPageBreak/>
        <w:t>L</w:t>
      </w:r>
      <w:r w:rsidR="00E31B2B">
        <w:rPr>
          <w:rFonts w:asciiTheme="majorBidi" w:hAnsiTheme="majorBidi" w:cstheme="majorBidi"/>
          <w:bCs/>
          <w:lang w:val="fr-FR"/>
        </w:rPr>
        <w:t>'</w:t>
      </w:r>
      <w:r w:rsidRPr="005A058D">
        <w:rPr>
          <w:rFonts w:asciiTheme="majorBidi" w:hAnsiTheme="majorBidi" w:cstheme="majorBidi"/>
          <w:bCs/>
          <w:lang w:val="fr-FR"/>
        </w:rPr>
        <w:t>AMNT-16 a demandé au GCNT de tenir compte du texte du paragraphe 1bis.10 (Document 116 de l</w:t>
      </w:r>
      <w:r w:rsidR="00E31B2B">
        <w:rPr>
          <w:rFonts w:asciiTheme="majorBidi" w:hAnsiTheme="majorBidi" w:cstheme="majorBidi"/>
          <w:bCs/>
          <w:lang w:val="fr-FR"/>
        </w:rPr>
        <w:t>'</w:t>
      </w:r>
      <w:r w:rsidRPr="005A058D">
        <w:rPr>
          <w:rFonts w:asciiTheme="majorBidi" w:hAnsiTheme="majorBidi" w:cstheme="majorBidi"/>
          <w:bCs/>
          <w:lang w:val="fr-FR"/>
        </w:rPr>
        <w:t>AMNT-16</w:t>
      </w:r>
      <w:r w:rsidRPr="005A058D">
        <w:rPr>
          <w:rStyle w:val="FootnoteReference"/>
          <w:rFonts w:asciiTheme="majorBidi" w:hAnsiTheme="majorBidi" w:cstheme="majorBidi"/>
          <w:bCs/>
          <w:lang w:val="fr-FR"/>
        </w:rPr>
        <w:footnoteReference w:id="3"/>
      </w:r>
      <w:r w:rsidRPr="005A058D">
        <w:rPr>
          <w:rFonts w:asciiTheme="majorBidi" w:hAnsiTheme="majorBidi" w:cstheme="majorBidi"/>
          <w:bCs/>
          <w:lang w:val="fr-FR"/>
        </w:rPr>
        <w:t>) lorsqu</w:t>
      </w:r>
      <w:r w:rsidR="00E31B2B">
        <w:rPr>
          <w:rFonts w:asciiTheme="majorBidi" w:hAnsiTheme="majorBidi" w:cstheme="majorBidi"/>
          <w:bCs/>
          <w:lang w:val="fr-FR"/>
        </w:rPr>
        <w:t>'</w:t>
      </w:r>
      <w:r w:rsidRPr="005A058D">
        <w:rPr>
          <w:rFonts w:asciiTheme="majorBidi" w:hAnsiTheme="majorBidi" w:cstheme="majorBidi"/>
          <w:bCs/>
          <w:lang w:val="fr-FR"/>
        </w:rPr>
        <w:t>il élaborerait un projet de texte révisé de la Résolution 1 de l</w:t>
      </w:r>
      <w:r w:rsidR="00E31B2B">
        <w:rPr>
          <w:rFonts w:asciiTheme="majorBidi" w:hAnsiTheme="majorBidi" w:cstheme="majorBidi"/>
          <w:bCs/>
          <w:lang w:val="fr-FR"/>
        </w:rPr>
        <w:t>'</w:t>
      </w:r>
      <w:r w:rsidRPr="005A058D">
        <w:rPr>
          <w:rFonts w:asciiTheme="majorBidi" w:hAnsiTheme="majorBidi" w:cstheme="majorBidi"/>
          <w:bCs/>
          <w:lang w:val="fr-FR"/>
        </w:rPr>
        <w:t>AMNT pour examen à l</w:t>
      </w:r>
      <w:r w:rsidR="00E31B2B">
        <w:rPr>
          <w:rFonts w:asciiTheme="majorBidi" w:hAnsiTheme="majorBidi" w:cstheme="majorBidi"/>
          <w:bCs/>
          <w:lang w:val="fr-FR"/>
        </w:rPr>
        <w:t>'</w:t>
      </w:r>
      <w:r w:rsidRPr="005A058D">
        <w:rPr>
          <w:rFonts w:asciiTheme="majorBidi" w:hAnsiTheme="majorBidi" w:cstheme="majorBidi"/>
          <w:bCs/>
          <w:lang w:val="fr-FR"/>
        </w:rPr>
        <w:t>AMNT-20 ou un texte qui serait intégré dans la Recommandation UIT-T A.1. Compte tenu de la Recommandation révisée UIT-T A.13 (09/2019), le GCNT n</w:t>
      </w:r>
      <w:r w:rsidR="00E31B2B">
        <w:rPr>
          <w:rFonts w:asciiTheme="majorBidi" w:hAnsiTheme="majorBidi" w:cstheme="majorBidi"/>
          <w:bCs/>
          <w:lang w:val="fr-FR"/>
        </w:rPr>
        <w:t>'</w:t>
      </w:r>
      <w:r w:rsidRPr="005A058D">
        <w:rPr>
          <w:rFonts w:asciiTheme="majorBidi" w:hAnsiTheme="majorBidi" w:cstheme="majorBidi"/>
          <w:bCs/>
          <w:lang w:val="fr-FR"/>
        </w:rPr>
        <w:t>a identifié aucun texte particulier pour lequel aucune procédure particulière d</w:t>
      </w:r>
      <w:r w:rsidR="00E31B2B">
        <w:rPr>
          <w:rFonts w:asciiTheme="majorBidi" w:hAnsiTheme="majorBidi" w:cstheme="majorBidi"/>
          <w:bCs/>
          <w:lang w:val="fr-FR"/>
        </w:rPr>
        <w:t>'</w:t>
      </w:r>
      <w:r w:rsidRPr="005A058D">
        <w:rPr>
          <w:rFonts w:asciiTheme="majorBidi" w:hAnsiTheme="majorBidi" w:cstheme="majorBidi"/>
          <w:bCs/>
          <w:lang w:val="fr-FR"/>
        </w:rPr>
        <w:t>approbation/d</w:t>
      </w:r>
      <w:r w:rsidR="00E31B2B">
        <w:rPr>
          <w:rFonts w:asciiTheme="majorBidi" w:hAnsiTheme="majorBidi" w:cstheme="majorBidi"/>
          <w:bCs/>
          <w:lang w:val="fr-FR"/>
        </w:rPr>
        <w:t>'</w:t>
      </w:r>
      <w:r w:rsidRPr="005A058D">
        <w:rPr>
          <w:rFonts w:asciiTheme="majorBidi" w:hAnsiTheme="majorBidi" w:cstheme="majorBidi"/>
          <w:bCs/>
          <w:lang w:val="fr-FR"/>
        </w:rPr>
        <w:t>accord n</w:t>
      </w:r>
      <w:r w:rsidR="00E31B2B">
        <w:rPr>
          <w:rFonts w:asciiTheme="majorBidi" w:hAnsiTheme="majorBidi" w:cstheme="majorBidi"/>
          <w:bCs/>
          <w:lang w:val="fr-FR"/>
        </w:rPr>
        <w:t>'</w:t>
      </w:r>
      <w:r w:rsidRPr="005A058D">
        <w:rPr>
          <w:rFonts w:asciiTheme="majorBidi" w:hAnsiTheme="majorBidi" w:cstheme="majorBidi"/>
          <w:bCs/>
          <w:lang w:val="fr-FR"/>
        </w:rPr>
        <w:t xml:space="preserve">est déjà en place, mis à part les textes </w:t>
      </w:r>
      <w:r w:rsidRPr="005A058D">
        <w:rPr>
          <w:color w:val="000000"/>
          <w:lang w:val="fr-FR"/>
        </w:rPr>
        <w:t xml:space="preserve">à caractère </w:t>
      </w:r>
      <w:r w:rsidRPr="005A058D">
        <w:rPr>
          <w:rFonts w:asciiTheme="majorBidi" w:hAnsiTheme="majorBidi" w:cstheme="majorBidi"/>
          <w:bCs/>
          <w:lang w:val="fr-FR"/>
        </w:rPr>
        <w:t>normatif et non normatif, et pour lequel il serait nécessaire d</w:t>
      </w:r>
      <w:r w:rsidR="00E31B2B">
        <w:rPr>
          <w:rFonts w:asciiTheme="majorBidi" w:hAnsiTheme="majorBidi" w:cstheme="majorBidi"/>
          <w:bCs/>
          <w:lang w:val="fr-FR"/>
        </w:rPr>
        <w:t>'</w:t>
      </w:r>
      <w:r w:rsidRPr="005A058D">
        <w:rPr>
          <w:rFonts w:asciiTheme="majorBidi" w:hAnsiTheme="majorBidi" w:cstheme="majorBidi"/>
          <w:bCs/>
          <w:lang w:val="fr-FR"/>
        </w:rPr>
        <w:t>envisager de modifier la Résolution 1 de l</w:t>
      </w:r>
      <w:r w:rsidR="00E31B2B">
        <w:rPr>
          <w:rFonts w:asciiTheme="majorBidi" w:hAnsiTheme="majorBidi" w:cstheme="majorBidi"/>
          <w:bCs/>
          <w:lang w:val="fr-FR"/>
        </w:rPr>
        <w:t>'</w:t>
      </w:r>
      <w:r w:rsidRPr="005A058D">
        <w:rPr>
          <w:rFonts w:asciiTheme="majorBidi" w:hAnsiTheme="majorBidi" w:cstheme="majorBidi"/>
          <w:bCs/>
          <w:lang w:val="fr-FR"/>
        </w:rPr>
        <w:t>AMNT ou la Recommandation UIT-T A.1.</w:t>
      </w:r>
    </w:p>
    <w:p w14:paraId="5415317F" w14:textId="1BB6BA6D" w:rsidR="000571E2" w:rsidRPr="005A058D" w:rsidRDefault="000571E2" w:rsidP="00E31B2B">
      <w:pPr>
        <w:rPr>
          <w:rFonts w:asciiTheme="majorBidi" w:hAnsiTheme="majorBidi" w:cstheme="majorBidi"/>
          <w:bCs/>
          <w:lang w:val="fr-FR"/>
        </w:rPr>
      </w:pPr>
      <w:r w:rsidRPr="005A058D">
        <w:rPr>
          <w:rFonts w:asciiTheme="majorBidi" w:hAnsiTheme="majorBidi" w:cstheme="majorBidi"/>
          <w:bCs/>
          <w:lang w:val="fr-FR"/>
        </w:rPr>
        <w:t>L</w:t>
      </w:r>
      <w:r w:rsidR="00E31B2B">
        <w:rPr>
          <w:rFonts w:asciiTheme="majorBidi" w:hAnsiTheme="majorBidi" w:cstheme="majorBidi"/>
          <w:bCs/>
          <w:lang w:val="fr-FR"/>
        </w:rPr>
        <w:t>'</w:t>
      </w:r>
      <w:r w:rsidRPr="005A058D">
        <w:rPr>
          <w:rFonts w:asciiTheme="majorBidi" w:hAnsiTheme="majorBidi" w:cstheme="majorBidi"/>
          <w:bCs/>
          <w:lang w:val="fr-FR"/>
        </w:rPr>
        <w:t>AMNT-16 a demandé au GCNT d</w:t>
      </w:r>
      <w:r w:rsidR="00E31B2B">
        <w:rPr>
          <w:rFonts w:asciiTheme="majorBidi" w:hAnsiTheme="majorBidi" w:cstheme="majorBidi"/>
          <w:bCs/>
          <w:lang w:val="fr-FR"/>
        </w:rPr>
        <w:t>'</w:t>
      </w:r>
      <w:r w:rsidRPr="005A058D">
        <w:rPr>
          <w:rFonts w:asciiTheme="majorBidi" w:hAnsiTheme="majorBidi" w:cstheme="majorBidi"/>
          <w:bCs/>
          <w:lang w:val="fr-FR"/>
        </w:rPr>
        <w:t>établir une définition du terme "accord" pour les textes non normatifs. Elle a chargé le GCNT d</w:t>
      </w:r>
      <w:r w:rsidR="00E31B2B">
        <w:rPr>
          <w:rFonts w:asciiTheme="majorBidi" w:hAnsiTheme="majorBidi" w:cstheme="majorBidi"/>
          <w:bCs/>
          <w:lang w:val="fr-FR"/>
        </w:rPr>
        <w:t>'</w:t>
      </w:r>
      <w:r w:rsidRPr="005A058D">
        <w:rPr>
          <w:rFonts w:asciiTheme="majorBidi" w:hAnsiTheme="majorBidi" w:cstheme="majorBidi"/>
          <w:bCs/>
          <w:lang w:val="fr-FR"/>
        </w:rPr>
        <w:t>étudier plus avant les procédures d</w:t>
      </w:r>
      <w:r w:rsidR="00E31B2B">
        <w:rPr>
          <w:rFonts w:asciiTheme="majorBidi" w:hAnsiTheme="majorBidi" w:cstheme="majorBidi"/>
          <w:bCs/>
          <w:lang w:val="fr-FR"/>
        </w:rPr>
        <w:t>'</w:t>
      </w:r>
      <w:r w:rsidRPr="005A058D">
        <w:rPr>
          <w:rFonts w:asciiTheme="majorBidi" w:hAnsiTheme="majorBidi" w:cstheme="majorBidi"/>
          <w:bCs/>
          <w:lang w:val="fr-FR"/>
        </w:rPr>
        <w:t>élaboration et d</w:t>
      </w:r>
      <w:r w:rsidR="00E31B2B">
        <w:rPr>
          <w:rFonts w:asciiTheme="majorBidi" w:hAnsiTheme="majorBidi" w:cstheme="majorBidi"/>
          <w:bCs/>
          <w:lang w:val="fr-FR"/>
        </w:rPr>
        <w:t>'</w:t>
      </w:r>
      <w:r w:rsidRPr="005A058D">
        <w:rPr>
          <w:rFonts w:asciiTheme="majorBidi" w:hAnsiTheme="majorBidi" w:cstheme="majorBidi"/>
          <w:bCs/>
          <w:lang w:val="fr-FR"/>
        </w:rPr>
        <w:t>acceptation des textes non normatifs à l</w:t>
      </w:r>
      <w:r w:rsidR="00E31B2B">
        <w:rPr>
          <w:rFonts w:asciiTheme="majorBidi" w:hAnsiTheme="majorBidi" w:cstheme="majorBidi"/>
          <w:bCs/>
          <w:lang w:val="fr-FR"/>
        </w:rPr>
        <w:t>'</w:t>
      </w:r>
      <w:r w:rsidRPr="005A058D">
        <w:rPr>
          <w:rFonts w:asciiTheme="majorBidi" w:hAnsiTheme="majorBidi" w:cstheme="majorBidi"/>
          <w:bCs/>
          <w:lang w:val="fr-FR"/>
        </w:rPr>
        <w:t>UIT-T et de donner à l</w:t>
      </w:r>
      <w:r w:rsidR="00E31B2B">
        <w:rPr>
          <w:rFonts w:asciiTheme="majorBidi" w:hAnsiTheme="majorBidi" w:cstheme="majorBidi"/>
          <w:bCs/>
          <w:lang w:val="fr-FR"/>
        </w:rPr>
        <w:t>'</w:t>
      </w:r>
      <w:r w:rsidRPr="005A058D">
        <w:rPr>
          <w:rFonts w:asciiTheme="majorBidi" w:hAnsiTheme="majorBidi" w:cstheme="majorBidi"/>
          <w:bCs/>
          <w:lang w:val="fr-FR"/>
        </w:rPr>
        <w:t>examen de cette question un caractère d</w:t>
      </w:r>
      <w:r w:rsidR="00E31B2B">
        <w:rPr>
          <w:rFonts w:asciiTheme="majorBidi" w:hAnsiTheme="majorBidi" w:cstheme="majorBidi"/>
          <w:bCs/>
          <w:lang w:val="fr-FR"/>
        </w:rPr>
        <w:t>'</w:t>
      </w:r>
      <w:r w:rsidRPr="005A058D">
        <w:rPr>
          <w:rFonts w:asciiTheme="majorBidi" w:hAnsiTheme="majorBidi" w:cstheme="majorBidi"/>
          <w:bCs/>
          <w:lang w:val="fr-FR"/>
        </w:rPr>
        <w:t>urgence. Le GCNT a approuvé la version révisée de la Recommandation UIT-T A.13 (09/2019) "Publications de l</w:t>
      </w:r>
      <w:r w:rsidR="00E31B2B">
        <w:rPr>
          <w:rFonts w:asciiTheme="majorBidi" w:hAnsiTheme="majorBidi" w:cstheme="majorBidi"/>
          <w:bCs/>
          <w:lang w:val="fr-FR"/>
        </w:rPr>
        <w:t>'</w:t>
      </w:r>
      <w:r w:rsidRPr="005A058D">
        <w:rPr>
          <w:rFonts w:asciiTheme="majorBidi" w:hAnsiTheme="majorBidi" w:cstheme="majorBidi"/>
          <w:bCs/>
          <w:lang w:val="fr-FR"/>
        </w:rPr>
        <w:t>UIT-T à caractère non normatif, y compris les Suppléments aux Recommandations UIT-T", qui contient au paragraphe 6.2 un texte sur l</w:t>
      </w:r>
      <w:r w:rsidR="00E31B2B">
        <w:rPr>
          <w:rFonts w:asciiTheme="majorBidi" w:hAnsiTheme="majorBidi" w:cstheme="majorBidi"/>
          <w:bCs/>
          <w:lang w:val="fr-FR"/>
        </w:rPr>
        <w:t>'</w:t>
      </w:r>
      <w:r w:rsidRPr="005A058D">
        <w:rPr>
          <w:rFonts w:asciiTheme="majorBidi" w:hAnsiTheme="majorBidi" w:cstheme="majorBidi"/>
          <w:bCs/>
          <w:lang w:val="fr-FR"/>
        </w:rPr>
        <w:t>accord pour les documents non normatifs.</w:t>
      </w:r>
    </w:p>
    <w:p w14:paraId="4C18B857" w14:textId="2C38C49D" w:rsidR="000571E2" w:rsidRPr="005A058D" w:rsidRDefault="000571E2" w:rsidP="00E31B2B">
      <w:pPr>
        <w:rPr>
          <w:rFonts w:asciiTheme="majorBidi" w:hAnsiTheme="majorBidi" w:cstheme="majorBidi"/>
          <w:bCs/>
          <w:lang w:val="fr-FR"/>
        </w:rPr>
      </w:pPr>
      <w:r w:rsidRPr="005A058D">
        <w:rPr>
          <w:rFonts w:asciiTheme="majorBidi" w:hAnsiTheme="majorBidi" w:cstheme="majorBidi"/>
          <w:bCs/>
          <w:lang w:val="fr-FR"/>
        </w:rPr>
        <w:t>L</w:t>
      </w:r>
      <w:r w:rsidR="00E31B2B">
        <w:rPr>
          <w:rFonts w:asciiTheme="majorBidi" w:hAnsiTheme="majorBidi" w:cstheme="majorBidi"/>
          <w:bCs/>
          <w:lang w:val="fr-FR"/>
        </w:rPr>
        <w:t>'</w:t>
      </w:r>
      <w:r w:rsidRPr="005A058D">
        <w:rPr>
          <w:rFonts w:asciiTheme="majorBidi" w:hAnsiTheme="majorBidi" w:cstheme="majorBidi"/>
          <w:bCs/>
          <w:lang w:val="fr-FR"/>
        </w:rPr>
        <w:t>AMNT-16 a chargé le GCNT de procéder à un examen global des procédures d</w:t>
      </w:r>
      <w:r w:rsidR="00E31B2B">
        <w:rPr>
          <w:rFonts w:asciiTheme="majorBidi" w:hAnsiTheme="majorBidi" w:cstheme="majorBidi"/>
          <w:bCs/>
          <w:lang w:val="fr-FR"/>
        </w:rPr>
        <w:t>'</w:t>
      </w:r>
      <w:r w:rsidRPr="005A058D">
        <w:rPr>
          <w:rFonts w:asciiTheme="majorBidi" w:hAnsiTheme="majorBidi" w:cstheme="majorBidi"/>
          <w:bCs/>
          <w:lang w:val="fr-FR"/>
        </w:rPr>
        <w:t>élaboration et d</w:t>
      </w:r>
      <w:r w:rsidR="00E31B2B">
        <w:rPr>
          <w:rFonts w:asciiTheme="majorBidi" w:hAnsiTheme="majorBidi" w:cstheme="majorBidi"/>
          <w:bCs/>
          <w:lang w:val="fr-FR"/>
        </w:rPr>
        <w:t>'</w:t>
      </w:r>
      <w:r w:rsidRPr="005A058D">
        <w:rPr>
          <w:rFonts w:asciiTheme="majorBidi" w:hAnsiTheme="majorBidi" w:cstheme="majorBidi"/>
          <w:bCs/>
          <w:lang w:val="fr-FR"/>
        </w:rPr>
        <w:t>approbation des documents dans l</w:t>
      </w:r>
      <w:r w:rsidR="00E31B2B">
        <w:rPr>
          <w:rFonts w:asciiTheme="majorBidi" w:hAnsiTheme="majorBidi" w:cstheme="majorBidi"/>
          <w:bCs/>
          <w:lang w:val="fr-FR"/>
        </w:rPr>
        <w:t>'</w:t>
      </w:r>
      <w:r w:rsidRPr="005A058D">
        <w:rPr>
          <w:rFonts w:asciiTheme="majorBidi" w:hAnsiTheme="majorBidi" w:cstheme="majorBidi"/>
          <w:bCs/>
          <w:lang w:val="fr-FR"/>
        </w:rPr>
        <w:t>ensemble de la Résolution 1, et dans les Recommandations UIT-T A.1 et UIT-T A.13, et se soumettre une proposition à la prochaine Assemblée. Le Groupe du Rapporteur du GCNT sur les méthodes de travail examine les contributions portant sur les modifications apportées à la Résolution 1 de l</w:t>
      </w:r>
      <w:r w:rsidR="00E31B2B">
        <w:rPr>
          <w:rFonts w:asciiTheme="majorBidi" w:hAnsiTheme="majorBidi" w:cstheme="majorBidi"/>
          <w:bCs/>
          <w:lang w:val="fr-FR"/>
        </w:rPr>
        <w:t>'</w:t>
      </w:r>
      <w:r w:rsidRPr="005A058D">
        <w:rPr>
          <w:rFonts w:asciiTheme="majorBidi" w:hAnsiTheme="majorBidi" w:cstheme="majorBidi"/>
          <w:bCs/>
          <w:lang w:val="fr-FR"/>
        </w:rPr>
        <w:t>AMNT et sur la révision de la Recommandation UIT</w:t>
      </w:r>
      <w:r w:rsidRPr="005A058D">
        <w:rPr>
          <w:rFonts w:asciiTheme="majorBidi" w:hAnsiTheme="majorBidi" w:cstheme="majorBidi"/>
          <w:bCs/>
          <w:lang w:val="fr-FR"/>
        </w:rPr>
        <w:noBreakHyphen/>
        <w:t xml:space="preserve">T A.1 (voir le Document </w:t>
      </w:r>
      <w:hyperlink r:id="rId110" w:history="1">
        <w:r w:rsidRPr="005A058D">
          <w:rPr>
            <w:rStyle w:val="Hyperlink"/>
            <w:lang w:val="fr-FR"/>
          </w:rPr>
          <w:t>WTSA-C24</w:t>
        </w:r>
      </w:hyperlink>
      <w:r w:rsidRPr="005A058D">
        <w:rPr>
          <w:lang w:val="fr-FR"/>
        </w:rPr>
        <w:t xml:space="preserve"> "</w:t>
      </w:r>
      <w:r w:rsidRPr="005A058D">
        <w:rPr>
          <w:color w:val="000000" w:themeColor="text1"/>
          <w:lang w:val="fr-FR"/>
        </w:rPr>
        <w:t>Rapport du Groupe consultatif de la normalisation des télécommunications à l</w:t>
      </w:r>
      <w:r w:rsidR="00E31B2B">
        <w:rPr>
          <w:color w:val="000000" w:themeColor="text1"/>
          <w:lang w:val="fr-FR"/>
        </w:rPr>
        <w:t>'</w:t>
      </w:r>
      <w:r w:rsidRPr="005A058D">
        <w:rPr>
          <w:color w:val="000000" w:themeColor="text1"/>
          <w:lang w:val="fr-FR"/>
        </w:rPr>
        <w:t xml:space="preserve">Assemblée mondiale de normalisation des télécommunications (AMNT-20), Partie II – Projets de Résolution révisée" et le Document </w:t>
      </w:r>
      <w:hyperlink r:id="rId111" w:history="1">
        <w:r w:rsidRPr="005A058D">
          <w:rPr>
            <w:rStyle w:val="Hyperlink"/>
            <w:lang w:val="fr-FR"/>
          </w:rPr>
          <w:t>WTSA-C25</w:t>
        </w:r>
      </w:hyperlink>
      <w:r w:rsidRPr="005A058D">
        <w:rPr>
          <w:color w:val="000000" w:themeColor="text1"/>
          <w:lang w:val="fr-FR"/>
        </w:rPr>
        <w:t xml:space="preserve"> "Rapport du Groupe consultatif de la normalisation des télécommunications à l</w:t>
      </w:r>
      <w:r w:rsidR="00E31B2B">
        <w:rPr>
          <w:color w:val="000000" w:themeColor="text1"/>
          <w:lang w:val="fr-FR"/>
        </w:rPr>
        <w:t>'</w:t>
      </w:r>
      <w:r w:rsidRPr="005A058D">
        <w:rPr>
          <w:color w:val="000000" w:themeColor="text1"/>
          <w:lang w:val="fr-FR"/>
        </w:rPr>
        <w:t>Assemblée mondiale de normalisation des télécommunications (AMNT-20), Partie III – Projets de Recommandation UIT-T révisée de la série A")</w:t>
      </w:r>
      <w:r w:rsidRPr="005A058D">
        <w:rPr>
          <w:lang w:val="fr-FR"/>
        </w:rPr>
        <w:t>.</w:t>
      </w:r>
    </w:p>
    <w:p w14:paraId="6B64CE53" w14:textId="2C695C8C" w:rsidR="000571E2" w:rsidRPr="005A058D" w:rsidRDefault="000571E2" w:rsidP="00E31B2B">
      <w:pPr>
        <w:rPr>
          <w:bCs/>
          <w:lang w:val="fr-FR"/>
        </w:rPr>
      </w:pPr>
      <w:r w:rsidRPr="005A058D">
        <w:rPr>
          <w:rFonts w:asciiTheme="majorBidi" w:hAnsiTheme="majorBidi" w:cstheme="majorBidi"/>
          <w:bCs/>
          <w:lang w:val="fr-FR"/>
        </w:rPr>
        <w:t>En 2019, le Groupe RG-WM a participé à la</w:t>
      </w:r>
      <w:r w:rsidRPr="005A058D">
        <w:rPr>
          <w:bCs/>
          <w:lang w:val="fr-FR" w:eastAsia="ja-JP"/>
        </w:rPr>
        <w:t xml:space="preserve"> révision de la Recommandation UIT-T A.1 "</w:t>
      </w:r>
      <w:r w:rsidRPr="005A058D">
        <w:rPr>
          <w:lang w:val="fr-FR" w:eastAsia="ja-JP"/>
        </w:rPr>
        <w:t>Méthodes de travail des Commissions d</w:t>
      </w:r>
      <w:r w:rsidR="00E31B2B">
        <w:rPr>
          <w:lang w:val="fr-FR" w:eastAsia="ja-JP"/>
        </w:rPr>
        <w:t>'</w:t>
      </w:r>
      <w:r w:rsidRPr="005A058D">
        <w:rPr>
          <w:lang w:val="fr-FR" w:eastAsia="ja-JP"/>
        </w:rPr>
        <w:t>études du Secteur de la normalisation des télécommunications de l</w:t>
      </w:r>
      <w:r w:rsidR="00E31B2B">
        <w:rPr>
          <w:lang w:val="fr-FR" w:eastAsia="ja-JP"/>
        </w:rPr>
        <w:t>'</w:t>
      </w:r>
      <w:r w:rsidRPr="005A058D">
        <w:rPr>
          <w:lang w:val="fr-FR" w:eastAsia="ja-JP"/>
        </w:rPr>
        <w:t>UIT</w:t>
      </w:r>
      <w:r w:rsidRPr="005A058D">
        <w:rPr>
          <w:bCs/>
          <w:lang w:val="fr-FR" w:eastAsia="ja-JP"/>
        </w:rPr>
        <w:t>",, qui a fait l</w:t>
      </w:r>
      <w:r w:rsidR="00E31B2B">
        <w:rPr>
          <w:bCs/>
          <w:lang w:val="fr-FR" w:eastAsia="ja-JP"/>
        </w:rPr>
        <w:t>'</w:t>
      </w:r>
      <w:r w:rsidRPr="005A058D">
        <w:rPr>
          <w:bCs/>
          <w:lang w:val="fr-FR" w:eastAsia="ja-JP"/>
        </w:rPr>
        <w:t>objet de modifications importantes par rapport au texte soumis dans le cadre de la procédure TAP (Document TSAG-R04), y compris des dispositions visant à ce que la question liée aux droits de propriété intellectuelle soit posée à chaque réunion (§ 1.4.6, 2.3.3.12 et Appendice</w:t>
      </w:r>
      <w:r>
        <w:rPr>
          <w:bCs/>
          <w:lang w:val="fr-FR" w:eastAsia="ja-JP"/>
        </w:rPr>
        <w:t> </w:t>
      </w:r>
      <w:r w:rsidRPr="005A058D">
        <w:rPr>
          <w:bCs/>
          <w:lang w:val="fr-FR" w:eastAsia="ja-JP"/>
        </w:rPr>
        <w:t>I, i), la suppression des conditions d</w:t>
      </w:r>
      <w:r w:rsidR="00E31B2B">
        <w:rPr>
          <w:bCs/>
          <w:lang w:val="fr-FR" w:eastAsia="ja-JP"/>
        </w:rPr>
        <w:t>'</w:t>
      </w:r>
      <w:r w:rsidRPr="005A058D">
        <w:rPr>
          <w:bCs/>
          <w:lang w:val="fr-FR" w:eastAsia="ja-JP"/>
        </w:rPr>
        <w:t>utilisation du texte soumis dans les contributions (§</w:t>
      </w:r>
      <w:r>
        <w:rPr>
          <w:bCs/>
          <w:lang w:val="fr-FR" w:eastAsia="ja-JP"/>
        </w:rPr>
        <w:t> </w:t>
      </w:r>
      <w:r w:rsidRPr="005A058D">
        <w:rPr>
          <w:bCs/>
          <w:lang w:val="fr-FR" w:eastAsia="ja-JP"/>
        </w:rPr>
        <w:t>3.1.6), et des modifications de forme,</w:t>
      </w:r>
      <w:bookmarkStart w:id="30" w:name="lt_pId254"/>
      <w:r w:rsidRPr="005A058D">
        <w:rPr>
          <w:bCs/>
          <w:lang w:val="fr-FR" w:eastAsia="ja-JP"/>
        </w:rPr>
        <w:t xml:space="preserve"> ainsi qu</w:t>
      </w:r>
      <w:r w:rsidR="00E31B2B">
        <w:rPr>
          <w:bCs/>
          <w:lang w:val="fr-FR" w:eastAsia="ja-JP"/>
        </w:rPr>
        <w:t>'</w:t>
      </w:r>
      <w:r w:rsidRPr="005A058D">
        <w:rPr>
          <w:bCs/>
          <w:lang w:val="fr-FR" w:eastAsia="ja-JP"/>
        </w:rPr>
        <w:t>à la révision de la Recommandation UIT-T A.13 "</w:t>
      </w:r>
      <w:r w:rsidRPr="005A058D">
        <w:rPr>
          <w:lang w:val="fr-FR" w:eastAsia="ja-JP"/>
        </w:rPr>
        <w:t>Publications de l</w:t>
      </w:r>
      <w:r w:rsidR="00E31B2B">
        <w:rPr>
          <w:lang w:val="fr-FR" w:eastAsia="ja-JP"/>
        </w:rPr>
        <w:t>'</w:t>
      </w:r>
      <w:r w:rsidRPr="005A058D">
        <w:rPr>
          <w:lang w:val="fr-FR" w:eastAsia="ja-JP"/>
        </w:rPr>
        <w:t>UIT-T à caractère non normatif, y compris les Suppléments aux Recommandations UIT-T</w:t>
      </w:r>
      <w:r w:rsidRPr="005A058D">
        <w:rPr>
          <w:bCs/>
          <w:lang w:val="fr-FR" w:eastAsia="ja-JP"/>
        </w:rPr>
        <w:t>", qui a fait l</w:t>
      </w:r>
      <w:r w:rsidR="00E31B2B">
        <w:rPr>
          <w:bCs/>
          <w:lang w:val="fr-FR" w:eastAsia="ja-JP"/>
        </w:rPr>
        <w:t>'</w:t>
      </w:r>
      <w:r w:rsidRPr="005A058D">
        <w:rPr>
          <w:bCs/>
          <w:lang w:val="fr-FR" w:eastAsia="ja-JP"/>
        </w:rPr>
        <w:t>objet de modifications de forme par rapport au texte soumis dans le cadre de la procédure TAP (Document TSAG-R06)</w:t>
      </w:r>
      <w:bookmarkEnd w:id="30"/>
      <w:r w:rsidRPr="005A058D">
        <w:rPr>
          <w:bCs/>
          <w:lang w:val="fr-FR"/>
        </w:rPr>
        <w:t xml:space="preserve">. Le Groupe a également collaboré avec le Groupe RG-SC au sujet de la révision de la Recommandation </w:t>
      </w:r>
      <w:r w:rsidRPr="005A058D">
        <w:rPr>
          <w:lang w:val="fr-FR" w:eastAsia="ja-JP"/>
        </w:rPr>
        <w:t>UIT-T A.</w:t>
      </w:r>
      <w:r w:rsidRPr="005A058D">
        <w:rPr>
          <w:bCs/>
          <w:lang w:val="fr-FR" w:eastAsia="ja-JP"/>
        </w:rPr>
        <w:t>5 "</w:t>
      </w:r>
      <w:r w:rsidRPr="005A058D">
        <w:rPr>
          <w:i/>
          <w:lang w:val="fr-FR" w:eastAsia="ja-JP"/>
        </w:rPr>
        <w:t>Procédures génériques applicables à l</w:t>
      </w:r>
      <w:r w:rsidR="00E31B2B">
        <w:rPr>
          <w:i/>
          <w:lang w:val="fr-FR" w:eastAsia="ja-JP"/>
        </w:rPr>
        <w:t>'</w:t>
      </w:r>
      <w:r w:rsidRPr="005A058D">
        <w:rPr>
          <w:i/>
          <w:lang w:val="fr-FR" w:eastAsia="ja-JP"/>
        </w:rPr>
        <w:t>inclusion dans les Recommandations UIT-T de références à des documents émanant d</w:t>
      </w:r>
      <w:r w:rsidR="00E31B2B">
        <w:rPr>
          <w:i/>
          <w:lang w:val="fr-FR" w:eastAsia="ja-JP"/>
        </w:rPr>
        <w:t>'</w:t>
      </w:r>
      <w:r w:rsidRPr="005A058D">
        <w:rPr>
          <w:i/>
          <w:lang w:val="fr-FR" w:eastAsia="ja-JP"/>
        </w:rPr>
        <w:t>autres organisations</w:t>
      </w:r>
      <w:r w:rsidRPr="005A058D">
        <w:rPr>
          <w:bCs/>
          <w:lang w:val="fr-FR" w:eastAsia="ja-JP"/>
        </w:rPr>
        <w:t>"</w:t>
      </w:r>
      <w:r w:rsidRPr="005A058D">
        <w:rPr>
          <w:iCs/>
          <w:lang w:val="fr-FR"/>
        </w:rPr>
        <w:t xml:space="preserve"> et de la Recommandation</w:t>
      </w:r>
      <w:r w:rsidRPr="005A058D">
        <w:rPr>
          <w:lang w:val="fr-FR" w:eastAsia="ja-JP"/>
        </w:rPr>
        <w:t xml:space="preserve"> UIT-T A.25 "</w:t>
      </w:r>
      <w:r w:rsidRPr="005A058D">
        <w:rPr>
          <w:i/>
          <w:lang w:val="fr-FR" w:eastAsia="ja-JP"/>
        </w:rPr>
        <w:t>Procédures génériques d</w:t>
      </w:r>
      <w:r w:rsidR="00E31B2B">
        <w:rPr>
          <w:i/>
          <w:lang w:val="fr-FR" w:eastAsia="ja-JP"/>
        </w:rPr>
        <w:t>'</w:t>
      </w:r>
      <w:r w:rsidRPr="005A058D">
        <w:rPr>
          <w:i/>
          <w:lang w:val="fr-FR" w:eastAsia="ja-JP"/>
        </w:rPr>
        <w:t>incorporation de texte applicables entre l</w:t>
      </w:r>
      <w:r w:rsidR="00E31B2B">
        <w:rPr>
          <w:i/>
          <w:lang w:val="fr-FR" w:eastAsia="ja-JP"/>
        </w:rPr>
        <w:t>'</w:t>
      </w:r>
      <w:r w:rsidRPr="005A058D">
        <w:rPr>
          <w:i/>
          <w:lang w:val="fr-FR" w:eastAsia="ja-JP"/>
        </w:rPr>
        <w:t>UIT</w:t>
      </w:r>
      <w:r w:rsidRPr="005A058D">
        <w:rPr>
          <w:i/>
          <w:lang w:val="fr-FR" w:eastAsia="ja-JP"/>
        </w:rPr>
        <w:noBreakHyphen/>
        <w:t>T et d</w:t>
      </w:r>
      <w:r w:rsidR="00E31B2B">
        <w:rPr>
          <w:i/>
          <w:lang w:val="fr-FR" w:eastAsia="ja-JP"/>
        </w:rPr>
        <w:t>'</w:t>
      </w:r>
      <w:r w:rsidRPr="005A058D">
        <w:rPr>
          <w:i/>
          <w:lang w:val="fr-FR" w:eastAsia="ja-JP"/>
        </w:rPr>
        <w:t>autres organisations</w:t>
      </w:r>
      <w:r w:rsidRPr="005A058D">
        <w:rPr>
          <w:lang w:val="fr-FR" w:eastAsia="ja-JP"/>
        </w:rPr>
        <w:t>"</w:t>
      </w:r>
      <w:r w:rsidRPr="005A058D">
        <w:rPr>
          <w:rFonts w:asciiTheme="majorBidi" w:hAnsiTheme="majorBidi" w:cstheme="majorBidi"/>
          <w:bCs/>
          <w:lang w:val="fr-FR"/>
        </w:rPr>
        <w:t>.</w:t>
      </w:r>
    </w:p>
    <w:p w14:paraId="154C3580" w14:textId="091A1602" w:rsidR="000571E2" w:rsidRPr="005A058D" w:rsidRDefault="000571E2" w:rsidP="00E31B2B">
      <w:pPr>
        <w:rPr>
          <w:rFonts w:asciiTheme="majorBidi" w:hAnsiTheme="majorBidi" w:cstheme="majorBidi"/>
          <w:bCs/>
          <w:lang w:val="fr-FR"/>
        </w:rPr>
      </w:pPr>
      <w:r w:rsidRPr="005A058D">
        <w:rPr>
          <w:rFonts w:asciiTheme="majorBidi" w:hAnsiTheme="majorBidi" w:cstheme="majorBidi"/>
          <w:bCs/>
          <w:lang w:val="fr-FR"/>
        </w:rPr>
        <w:t>En 2020, le Groupe RG-WM a achevé ses travaux concernant la révision du Manuel de l</w:t>
      </w:r>
      <w:r w:rsidR="00E31B2B">
        <w:rPr>
          <w:rFonts w:asciiTheme="majorBidi" w:hAnsiTheme="majorBidi" w:cstheme="majorBidi"/>
          <w:bCs/>
          <w:lang w:val="fr-FR"/>
        </w:rPr>
        <w:t>'</w:t>
      </w:r>
      <w:r w:rsidRPr="005A058D">
        <w:rPr>
          <w:rFonts w:asciiTheme="majorBidi" w:hAnsiTheme="majorBidi" w:cstheme="majorBidi"/>
          <w:bCs/>
          <w:lang w:val="fr-FR"/>
        </w:rPr>
        <w:t>UIT-T à l</w:t>
      </w:r>
      <w:r w:rsidR="00E31B2B">
        <w:rPr>
          <w:rFonts w:asciiTheme="majorBidi" w:hAnsiTheme="majorBidi" w:cstheme="majorBidi"/>
          <w:bCs/>
          <w:lang w:val="fr-FR"/>
        </w:rPr>
        <w:t>'</w:t>
      </w:r>
      <w:r w:rsidRPr="005A058D">
        <w:rPr>
          <w:rFonts w:asciiTheme="majorBidi" w:hAnsiTheme="majorBidi" w:cstheme="majorBidi"/>
          <w:bCs/>
          <w:lang w:val="fr-FR"/>
        </w:rPr>
        <w:t xml:space="preserve">intention des Rapporteurs et des éditeurs. Il a contribué aux améliorations à apporter au </w:t>
      </w:r>
      <w:r w:rsidRPr="005A058D">
        <w:rPr>
          <w:rFonts w:asciiTheme="majorBidi" w:hAnsiTheme="majorBidi" w:cstheme="majorBidi"/>
          <w:bCs/>
          <w:i/>
          <w:lang w:val="fr-FR"/>
        </w:rPr>
        <w:t>Guide pour l</w:t>
      </w:r>
      <w:r w:rsidR="00E31B2B">
        <w:rPr>
          <w:rFonts w:asciiTheme="majorBidi" w:hAnsiTheme="majorBidi" w:cstheme="majorBidi"/>
          <w:bCs/>
          <w:i/>
          <w:lang w:val="fr-FR"/>
        </w:rPr>
        <w:t>'</w:t>
      </w:r>
      <w:r w:rsidRPr="005A058D">
        <w:rPr>
          <w:rFonts w:asciiTheme="majorBidi" w:hAnsiTheme="majorBidi" w:cstheme="majorBidi"/>
          <w:bCs/>
          <w:i/>
          <w:lang w:val="fr-FR"/>
        </w:rPr>
        <w:t>élaboration des Recommandations UIT-T à l</w:t>
      </w:r>
      <w:r w:rsidR="00E31B2B">
        <w:rPr>
          <w:rFonts w:asciiTheme="majorBidi" w:hAnsiTheme="majorBidi" w:cstheme="majorBidi"/>
          <w:bCs/>
          <w:i/>
          <w:lang w:val="fr-FR"/>
        </w:rPr>
        <w:t>'</w:t>
      </w:r>
      <w:r w:rsidRPr="005A058D">
        <w:rPr>
          <w:rFonts w:asciiTheme="majorBidi" w:hAnsiTheme="majorBidi" w:cstheme="majorBidi"/>
          <w:bCs/>
          <w:i/>
          <w:lang w:val="fr-FR"/>
        </w:rPr>
        <w:t>usage des auteurs,</w:t>
      </w:r>
      <w:r w:rsidRPr="005A058D">
        <w:rPr>
          <w:rFonts w:asciiTheme="majorBidi" w:hAnsiTheme="majorBidi" w:cstheme="majorBidi"/>
          <w:bCs/>
          <w:lang w:val="fr-FR"/>
        </w:rPr>
        <w:t xml:space="preserve"> approuvé par le GCNT </w:t>
      </w:r>
      <w:r w:rsidR="008154FC">
        <w:rPr>
          <w:rFonts w:asciiTheme="majorBidi" w:hAnsiTheme="majorBidi" w:cstheme="majorBidi"/>
          <w:bCs/>
          <w:lang w:val="fr-FR"/>
        </w:rPr>
        <w:t>en </w:t>
      </w:r>
      <w:r w:rsidRPr="005A058D">
        <w:rPr>
          <w:rFonts w:asciiTheme="majorBidi" w:hAnsiTheme="majorBidi" w:cstheme="majorBidi"/>
          <w:bCs/>
          <w:lang w:val="fr-FR"/>
        </w:rPr>
        <w:t>2020.</w:t>
      </w:r>
    </w:p>
    <w:p w14:paraId="27AD1FFB" w14:textId="465FFA4D" w:rsidR="000571E2" w:rsidRPr="005A058D" w:rsidRDefault="000571E2" w:rsidP="00E31B2B">
      <w:pPr>
        <w:rPr>
          <w:rFonts w:asciiTheme="majorBidi" w:hAnsiTheme="majorBidi" w:cstheme="majorBidi"/>
          <w:bCs/>
          <w:lang w:val="fr-FR"/>
        </w:rPr>
      </w:pPr>
      <w:r w:rsidRPr="005A058D">
        <w:rPr>
          <w:rFonts w:asciiTheme="majorBidi" w:hAnsiTheme="majorBidi" w:cstheme="majorBidi"/>
          <w:bCs/>
          <w:lang w:val="fr-FR"/>
        </w:rPr>
        <w:lastRenderedPageBreak/>
        <w:t xml:space="preserve">Dans le cadre de la Résolution 32 </w:t>
      </w:r>
      <w:r w:rsidRPr="005A058D">
        <w:rPr>
          <w:rFonts w:asciiTheme="majorBidi" w:eastAsia="MS Mincho" w:hAnsiTheme="majorBidi" w:cstheme="majorBidi"/>
          <w:bCs/>
          <w:color w:val="000000"/>
          <w:lang w:val="fr-FR"/>
        </w:rPr>
        <w:t xml:space="preserve">(Rév. Hammamet, 2016), le Groupe RG-WM examine les méthodes de travail électroniques (EWM). À chaque réunion du GCNT, il a reçu un rapport du TSB sur les méthodes de travail électroniques, les services et les applications de bases de données, faisant état des nouveaux outils et des nouvelles installations électroniques mis à disposition, et a </w:t>
      </w:r>
      <w:r w:rsidRPr="005A058D">
        <w:rPr>
          <w:color w:val="000000"/>
          <w:lang w:val="fr-FR"/>
        </w:rPr>
        <w:t>fait le point sur</w:t>
      </w:r>
      <w:r w:rsidRPr="005A058D">
        <w:rPr>
          <w:rFonts w:asciiTheme="majorBidi" w:eastAsia="MS Mincho" w:hAnsiTheme="majorBidi" w:cstheme="majorBidi"/>
          <w:bCs/>
          <w:color w:val="000000"/>
          <w:lang w:val="fr-FR"/>
        </w:rPr>
        <w:t xml:space="preserve"> les </w:t>
      </w:r>
      <w:r w:rsidRPr="005A058D">
        <w:rPr>
          <w:color w:val="000000"/>
          <w:lang w:val="fr-FR"/>
        </w:rPr>
        <w:t>mesures à prendre</w:t>
      </w:r>
      <w:r w:rsidRPr="005A058D">
        <w:rPr>
          <w:rFonts w:asciiTheme="majorBidi" w:eastAsia="MS Mincho" w:hAnsiTheme="majorBidi" w:cstheme="majorBidi"/>
          <w:bCs/>
          <w:color w:val="000000"/>
          <w:lang w:val="fr-FR"/>
        </w:rPr>
        <w:t xml:space="preserve"> pour ce qui est des méthodes de travail électroniques.</w:t>
      </w:r>
      <w:r w:rsidR="008154FC">
        <w:rPr>
          <w:rFonts w:asciiTheme="majorBidi" w:eastAsia="MS Mincho" w:hAnsiTheme="majorBidi" w:cstheme="majorBidi"/>
          <w:bCs/>
          <w:color w:val="000000"/>
          <w:lang w:val="fr-FR"/>
        </w:rPr>
        <w:t xml:space="preserve"> Le </w:t>
      </w:r>
      <w:r w:rsidRPr="005A058D">
        <w:rPr>
          <w:rFonts w:asciiTheme="majorBidi" w:eastAsia="MS Mincho" w:hAnsiTheme="majorBidi" w:cstheme="majorBidi"/>
          <w:bCs/>
          <w:color w:val="000000"/>
          <w:lang w:val="fr-FR"/>
        </w:rPr>
        <w:t>GCNT a formulé des commentaires sur les améliorations à apporter au nouveau système d</w:t>
      </w:r>
      <w:r w:rsidR="00E31B2B">
        <w:rPr>
          <w:rFonts w:asciiTheme="majorBidi" w:eastAsia="MS Mincho" w:hAnsiTheme="majorBidi" w:cstheme="majorBidi"/>
          <w:bCs/>
          <w:color w:val="000000"/>
          <w:lang w:val="fr-FR"/>
        </w:rPr>
        <w:t>'</w:t>
      </w:r>
      <w:r w:rsidRPr="005A058D">
        <w:rPr>
          <w:rFonts w:asciiTheme="majorBidi" w:eastAsia="MS Mincho" w:hAnsiTheme="majorBidi" w:cstheme="majorBidi"/>
          <w:bCs/>
          <w:color w:val="000000"/>
          <w:lang w:val="fr-FR"/>
        </w:rPr>
        <w:t>inscription CRM (gestion de la relation client) de l</w:t>
      </w:r>
      <w:r w:rsidR="00E31B2B">
        <w:rPr>
          <w:rFonts w:asciiTheme="majorBidi" w:eastAsia="MS Mincho" w:hAnsiTheme="majorBidi" w:cstheme="majorBidi"/>
          <w:bCs/>
          <w:color w:val="000000"/>
          <w:lang w:val="fr-FR"/>
        </w:rPr>
        <w:t>'</w:t>
      </w:r>
      <w:r w:rsidRPr="005A058D">
        <w:rPr>
          <w:rFonts w:asciiTheme="majorBidi" w:eastAsia="MS Mincho" w:hAnsiTheme="majorBidi" w:cstheme="majorBidi"/>
          <w:bCs/>
          <w:color w:val="000000"/>
          <w:lang w:val="fr-FR"/>
        </w:rPr>
        <w:t>UIT. Le Groupe a également tenu compte des commentaires sur les méthodes de travail électroniques figurant dans les notes de liaison reçues et dans des contributions.</w:t>
      </w:r>
    </w:p>
    <w:p w14:paraId="37B0A7AB" w14:textId="77777777" w:rsidR="000571E2" w:rsidRPr="005A058D" w:rsidRDefault="000571E2" w:rsidP="00E31B2B">
      <w:pPr>
        <w:rPr>
          <w:lang w:val="fr-FR"/>
        </w:rPr>
      </w:pPr>
      <w:r w:rsidRPr="005A058D">
        <w:rPr>
          <w:lang w:val="fr-FR"/>
        </w:rPr>
        <w:t xml:space="preserve">Le Groupe RG-WM a examiné les informations contenues dans les contributions relatives aux modifications apportées aux Recommandations UIT-T A.1, A.7 et A.8 et étudie les révisions de la Résolution 1 </w:t>
      </w:r>
      <w:r w:rsidRPr="005A058D">
        <w:rPr>
          <w:rFonts w:asciiTheme="majorBidi" w:eastAsia="MS Mincho" w:hAnsiTheme="majorBidi" w:cstheme="majorBidi"/>
          <w:color w:val="000000"/>
          <w:lang w:val="fr-FR"/>
        </w:rPr>
        <w:t>(Rév. Hammamet, 2016).</w:t>
      </w:r>
    </w:p>
    <w:p w14:paraId="0F1D098A" w14:textId="5F8941B1" w:rsidR="000571E2" w:rsidRPr="005A058D" w:rsidRDefault="000571E2" w:rsidP="00E31B2B">
      <w:pPr>
        <w:rPr>
          <w:rFonts w:asciiTheme="majorBidi" w:hAnsiTheme="majorBidi" w:cstheme="majorBidi"/>
          <w:bCs/>
          <w:lang w:val="fr-FR"/>
        </w:rPr>
      </w:pPr>
      <w:r w:rsidRPr="005A058D">
        <w:rPr>
          <w:rFonts w:asciiTheme="majorBidi" w:hAnsiTheme="majorBidi" w:cstheme="majorBidi"/>
          <w:bCs/>
          <w:lang w:val="fr-FR"/>
        </w:rPr>
        <w:t>Le Groupe RG-WM a formulé un nouveau sujet d</w:t>
      </w:r>
      <w:r w:rsidR="00E31B2B">
        <w:rPr>
          <w:rFonts w:asciiTheme="majorBidi" w:hAnsiTheme="majorBidi" w:cstheme="majorBidi"/>
          <w:bCs/>
          <w:lang w:val="fr-FR"/>
        </w:rPr>
        <w:t>'</w:t>
      </w:r>
      <w:r w:rsidRPr="005A058D">
        <w:rPr>
          <w:rFonts w:asciiTheme="majorBidi" w:hAnsiTheme="majorBidi" w:cstheme="majorBidi"/>
          <w:bCs/>
          <w:lang w:val="fr-FR"/>
        </w:rPr>
        <w:t xml:space="preserve">étude visant à élaborer un projet de Supplément aux Recommandations UIT-T de la série A sur les lignes directrices relatives à la désignation et au fonctionnement des </w:t>
      </w:r>
      <w:r w:rsidRPr="005A058D">
        <w:rPr>
          <w:color w:val="000000"/>
          <w:lang w:val="fr-FR"/>
        </w:rPr>
        <w:t xml:space="preserve">autorités </w:t>
      </w:r>
      <w:r w:rsidRPr="005A058D">
        <w:rPr>
          <w:rFonts w:asciiTheme="majorBidi" w:hAnsiTheme="majorBidi" w:cstheme="majorBidi"/>
          <w:bCs/>
          <w:lang w:val="fr-FR"/>
        </w:rPr>
        <w:t>d</w:t>
      </w:r>
      <w:r w:rsidR="00E31B2B">
        <w:rPr>
          <w:rFonts w:asciiTheme="majorBidi" w:hAnsiTheme="majorBidi" w:cstheme="majorBidi"/>
          <w:bCs/>
          <w:lang w:val="fr-FR"/>
        </w:rPr>
        <w:t>'</w:t>
      </w:r>
      <w:r w:rsidRPr="005A058D">
        <w:rPr>
          <w:rFonts w:asciiTheme="majorBidi" w:hAnsiTheme="majorBidi" w:cstheme="majorBidi"/>
          <w:bCs/>
          <w:lang w:val="fr-FR"/>
        </w:rPr>
        <w:t>enregistrement.</w:t>
      </w:r>
    </w:p>
    <w:p w14:paraId="6803B25F" w14:textId="2C7FF03E" w:rsidR="000571E2" w:rsidRPr="005A058D" w:rsidRDefault="000571E2" w:rsidP="00E31B2B">
      <w:pPr>
        <w:pStyle w:val="Heading3"/>
        <w:rPr>
          <w:lang w:val="fr-FR"/>
        </w:rPr>
      </w:pPr>
      <w:r w:rsidRPr="005A058D">
        <w:rPr>
          <w:lang w:val="fr-FR"/>
        </w:rPr>
        <w:t>3.2.7</w:t>
      </w:r>
      <w:r w:rsidRPr="005A058D">
        <w:rPr>
          <w:lang w:val="fr-FR"/>
        </w:rPr>
        <w:tab/>
        <w:t>Groupe du Rapporteur du GCNT sur le programme de travail et la structure des commissions d</w:t>
      </w:r>
      <w:r w:rsidR="00E31B2B">
        <w:rPr>
          <w:lang w:val="fr-FR"/>
        </w:rPr>
        <w:t>'</w:t>
      </w:r>
      <w:r w:rsidRPr="005A058D">
        <w:rPr>
          <w:lang w:val="fr-FR"/>
        </w:rPr>
        <w:t>études (RG-WP)</w:t>
      </w:r>
    </w:p>
    <w:p w14:paraId="70DECC09" w14:textId="4DF9BBE1" w:rsidR="000571E2" w:rsidRPr="005A058D" w:rsidRDefault="000571E2" w:rsidP="00E31B2B">
      <w:pPr>
        <w:keepNext/>
        <w:keepLines/>
        <w:rPr>
          <w:szCs w:val="24"/>
          <w:lang w:val="fr-FR" w:eastAsia="en-GB"/>
        </w:rPr>
      </w:pPr>
      <w:r w:rsidRPr="005A058D">
        <w:rPr>
          <w:szCs w:val="24"/>
          <w:lang w:val="fr-FR" w:eastAsia="en-GB"/>
        </w:rPr>
        <w:t>Le Groupe RG-WP du GCNT (</w:t>
      </w:r>
      <w:hyperlink r:id="rId112" w:history="1">
        <w:r w:rsidRPr="005A058D">
          <w:rPr>
            <w:rStyle w:val="Hyperlink"/>
            <w:szCs w:val="24"/>
            <w:lang w:val="fr-FR" w:eastAsia="en-GB"/>
          </w:rPr>
          <w:t>mandat</w:t>
        </w:r>
      </w:hyperlink>
      <w:r w:rsidRPr="005A058D">
        <w:rPr>
          <w:szCs w:val="24"/>
          <w:lang w:val="fr-FR" w:eastAsia="en-GB"/>
        </w:rPr>
        <w:t>) a apporté un appui au GCNT en examinant les questions relatives au programme de travail et à la structure des commissions d</w:t>
      </w:r>
      <w:r w:rsidR="00E31B2B">
        <w:rPr>
          <w:szCs w:val="24"/>
          <w:lang w:val="fr-FR" w:eastAsia="en-GB"/>
        </w:rPr>
        <w:t>'</w:t>
      </w:r>
      <w:r w:rsidRPr="005A058D">
        <w:rPr>
          <w:szCs w:val="24"/>
          <w:lang w:val="fr-FR" w:eastAsia="en-GB"/>
        </w:rPr>
        <w:t>études pour la période d</w:t>
      </w:r>
      <w:r w:rsidR="00E31B2B">
        <w:rPr>
          <w:szCs w:val="24"/>
          <w:lang w:val="fr-FR" w:eastAsia="en-GB"/>
        </w:rPr>
        <w:t>'</w:t>
      </w:r>
      <w:r w:rsidRPr="005A058D">
        <w:rPr>
          <w:szCs w:val="24"/>
          <w:lang w:val="fr-FR" w:eastAsia="en-GB"/>
        </w:rPr>
        <w:t>études 2017-2020. Il a également pour mission d</w:t>
      </w:r>
      <w:r w:rsidR="00E31B2B">
        <w:rPr>
          <w:szCs w:val="24"/>
          <w:lang w:val="fr-FR" w:eastAsia="en-GB"/>
        </w:rPr>
        <w:t>'</w:t>
      </w:r>
      <w:r w:rsidRPr="005A058D">
        <w:rPr>
          <w:szCs w:val="24"/>
          <w:lang w:val="fr-FR" w:eastAsia="en-GB"/>
        </w:rPr>
        <w:t>élaborer la structure détaillée des commissions d</w:t>
      </w:r>
      <w:r w:rsidR="00E31B2B">
        <w:rPr>
          <w:szCs w:val="24"/>
          <w:lang w:val="fr-FR" w:eastAsia="en-GB"/>
        </w:rPr>
        <w:t>'</w:t>
      </w:r>
      <w:r w:rsidRPr="005A058D">
        <w:rPr>
          <w:szCs w:val="24"/>
          <w:lang w:val="fr-FR" w:eastAsia="en-GB"/>
        </w:rPr>
        <w:t>études pour la prochaine période d</w:t>
      </w:r>
      <w:r w:rsidR="00E31B2B">
        <w:rPr>
          <w:szCs w:val="24"/>
          <w:lang w:val="fr-FR" w:eastAsia="en-GB"/>
        </w:rPr>
        <w:t>'</w:t>
      </w:r>
      <w:r w:rsidRPr="005A058D">
        <w:rPr>
          <w:szCs w:val="24"/>
          <w:lang w:val="fr-FR" w:eastAsia="en-GB"/>
        </w:rPr>
        <w:t xml:space="preserve">études. </w:t>
      </w:r>
      <w:r w:rsidRPr="005A058D">
        <w:rPr>
          <w:lang w:val="fr-FR"/>
        </w:rPr>
        <w:t>Les rapports d</w:t>
      </w:r>
      <w:r w:rsidR="00E31B2B">
        <w:rPr>
          <w:lang w:val="fr-FR"/>
        </w:rPr>
        <w:t>'</w:t>
      </w:r>
      <w:r w:rsidRPr="005A058D">
        <w:rPr>
          <w:lang w:val="fr-FR"/>
        </w:rPr>
        <w:t>activité des réunions intérimaires du Groupe RG</w:t>
      </w:r>
      <w:r w:rsidRPr="005A058D">
        <w:rPr>
          <w:lang w:val="fr-FR"/>
        </w:rPr>
        <w:noBreakHyphen/>
        <w:t xml:space="preserve">WP figurent dans les Documents temporaires </w:t>
      </w:r>
      <w:hyperlink r:id="rId113" w:history="1">
        <w:r w:rsidRPr="005A058D">
          <w:rPr>
            <w:rStyle w:val="Hyperlink"/>
            <w:szCs w:val="24"/>
            <w:lang w:val="fr-FR" w:eastAsia="zh-CN"/>
          </w:rPr>
          <w:t>812</w:t>
        </w:r>
      </w:hyperlink>
      <w:r w:rsidRPr="005A058D">
        <w:rPr>
          <w:szCs w:val="24"/>
          <w:lang w:val="fr-FR"/>
        </w:rPr>
        <w:t xml:space="preserve">, </w:t>
      </w:r>
      <w:hyperlink r:id="rId114" w:history="1">
        <w:r w:rsidRPr="005A058D">
          <w:rPr>
            <w:rStyle w:val="Hyperlink"/>
            <w:szCs w:val="24"/>
            <w:lang w:val="fr-FR" w:eastAsia="zh-CN"/>
          </w:rPr>
          <w:t>954</w:t>
        </w:r>
      </w:hyperlink>
      <w:r w:rsidRPr="005A058D">
        <w:rPr>
          <w:szCs w:val="24"/>
          <w:lang w:val="fr-FR"/>
        </w:rPr>
        <w:t xml:space="preserve">, </w:t>
      </w:r>
      <w:hyperlink r:id="rId115" w:history="1">
        <w:r w:rsidRPr="005A058D">
          <w:rPr>
            <w:rStyle w:val="Hyperlink"/>
            <w:szCs w:val="24"/>
            <w:lang w:val="fr-FR" w:eastAsia="zh-CN"/>
          </w:rPr>
          <w:t>958</w:t>
        </w:r>
      </w:hyperlink>
      <w:r w:rsidRPr="005A058D">
        <w:rPr>
          <w:szCs w:val="24"/>
          <w:lang w:val="fr-FR"/>
        </w:rPr>
        <w:t xml:space="preserve">, </w:t>
      </w:r>
      <w:hyperlink r:id="rId116" w:history="1">
        <w:r w:rsidRPr="005A058D">
          <w:rPr>
            <w:rStyle w:val="Hyperlink"/>
            <w:szCs w:val="24"/>
            <w:lang w:val="fr-FR"/>
          </w:rPr>
          <w:t>1055</w:t>
        </w:r>
      </w:hyperlink>
      <w:r w:rsidRPr="005A058D">
        <w:rPr>
          <w:szCs w:val="24"/>
          <w:lang w:val="fr-FR"/>
        </w:rPr>
        <w:t xml:space="preserve"> et </w:t>
      </w:r>
      <w:hyperlink r:id="rId117" w:history="1">
        <w:r w:rsidRPr="005A058D">
          <w:rPr>
            <w:rStyle w:val="Hyperlink"/>
            <w:szCs w:val="24"/>
            <w:lang w:val="fr-FR" w:eastAsia="zh-CN"/>
          </w:rPr>
          <w:t>1203</w:t>
        </w:r>
      </w:hyperlink>
      <w:r w:rsidRPr="005A058D">
        <w:rPr>
          <w:lang w:val="fr-FR"/>
        </w:rPr>
        <w:t xml:space="preserve"> du GCNT. Les rapports du Groupe RG-WP présentés lors des réunions du GCNT figurent dans les </w:t>
      </w:r>
      <w:r>
        <w:rPr>
          <w:lang w:val="fr-FR"/>
        </w:rPr>
        <w:t>D</w:t>
      </w:r>
      <w:r w:rsidRPr="005A058D">
        <w:rPr>
          <w:lang w:val="fr-FR"/>
        </w:rPr>
        <w:t xml:space="preserve">ocuments temporaires </w:t>
      </w:r>
      <w:hyperlink r:id="rId118" w:history="1">
        <w:r w:rsidRPr="005A058D">
          <w:rPr>
            <w:rStyle w:val="Hyperlink"/>
            <w:szCs w:val="24"/>
            <w:lang w:val="fr-FR"/>
          </w:rPr>
          <w:t>84</w:t>
        </w:r>
      </w:hyperlink>
      <w:r w:rsidRPr="005A058D">
        <w:rPr>
          <w:szCs w:val="24"/>
          <w:lang w:val="fr-FR"/>
        </w:rPr>
        <w:t xml:space="preserve">, </w:t>
      </w:r>
      <w:hyperlink r:id="rId119" w:history="1">
        <w:r w:rsidRPr="005A058D">
          <w:rPr>
            <w:rStyle w:val="Hyperlink"/>
            <w:szCs w:val="24"/>
            <w:lang w:val="fr-FR"/>
          </w:rPr>
          <w:t>137-R1</w:t>
        </w:r>
      </w:hyperlink>
      <w:r w:rsidRPr="005A058D">
        <w:rPr>
          <w:szCs w:val="24"/>
          <w:lang w:val="fr-FR"/>
        </w:rPr>
        <w:t xml:space="preserve">, </w:t>
      </w:r>
      <w:hyperlink r:id="rId120" w:history="1">
        <w:r w:rsidRPr="005A058D">
          <w:rPr>
            <w:rStyle w:val="Hyperlink"/>
            <w:szCs w:val="24"/>
            <w:lang w:val="fr-FR"/>
          </w:rPr>
          <w:t>290</w:t>
        </w:r>
      </w:hyperlink>
      <w:r w:rsidRPr="005A058D">
        <w:rPr>
          <w:szCs w:val="24"/>
          <w:lang w:val="fr-FR"/>
        </w:rPr>
        <w:t xml:space="preserve">, </w:t>
      </w:r>
      <w:hyperlink r:id="rId121" w:history="1">
        <w:r w:rsidRPr="005A058D">
          <w:rPr>
            <w:rStyle w:val="Hyperlink"/>
            <w:szCs w:val="24"/>
            <w:lang w:val="fr-FR"/>
          </w:rPr>
          <w:t>465</w:t>
        </w:r>
      </w:hyperlink>
      <w:r w:rsidRPr="005A058D">
        <w:rPr>
          <w:szCs w:val="24"/>
          <w:lang w:val="fr-FR"/>
        </w:rPr>
        <w:t xml:space="preserve">, </w:t>
      </w:r>
      <w:hyperlink r:id="rId122" w:history="1">
        <w:r w:rsidRPr="005A058D">
          <w:rPr>
            <w:rStyle w:val="Hyperlink"/>
            <w:szCs w:val="24"/>
            <w:lang w:val="fr-FR"/>
          </w:rPr>
          <w:t>655-R1</w:t>
        </w:r>
      </w:hyperlink>
      <w:r w:rsidRPr="005A058D">
        <w:rPr>
          <w:szCs w:val="24"/>
          <w:lang w:val="fr-FR"/>
        </w:rPr>
        <w:t xml:space="preserve">, </w:t>
      </w:r>
      <w:hyperlink r:id="rId123" w:history="1">
        <w:r w:rsidRPr="005A058D">
          <w:rPr>
            <w:rStyle w:val="Hyperlink"/>
            <w:szCs w:val="24"/>
            <w:lang w:val="fr-FR"/>
          </w:rPr>
          <w:t>787-R1</w:t>
        </w:r>
      </w:hyperlink>
      <w:r w:rsidRPr="005A058D">
        <w:rPr>
          <w:szCs w:val="24"/>
          <w:lang w:val="fr-FR"/>
        </w:rPr>
        <w:t xml:space="preserve">, </w:t>
      </w:r>
      <w:hyperlink r:id="rId124" w:history="1">
        <w:r w:rsidRPr="005A058D">
          <w:rPr>
            <w:rStyle w:val="Hyperlink"/>
            <w:szCs w:val="24"/>
            <w:lang w:val="fr-FR"/>
          </w:rPr>
          <w:t>930-R1</w:t>
        </w:r>
      </w:hyperlink>
      <w:r w:rsidRPr="005A058D">
        <w:rPr>
          <w:szCs w:val="24"/>
          <w:lang w:val="fr-FR"/>
        </w:rPr>
        <w:t xml:space="preserve">, </w:t>
      </w:r>
      <w:hyperlink r:id="rId125" w:history="1">
        <w:r w:rsidRPr="005A058D">
          <w:rPr>
            <w:rStyle w:val="Hyperlink"/>
            <w:szCs w:val="24"/>
            <w:lang w:val="fr-FR"/>
          </w:rPr>
          <w:t>1029-R1</w:t>
        </w:r>
      </w:hyperlink>
      <w:r w:rsidRPr="005A058D">
        <w:rPr>
          <w:szCs w:val="24"/>
          <w:lang w:val="fr-FR"/>
        </w:rPr>
        <w:t xml:space="preserve"> et </w:t>
      </w:r>
      <w:hyperlink r:id="rId126" w:history="1">
        <w:r w:rsidRPr="005A058D">
          <w:rPr>
            <w:rStyle w:val="Hyperlink"/>
            <w:szCs w:val="24"/>
            <w:lang w:val="fr-FR" w:eastAsia="zh-CN"/>
          </w:rPr>
          <w:t>1184</w:t>
        </w:r>
      </w:hyperlink>
      <w:r w:rsidRPr="005A058D">
        <w:rPr>
          <w:lang w:val="fr-FR"/>
        </w:rPr>
        <w:t xml:space="preserve"> du GCNT.</w:t>
      </w:r>
    </w:p>
    <w:p w14:paraId="2E467A32" w14:textId="2470983D" w:rsidR="000571E2" w:rsidRPr="005A058D" w:rsidRDefault="000571E2" w:rsidP="00E31B2B">
      <w:pPr>
        <w:pStyle w:val="Heading4"/>
        <w:rPr>
          <w:lang w:val="fr-FR"/>
        </w:rPr>
      </w:pPr>
      <w:r w:rsidRPr="005A058D">
        <w:rPr>
          <w:lang w:val="fr-FR"/>
        </w:rPr>
        <w:t>3.2.7.1</w:t>
      </w:r>
      <w:r w:rsidRPr="005A058D">
        <w:rPr>
          <w:lang w:val="fr-FR"/>
        </w:rPr>
        <w:tab/>
      </w:r>
      <w:bookmarkStart w:id="31" w:name="_Toc454289993"/>
      <w:bookmarkEnd w:id="31"/>
      <w:r w:rsidRPr="005A058D">
        <w:rPr>
          <w:lang w:val="fr-FR"/>
        </w:rPr>
        <w:t>Commissions d</w:t>
      </w:r>
      <w:r w:rsidR="00E31B2B">
        <w:rPr>
          <w:lang w:val="fr-FR"/>
        </w:rPr>
        <w:t>'</w:t>
      </w:r>
      <w:r w:rsidRPr="005A058D">
        <w:rPr>
          <w:lang w:val="fr-FR"/>
        </w:rPr>
        <w:t>études de l</w:t>
      </w:r>
      <w:r w:rsidR="00E31B2B">
        <w:rPr>
          <w:lang w:val="fr-FR"/>
        </w:rPr>
        <w:t>'</w:t>
      </w:r>
      <w:r w:rsidRPr="005A058D">
        <w:rPr>
          <w:lang w:val="fr-FR"/>
        </w:rPr>
        <w:t>UIT-T</w:t>
      </w:r>
    </w:p>
    <w:p w14:paraId="60CA8CA1" w14:textId="788856D5" w:rsidR="000571E2" w:rsidRPr="005A058D" w:rsidRDefault="000571E2" w:rsidP="00E31B2B">
      <w:pPr>
        <w:rPr>
          <w:lang w:val="fr-FR"/>
        </w:rPr>
      </w:pPr>
      <w:r w:rsidRPr="005A058D">
        <w:rPr>
          <w:lang w:val="fr-FR"/>
        </w:rPr>
        <w:t xml:space="preserve">À chaque réunion du GCNT, le Groupe RG-WP a examiné les statistiques concernant les travaux des </w:t>
      </w:r>
      <w:r>
        <w:rPr>
          <w:lang w:val="fr-FR"/>
        </w:rPr>
        <w:t>C</w:t>
      </w:r>
      <w:r w:rsidRPr="005A058D">
        <w:rPr>
          <w:lang w:val="fr-FR"/>
        </w:rPr>
        <w:t>ommissions d</w:t>
      </w:r>
      <w:r w:rsidR="00E31B2B">
        <w:rPr>
          <w:lang w:val="fr-FR"/>
        </w:rPr>
        <w:t>'</w:t>
      </w:r>
      <w:r w:rsidRPr="005A058D">
        <w:rPr>
          <w:lang w:val="fr-FR"/>
        </w:rPr>
        <w:t>études de l</w:t>
      </w:r>
      <w:r w:rsidR="00E31B2B">
        <w:rPr>
          <w:lang w:val="fr-FR"/>
        </w:rPr>
        <w:t>'</w:t>
      </w:r>
      <w:r w:rsidRPr="005A058D">
        <w:rPr>
          <w:lang w:val="fr-FR"/>
        </w:rPr>
        <w:t>UIT-T (à savoir, les statistiques du Comité d</w:t>
      </w:r>
      <w:r w:rsidR="00E31B2B">
        <w:rPr>
          <w:lang w:val="fr-FR"/>
        </w:rPr>
        <w:t>'</w:t>
      </w:r>
      <w:r w:rsidRPr="005A058D">
        <w:rPr>
          <w:lang w:val="fr-FR"/>
        </w:rPr>
        <w:t>examen) et a réduit la liste des sujets d</w:t>
      </w:r>
      <w:r w:rsidR="00E31B2B">
        <w:rPr>
          <w:lang w:val="fr-FR"/>
        </w:rPr>
        <w:t>'</w:t>
      </w:r>
      <w:r w:rsidRPr="005A058D">
        <w:rPr>
          <w:lang w:val="fr-FR"/>
        </w:rPr>
        <w:t xml:space="preserve">étude en suspens après consultation des </w:t>
      </w:r>
      <w:r>
        <w:rPr>
          <w:lang w:val="fr-FR"/>
        </w:rPr>
        <w:t>C</w:t>
      </w:r>
      <w:r w:rsidRPr="005A058D">
        <w:rPr>
          <w:lang w:val="fr-FR"/>
        </w:rPr>
        <w:t>ommissions d</w:t>
      </w:r>
      <w:r w:rsidR="00E31B2B">
        <w:rPr>
          <w:lang w:val="fr-FR"/>
        </w:rPr>
        <w:t>'</w:t>
      </w:r>
      <w:r w:rsidRPr="005A058D">
        <w:rPr>
          <w:lang w:val="fr-FR"/>
        </w:rPr>
        <w:t>études de l</w:t>
      </w:r>
      <w:r w:rsidR="00E31B2B">
        <w:rPr>
          <w:lang w:val="fr-FR"/>
        </w:rPr>
        <w:t>'</w:t>
      </w:r>
      <w:r w:rsidRPr="005A058D">
        <w:rPr>
          <w:lang w:val="fr-FR"/>
        </w:rPr>
        <w:t>UIT-T.</w:t>
      </w:r>
    </w:p>
    <w:p w14:paraId="5581ECBB" w14:textId="6D47F409" w:rsidR="000571E2" w:rsidRPr="005A058D" w:rsidRDefault="000571E2" w:rsidP="00E31B2B">
      <w:pPr>
        <w:rPr>
          <w:lang w:val="fr-FR"/>
        </w:rPr>
      </w:pPr>
      <w:r w:rsidRPr="005A058D">
        <w:rPr>
          <w:lang w:val="fr-FR"/>
        </w:rPr>
        <w:t>Le Groupe RG-WP a examiné les rapports soumis par les commissions d</w:t>
      </w:r>
      <w:r w:rsidR="00E31B2B">
        <w:rPr>
          <w:lang w:val="fr-FR"/>
        </w:rPr>
        <w:t>'</w:t>
      </w:r>
      <w:r w:rsidRPr="005A058D">
        <w:rPr>
          <w:lang w:val="fr-FR"/>
        </w:rPr>
        <w:t>études directrices et confirmé qu</w:t>
      </w:r>
      <w:r w:rsidR="00E31B2B">
        <w:rPr>
          <w:lang w:val="fr-FR"/>
        </w:rPr>
        <w:t>'</w:t>
      </w:r>
      <w:r w:rsidRPr="005A058D">
        <w:rPr>
          <w:lang w:val="fr-FR"/>
        </w:rPr>
        <w:t>il était utile que ces rapports soient concis.</w:t>
      </w:r>
    </w:p>
    <w:p w14:paraId="74639F84" w14:textId="058D6668" w:rsidR="000571E2" w:rsidRPr="005A058D" w:rsidRDefault="000571E2" w:rsidP="00E31B2B">
      <w:pPr>
        <w:rPr>
          <w:lang w:val="fr-FR"/>
        </w:rPr>
      </w:pPr>
      <w:r w:rsidRPr="005A058D">
        <w:rPr>
          <w:lang w:val="fr-FR"/>
        </w:rPr>
        <w:t>Le GCNT a facilité la coordination entre les commissions d</w:t>
      </w:r>
      <w:r w:rsidR="00E31B2B">
        <w:rPr>
          <w:lang w:val="fr-FR"/>
        </w:rPr>
        <w:t>'</w:t>
      </w:r>
      <w:r w:rsidRPr="005A058D">
        <w:rPr>
          <w:lang w:val="fr-FR"/>
        </w:rPr>
        <w:t>études, notamment:</w:t>
      </w:r>
    </w:p>
    <w:p w14:paraId="2CEB8623" w14:textId="0D245F86" w:rsidR="000571E2" w:rsidRPr="005A058D" w:rsidRDefault="000571E2" w:rsidP="00E31B2B">
      <w:pPr>
        <w:pStyle w:val="enumlev1"/>
        <w:rPr>
          <w:lang w:val="fr-FR"/>
        </w:rPr>
      </w:pPr>
      <w:r w:rsidRPr="005A058D">
        <w:rPr>
          <w:lang w:val="fr-FR"/>
        </w:rPr>
        <w:t>•</w:t>
      </w:r>
      <w:r w:rsidRPr="005A058D">
        <w:rPr>
          <w:lang w:val="fr-FR"/>
        </w:rPr>
        <w:tab/>
        <w:t>entre la CE 12 et la CE 11, en ce qui concerne l</w:t>
      </w:r>
      <w:r w:rsidR="00E31B2B">
        <w:rPr>
          <w:lang w:val="fr-FR"/>
        </w:rPr>
        <w:t>'</w:t>
      </w:r>
      <w:r w:rsidRPr="005A058D">
        <w:rPr>
          <w:lang w:val="fr-FR"/>
        </w:rPr>
        <w:t>état d</w:t>
      </w:r>
      <w:r w:rsidR="00E31B2B">
        <w:rPr>
          <w:lang w:val="fr-FR"/>
        </w:rPr>
        <w:t>'</w:t>
      </w:r>
      <w:r w:rsidRPr="005A058D">
        <w:rPr>
          <w:lang w:val="fr-FR"/>
        </w:rPr>
        <w:t>avancement du projet de Recommandation UIT-T Q.3961;</w:t>
      </w:r>
    </w:p>
    <w:p w14:paraId="6285B7DE" w14:textId="5FAF777E" w:rsidR="000571E2" w:rsidRPr="005A058D" w:rsidRDefault="000571E2" w:rsidP="00E31B2B">
      <w:pPr>
        <w:pStyle w:val="enumlev1"/>
        <w:rPr>
          <w:lang w:val="fr-FR"/>
        </w:rPr>
      </w:pPr>
      <w:r w:rsidRPr="005A058D">
        <w:rPr>
          <w:lang w:val="fr-FR"/>
        </w:rPr>
        <w:t>•</w:t>
      </w:r>
      <w:r w:rsidRPr="005A058D">
        <w:rPr>
          <w:lang w:val="fr-FR"/>
        </w:rPr>
        <w:tab/>
        <w:t>entre la CE 11 et la CE 12, afin qu</w:t>
      </w:r>
      <w:r w:rsidR="00E31B2B">
        <w:rPr>
          <w:lang w:val="fr-FR"/>
        </w:rPr>
        <w:t>'</w:t>
      </w:r>
      <w:r w:rsidRPr="005A058D">
        <w:rPr>
          <w:lang w:val="fr-FR"/>
        </w:rPr>
        <w:t>elles travaillent en coordination et en collaboration sur un nouveau sujet d</w:t>
      </w:r>
      <w:r w:rsidR="00E31B2B">
        <w:rPr>
          <w:lang w:val="fr-FR"/>
        </w:rPr>
        <w:t>'</w:t>
      </w:r>
      <w:r w:rsidRPr="005A058D">
        <w:rPr>
          <w:lang w:val="fr-FR"/>
        </w:rPr>
        <w:t>étude au sein de la CE 11 concernant les incidences de la contrefaçon des dispositifs mobiles sur la qualité de service (TR-CF-QoS);</w:t>
      </w:r>
    </w:p>
    <w:p w14:paraId="3EEBA09B" w14:textId="032948EE" w:rsidR="000571E2" w:rsidRPr="005A058D" w:rsidRDefault="000571E2" w:rsidP="00E31B2B">
      <w:pPr>
        <w:pStyle w:val="enumlev1"/>
        <w:rPr>
          <w:lang w:val="fr-FR"/>
        </w:rPr>
      </w:pPr>
      <w:r w:rsidRPr="005A058D">
        <w:rPr>
          <w:lang w:val="fr-FR"/>
        </w:rPr>
        <w:t>•</w:t>
      </w:r>
      <w:r w:rsidRPr="005A058D">
        <w:rPr>
          <w:lang w:val="fr-FR"/>
        </w:rPr>
        <w:tab/>
        <w:t>entre la CE 3 et la CE 12, afin qu</w:t>
      </w:r>
      <w:r w:rsidR="00E31B2B">
        <w:rPr>
          <w:lang w:val="fr-FR"/>
        </w:rPr>
        <w:t>'</w:t>
      </w:r>
      <w:r w:rsidRPr="005A058D">
        <w:rPr>
          <w:lang w:val="fr-FR"/>
        </w:rPr>
        <w:t>elles se concertent en ce qui concerne les questions économiques et politiques relatives à la qualité de service (QoS) et à la qualité d</w:t>
      </w:r>
      <w:r w:rsidR="00E31B2B">
        <w:rPr>
          <w:lang w:val="fr-FR"/>
        </w:rPr>
        <w:t>'</w:t>
      </w:r>
      <w:r w:rsidRPr="005A058D">
        <w:rPr>
          <w:lang w:val="fr-FR"/>
        </w:rPr>
        <w:t>expérience (QoE);</w:t>
      </w:r>
    </w:p>
    <w:p w14:paraId="707D35CB" w14:textId="55700D64" w:rsidR="000571E2" w:rsidRPr="005A058D" w:rsidRDefault="000571E2" w:rsidP="00E31B2B">
      <w:pPr>
        <w:pStyle w:val="enumlev1"/>
        <w:rPr>
          <w:lang w:val="fr-FR"/>
        </w:rPr>
      </w:pPr>
      <w:r w:rsidRPr="005A058D">
        <w:rPr>
          <w:lang w:val="fr-FR"/>
        </w:rPr>
        <w:t>•</w:t>
      </w:r>
      <w:r w:rsidRPr="005A058D">
        <w:rPr>
          <w:lang w:val="fr-FR"/>
        </w:rPr>
        <w:tab/>
        <w:t xml:space="preserve">en organisant des réunions </w:t>
      </w:r>
      <w:r w:rsidRPr="005A058D">
        <w:rPr>
          <w:color w:val="000000"/>
          <w:lang w:val="fr-FR"/>
        </w:rPr>
        <w:t xml:space="preserve">en parallèle </w:t>
      </w:r>
      <w:r w:rsidRPr="005A058D">
        <w:rPr>
          <w:lang w:val="fr-FR"/>
        </w:rPr>
        <w:t>entre les groupes chargés des Questions 4/17 et 16/13 pour les sujets d</w:t>
      </w:r>
      <w:r w:rsidR="00E31B2B">
        <w:rPr>
          <w:lang w:val="fr-FR"/>
        </w:rPr>
        <w:t>'</w:t>
      </w:r>
      <w:r w:rsidRPr="005A058D">
        <w:rPr>
          <w:lang w:val="fr-FR"/>
        </w:rPr>
        <w:t>étude relatifs aux technologies quantiques.</w:t>
      </w:r>
    </w:p>
    <w:p w14:paraId="0E85A4A2" w14:textId="3105A44F" w:rsidR="000571E2" w:rsidRPr="005A058D" w:rsidRDefault="000571E2" w:rsidP="00E31B2B">
      <w:pPr>
        <w:rPr>
          <w:lang w:val="fr-FR"/>
        </w:rPr>
      </w:pPr>
      <w:r w:rsidRPr="005A058D">
        <w:rPr>
          <w:lang w:val="fr-FR"/>
        </w:rPr>
        <w:t>Le GCNT a également demandé à la CE 11 de s</w:t>
      </w:r>
      <w:r w:rsidR="00E31B2B">
        <w:rPr>
          <w:lang w:val="fr-FR"/>
        </w:rPr>
        <w:t>'</w:t>
      </w:r>
      <w:r w:rsidRPr="005A058D">
        <w:rPr>
          <w:lang w:val="fr-FR"/>
        </w:rPr>
        <w:t>abstenir d</w:t>
      </w:r>
      <w:r w:rsidR="00E31B2B">
        <w:rPr>
          <w:lang w:val="fr-FR"/>
        </w:rPr>
        <w:t>'</w:t>
      </w:r>
      <w:r w:rsidRPr="005A058D">
        <w:rPr>
          <w:lang w:val="fr-FR"/>
        </w:rPr>
        <w:t xml:space="preserve"> élaborer un nouveau sujet d</w:t>
      </w:r>
      <w:r w:rsidR="00E31B2B">
        <w:rPr>
          <w:lang w:val="fr-FR"/>
        </w:rPr>
        <w:t>'</w:t>
      </w:r>
      <w:r w:rsidRPr="005A058D">
        <w:rPr>
          <w:lang w:val="fr-FR"/>
        </w:rPr>
        <w:t>étude sur les incidences de la contrefaçon des dispositifs mobiles sur la qualité de service (TR-CF-QoS) ainsi que sur d</w:t>
      </w:r>
      <w:r w:rsidR="00E31B2B">
        <w:rPr>
          <w:lang w:val="fr-FR"/>
        </w:rPr>
        <w:t>'</w:t>
      </w:r>
      <w:r w:rsidRPr="005A058D">
        <w:rPr>
          <w:lang w:val="fr-FR"/>
        </w:rPr>
        <w:t>autres questions transversales intéressant plusieurs commissions d</w:t>
      </w:r>
      <w:r w:rsidR="00E31B2B">
        <w:rPr>
          <w:lang w:val="fr-FR"/>
        </w:rPr>
        <w:t>'</w:t>
      </w:r>
      <w:r w:rsidRPr="005A058D">
        <w:rPr>
          <w:lang w:val="fr-FR"/>
        </w:rPr>
        <w:t>études.</w:t>
      </w:r>
    </w:p>
    <w:p w14:paraId="3809A64E" w14:textId="77777777" w:rsidR="000571E2" w:rsidRPr="005A058D" w:rsidRDefault="000571E2" w:rsidP="00E31B2B">
      <w:pPr>
        <w:rPr>
          <w:lang w:val="fr-FR"/>
        </w:rPr>
      </w:pPr>
      <w:r w:rsidRPr="005A058D">
        <w:rPr>
          <w:lang w:val="fr-FR"/>
        </w:rPr>
        <w:t>Le GCNT a attribué à la CE 12 les Recommandations UIT-T non utilisées de la série Y.1550.</w:t>
      </w:r>
    </w:p>
    <w:p w14:paraId="653DD4CD" w14:textId="77777777" w:rsidR="000571E2" w:rsidRPr="005A058D" w:rsidRDefault="000571E2" w:rsidP="00E31B2B">
      <w:pPr>
        <w:pStyle w:val="Heading4"/>
        <w:rPr>
          <w:lang w:val="fr-FR"/>
        </w:rPr>
      </w:pPr>
      <w:bookmarkStart w:id="32" w:name="_Toc94876342"/>
      <w:r w:rsidRPr="005A058D">
        <w:rPr>
          <w:lang w:val="fr-FR"/>
        </w:rPr>
        <w:lastRenderedPageBreak/>
        <w:t>3.2.7.2</w:t>
      </w:r>
      <w:r w:rsidRPr="005A058D">
        <w:rPr>
          <w:lang w:val="fr-FR"/>
        </w:rPr>
        <w:tab/>
        <w:t>Élaboration/révision/suppression de Questions</w:t>
      </w:r>
      <w:bookmarkEnd w:id="32"/>
    </w:p>
    <w:p w14:paraId="1019ADD8" w14:textId="00537B6D" w:rsidR="000571E2" w:rsidRPr="005A058D" w:rsidRDefault="000571E2" w:rsidP="00E31B2B">
      <w:pPr>
        <w:rPr>
          <w:lang w:val="fr-FR"/>
        </w:rPr>
      </w:pPr>
      <w:r w:rsidRPr="005A058D">
        <w:rPr>
          <w:lang w:val="fr-FR"/>
        </w:rPr>
        <w:t>Le GCNT a examiné, proposé des modifications en cas de besoin et approuvé des Questions nouvelles ou révisées à chacune de ses réunions. En résumé, pendant l</w:t>
      </w:r>
      <w:r w:rsidR="00E31B2B">
        <w:rPr>
          <w:lang w:val="fr-FR"/>
        </w:rPr>
        <w:t>'</w:t>
      </w:r>
      <w:r w:rsidRPr="005A058D">
        <w:rPr>
          <w:lang w:val="fr-FR"/>
        </w:rPr>
        <w:t xml:space="preserve">actuelle </w:t>
      </w:r>
      <w:r w:rsidR="008154FC">
        <w:rPr>
          <w:lang w:val="fr-FR"/>
        </w:rPr>
        <w:t>période d</w:t>
      </w:r>
      <w:r w:rsidR="00E31B2B">
        <w:rPr>
          <w:lang w:val="fr-FR"/>
        </w:rPr>
        <w:t>'</w:t>
      </w:r>
      <w:r w:rsidR="008154FC">
        <w:rPr>
          <w:lang w:val="fr-FR"/>
        </w:rPr>
        <w:t>études, le </w:t>
      </w:r>
      <w:r w:rsidRPr="005A058D">
        <w:rPr>
          <w:lang w:val="fr-FR"/>
        </w:rPr>
        <w:t>GCNT a approuvé:</w:t>
      </w:r>
    </w:p>
    <w:p w14:paraId="442EE420" w14:textId="77777777" w:rsidR="000571E2" w:rsidRPr="005A058D" w:rsidRDefault="000571E2" w:rsidP="00E31B2B">
      <w:pPr>
        <w:rPr>
          <w:lang w:val="fr-FR"/>
        </w:rPr>
      </w:pPr>
      <w:r w:rsidRPr="005A058D">
        <w:rPr>
          <w:lang w:val="fr-FR"/>
        </w:rPr>
        <w:t>–</w:t>
      </w:r>
      <w:r w:rsidRPr="005A058D">
        <w:rPr>
          <w:lang w:val="fr-FR"/>
        </w:rPr>
        <w:tab/>
        <w:t>la création des nouvelles Questions suivantes:</w:t>
      </w:r>
    </w:p>
    <w:p w14:paraId="55F2835B" w14:textId="77777777" w:rsidR="000571E2" w:rsidRPr="005A058D" w:rsidRDefault="000571E2" w:rsidP="00E31B2B">
      <w:pPr>
        <w:pStyle w:val="enumlev2"/>
        <w:tabs>
          <w:tab w:val="clear" w:pos="1134"/>
          <w:tab w:val="clear" w:pos="1871"/>
        </w:tabs>
        <w:rPr>
          <w:lang w:val="fr-FR"/>
        </w:rPr>
      </w:pPr>
      <w:r w:rsidRPr="005A058D">
        <w:rPr>
          <w:lang w:val="fr-FR"/>
        </w:rPr>
        <w:t>•</w:t>
      </w:r>
      <w:r w:rsidRPr="005A058D">
        <w:rPr>
          <w:lang w:val="fr-FR"/>
        </w:rPr>
        <w:tab/>
        <w:t>Question 12/3 "Questions de tarification et questions économiques et politiques liées aux services financiers sur mobile";</w:t>
      </w:r>
    </w:p>
    <w:p w14:paraId="53A60AD5" w14:textId="77777777" w:rsidR="000571E2" w:rsidRPr="005A058D" w:rsidRDefault="000571E2" w:rsidP="00E31B2B">
      <w:pPr>
        <w:pStyle w:val="enumlev2"/>
        <w:tabs>
          <w:tab w:val="clear" w:pos="1134"/>
          <w:tab w:val="clear" w:pos="1871"/>
        </w:tabs>
        <w:rPr>
          <w:lang w:val="fr-FR"/>
        </w:rPr>
      </w:pPr>
      <w:r w:rsidRPr="005A058D">
        <w:rPr>
          <w:lang w:val="fr-FR"/>
        </w:rPr>
        <w:t>•</w:t>
      </w:r>
      <w:r w:rsidRPr="005A058D">
        <w:rPr>
          <w:lang w:val="fr-FR"/>
        </w:rPr>
        <w:tab/>
        <w:t>Question 13/3 "Étude des questions de tarification et de facturation concernant les accords de règlement pour les câbles de télécommunication terrestres transmultinationaux";</w:t>
      </w:r>
    </w:p>
    <w:p w14:paraId="23FA5FE1" w14:textId="77777777" w:rsidR="000571E2" w:rsidRPr="005A058D" w:rsidRDefault="000571E2" w:rsidP="00E31B2B">
      <w:pPr>
        <w:pStyle w:val="enumlev2"/>
        <w:tabs>
          <w:tab w:val="clear" w:pos="1134"/>
          <w:tab w:val="clear" w:pos="1871"/>
        </w:tabs>
        <w:rPr>
          <w:lang w:val="fr-FR"/>
        </w:rPr>
      </w:pPr>
      <w:r w:rsidRPr="005A058D">
        <w:rPr>
          <w:lang w:val="fr-FR"/>
        </w:rPr>
        <w:t>•</w:t>
      </w:r>
      <w:r w:rsidRPr="005A058D">
        <w:rPr>
          <w:lang w:val="fr-FR"/>
        </w:rPr>
        <w:tab/>
        <w:t>Question A/9 "Accessibilité des systèmes et des services par câble";</w:t>
      </w:r>
    </w:p>
    <w:p w14:paraId="573CEDB0" w14:textId="696F838D" w:rsidR="000571E2" w:rsidRPr="005A058D" w:rsidRDefault="000571E2" w:rsidP="00E31B2B">
      <w:pPr>
        <w:pStyle w:val="enumlev2"/>
        <w:tabs>
          <w:tab w:val="clear" w:pos="1134"/>
          <w:tab w:val="clear" w:pos="1871"/>
        </w:tabs>
        <w:rPr>
          <w:rFonts w:asciiTheme="majorBidi" w:hAnsiTheme="majorBidi" w:cstheme="majorBidi"/>
          <w:lang w:val="fr-FR"/>
        </w:rPr>
      </w:pPr>
      <w:r w:rsidRPr="005A058D">
        <w:rPr>
          <w:lang w:val="fr-FR"/>
        </w:rPr>
        <w:t>•</w:t>
      </w:r>
      <w:r w:rsidRPr="005A058D">
        <w:rPr>
          <w:lang w:val="fr-FR"/>
        </w:rPr>
        <w:tab/>
        <w:t xml:space="preserve">Question </w:t>
      </w:r>
      <w:r w:rsidRPr="005A058D">
        <w:rPr>
          <w:rFonts w:asciiTheme="majorBidi" w:hAnsiTheme="majorBidi" w:cstheme="majorBidi"/>
          <w:lang w:val="fr-FR"/>
        </w:rPr>
        <w:t xml:space="preserve">5/16 </w:t>
      </w:r>
      <w:r w:rsidRPr="005A058D">
        <w:rPr>
          <w:lang w:val="fr-FR"/>
        </w:rPr>
        <w:t>"Applications multimédias reposant sur l</w:t>
      </w:r>
      <w:r w:rsidR="00E31B2B">
        <w:rPr>
          <w:lang w:val="fr-FR"/>
        </w:rPr>
        <w:t>'</w:t>
      </w:r>
      <w:r w:rsidRPr="005A058D">
        <w:rPr>
          <w:lang w:val="fr-FR"/>
        </w:rPr>
        <w:t>intelligence artificielle"</w:t>
      </w:r>
      <w:r w:rsidRPr="005A058D">
        <w:rPr>
          <w:rFonts w:asciiTheme="majorBidi" w:hAnsiTheme="majorBidi" w:cstheme="majorBidi"/>
          <w:lang w:val="fr-FR"/>
        </w:rPr>
        <w:t>, moyennant des modifications;</w:t>
      </w:r>
    </w:p>
    <w:p w14:paraId="5777668E" w14:textId="77777777" w:rsidR="000571E2" w:rsidRPr="005A058D" w:rsidRDefault="000571E2" w:rsidP="00E31B2B">
      <w:pPr>
        <w:pStyle w:val="enumlev2"/>
        <w:tabs>
          <w:tab w:val="clear" w:pos="1134"/>
          <w:tab w:val="clear" w:pos="1871"/>
        </w:tabs>
        <w:rPr>
          <w:rFonts w:asciiTheme="majorBidi" w:hAnsiTheme="majorBidi" w:cstheme="majorBidi"/>
          <w:lang w:val="fr-FR"/>
        </w:rPr>
      </w:pPr>
      <w:r w:rsidRPr="005A058D">
        <w:rPr>
          <w:lang w:val="fr-FR"/>
        </w:rPr>
        <w:t>•</w:t>
      </w:r>
      <w:r w:rsidRPr="005A058D">
        <w:rPr>
          <w:lang w:val="fr-FR"/>
        </w:rPr>
        <w:tab/>
        <w:t xml:space="preserve">Question </w:t>
      </w:r>
      <w:r w:rsidRPr="005A058D">
        <w:rPr>
          <w:rFonts w:asciiTheme="majorBidi" w:hAnsiTheme="majorBidi" w:cstheme="majorBidi"/>
          <w:lang w:val="fr-FR"/>
        </w:rPr>
        <w:t xml:space="preserve">12/16 </w:t>
      </w:r>
      <w:r w:rsidRPr="005A058D">
        <w:rPr>
          <w:lang w:val="fr-FR"/>
        </w:rPr>
        <w:t>"</w:t>
      </w:r>
      <w:r w:rsidRPr="005A058D">
        <w:rPr>
          <w:rFonts w:asciiTheme="majorBidi" w:hAnsiTheme="majorBidi" w:cstheme="majorBidi"/>
          <w:lang w:val="fr-FR"/>
        </w:rPr>
        <w:t>Systèmes et services de surveillance visuelle</w:t>
      </w:r>
      <w:r w:rsidRPr="005A058D">
        <w:rPr>
          <w:lang w:val="fr-FR"/>
        </w:rPr>
        <w:t>"</w:t>
      </w:r>
      <w:r w:rsidRPr="005A058D">
        <w:rPr>
          <w:rFonts w:asciiTheme="majorBidi" w:hAnsiTheme="majorBidi" w:cstheme="majorBidi"/>
          <w:lang w:val="fr-FR"/>
        </w:rPr>
        <w:t>;</w:t>
      </w:r>
    </w:p>
    <w:p w14:paraId="1AA64BD3" w14:textId="77777777" w:rsidR="000571E2" w:rsidRPr="005A058D" w:rsidRDefault="000571E2" w:rsidP="00E31B2B">
      <w:pPr>
        <w:pStyle w:val="enumlev2"/>
        <w:tabs>
          <w:tab w:val="clear" w:pos="1134"/>
          <w:tab w:val="clear" w:pos="1871"/>
        </w:tabs>
        <w:rPr>
          <w:rFonts w:asciiTheme="majorBidi" w:hAnsiTheme="majorBidi" w:cstheme="majorBidi"/>
          <w:lang w:val="fr-FR"/>
        </w:rPr>
      </w:pPr>
      <w:r w:rsidRPr="005A058D">
        <w:rPr>
          <w:lang w:val="fr-FR"/>
        </w:rPr>
        <w:t>•</w:t>
      </w:r>
      <w:r w:rsidRPr="005A058D">
        <w:rPr>
          <w:lang w:val="fr-FR"/>
        </w:rPr>
        <w:tab/>
        <w:t xml:space="preserve">Question </w:t>
      </w:r>
      <w:r w:rsidRPr="005A058D">
        <w:rPr>
          <w:rFonts w:asciiTheme="majorBidi" w:hAnsiTheme="majorBidi" w:cstheme="majorBidi"/>
          <w:lang w:val="fr-FR"/>
        </w:rPr>
        <w:t xml:space="preserve">22/16 </w:t>
      </w:r>
      <w:r w:rsidRPr="005A058D">
        <w:rPr>
          <w:lang w:val="fr-FR"/>
        </w:rPr>
        <w:t>"Technologies des registres distribués et cyberservices"</w:t>
      </w:r>
      <w:r w:rsidRPr="005A058D">
        <w:rPr>
          <w:rFonts w:asciiTheme="majorBidi" w:hAnsiTheme="majorBidi" w:cstheme="majorBidi"/>
          <w:lang w:val="fr-FR"/>
        </w:rPr>
        <w:t>;</w:t>
      </w:r>
    </w:p>
    <w:p w14:paraId="78B7A940" w14:textId="77777777" w:rsidR="000571E2" w:rsidRPr="005A058D" w:rsidRDefault="000571E2" w:rsidP="00E31B2B">
      <w:pPr>
        <w:pStyle w:val="enumlev2"/>
        <w:tabs>
          <w:tab w:val="clear" w:pos="1134"/>
          <w:tab w:val="clear" w:pos="1871"/>
        </w:tabs>
        <w:rPr>
          <w:lang w:val="fr-FR"/>
        </w:rPr>
      </w:pPr>
      <w:r w:rsidRPr="005A058D">
        <w:rPr>
          <w:lang w:val="fr-FR"/>
        </w:rPr>
        <w:t>•</w:t>
      </w:r>
      <w:r w:rsidRPr="005A058D">
        <w:rPr>
          <w:lang w:val="fr-FR"/>
        </w:rPr>
        <w:tab/>
        <w:t>Question 23/16 "Systèmes et services associés à la culture numérique";</w:t>
      </w:r>
    </w:p>
    <w:p w14:paraId="38E50705" w14:textId="77777777" w:rsidR="000571E2" w:rsidRPr="005A058D" w:rsidRDefault="000571E2" w:rsidP="00E31B2B">
      <w:pPr>
        <w:pStyle w:val="enumlev2"/>
        <w:tabs>
          <w:tab w:val="clear" w:pos="1134"/>
          <w:tab w:val="clear" w:pos="1871"/>
        </w:tabs>
        <w:rPr>
          <w:lang w:val="fr-FR"/>
        </w:rPr>
      </w:pPr>
      <w:r w:rsidRPr="005A058D">
        <w:rPr>
          <w:lang w:val="fr-FR"/>
        </w:rPr>
        <w:t>•</w:t>
      </w:r>
      <w:r w:rsidRPr="005A058D">
        <w:rPr>
          <w:lang w:val="fr-FR"/>
        </w:rPr>
        <w:tab/>
        <w:t>Question 13/17 "Aspects de sécurité concernant les systèmes de transport intelligents";</w:t>
      </w:r>
    </w:p>
    <w:p w14:paraId="454B0D94" w14:textId="77777777" w:rsidR="000571E2" w:rsidRPr="005A058D" w:rsidRDefault="000571E2" w:rsidP="00E31B2B">
      <w:pPr>
        <w:pStyle w:val="enumlev2"/>
        <w:tabs>
          <w:tab w:val="clear" w:pos="1134"/>
          <w:tab w:val="clear" w:pos="1871"/>
        </w:tabs>
        <w:rPr>
          <w:lang w:val="fr-FR"/>
        </w:rPr>
      </w:pPr>
      <w:r w:rsidRPr="005A058D">
        <w:rPr>
          <w:lang w:val="fr-FR"/>
        </w:rPr>
        <w:t>•</w:t>
      </w:r>
      <w:r w:rsidRPr="005A058D">
        <w:rPr>
          <w:lang w:val="fr-FR"/>
        </w:rPr>
        <w:tab/>
        <w:t>Question 14/17 "Aspects de sécurité concernant les technologies des registres distribués";</w:t>
      </w:r>
    </w:p>
    <w:p w14:paraId="6B54BA88" w14:textId="77777777" w:rsidR="000571E2" w:rsidRPr="005A058D" w:rsidRDefault="000571E2" w:rsidP="00E31B2B">
      <w:pPr>
        <w:pStyle w:val="enumlev1"/>
        <w:keepNext/>
        <w:keepLines/>
        <w:rPr>
          <w:lang w:val="fr-FR"/>
        </w:rPr>
      </w:pPr>
      <w:r w:rsidRPr="005A058D">
        <w:rPr>
          <w:lang w:val="fr-FR"/>
        </w:rPr>
        <w:t>−</w:t>
      </w:r>
      <w:r w:rsidRPr="005A058D">
        <w:rPr>
          <w:lang w:val="fr-FR"/>
        </w:rPr>
        <w:tab/>
        <w:t>la révision des Questions suivantes:</w:t>
      </w:r>
    </w:p>
    <w:p w14:paraId="2C84F675" w14:textId="104862D1" w:rsidR="000571E2" w:rsidRPr="005A058D" w:rsidRDefault="000571E2" w:rsidP="00E31B2B">
      <w:pPr>
        <w:pStyle w:val="enumlev2"/>
        <w:rPr>
          <w:lang w:val="fr-FR"/>
        </w:rPr>
      </w:pPr>
      <w:r w:rsidRPr="005A058D">
        <w:rPr>
          <w:lang w:val="fr-FR"/>
        </w:rPr>
        <w:t>•</w:t>
      </w:r>
      <w:r w:rsidRPr="005A058D">
        <w:rPr>
          <w:lang w:val="fr-FR"/>
        </w:rPr>
        <w:tab/>
        <w:t>Question 7/3 "</w:t>
      </w:r>
      <w:r w:rsidRPr="005A058D">
        <w:rPr>
          <w:color w:val="000000"/>
          <w:lang w:val="fr-FR"/>
        </w:rPr>
        <w:t xml:space="preserve"> Questions relatives à l</w:t>
      </w:r>
      <w:r w:rsidR="00E31B2B">
        <w:rPr>
          <w:color w:val="000000"/>
          <w:lang w:val="fr-FR"/>
        </w:rPr>
        <w:t>'</w:t>
      </w:r>
      <w:r w:rsidRPr="005A058D">
        <w:rPr>
          <w:color w:val="000000"/>
          <w:lang w:val="fr-FR"/>
        </w:rPr>
        <w:t xml:space="preserve">itinérance </w:t>
      </w:r>
      <w:r w:rsidRPr="005A058D">
        <w:rPr>
          <w:lang w:val="fr-FR"/>
        </w:rPr>
        <w:t xml:space="preserve">mobile internationale (y compris les mécanismes de tarification, de comptabilité et </w:t>
      </w:r>
      <w:r w:rsidRPr="005A058D">
        <w:rPr>
          <w:color w:val="000000"/>
          <w:lang w:val="fr-FR"/>
        </w:rPr>
        <w:t>d</w:t>
      </w:r>
      <w:r w:rsidR="00E31B2B">
        <w:rPr>
          <w:color w:val="000000"/>
          <w:lang w:val="fr-FR"/>
        </w:rPr>
        <w:t>'</w:t>
      </w:r>
      <w:r w:rsidRPr="005A058D">
        <w:rPr>
          <w:color w:val="000000"/>
          <w:lang w:val="fr-FR"/>
        </w:rPr>
        <w:t xml:space="preserve">apurement </w:t>
      </w:r>
      <w:r w:rsidRPr="005A058D">
        <w:rPr>
          <w:lang w:val="fr-FR"/>
        </w:rPr>
        <w:t>des comptes et l</w:t>
      </w:r>
      <w:r w:rsidR="00E31B2B">
        <w:rPr>
          <w:lang w:val="fr-FR"/>
        </w:rPr>
        <w:t>'</w:t>
      </w:r>
      <w:r w:rsidRPr="005A058D">
        <w:rPr>
          <w:lang w:val="fr-FR"/>
        </w:rPr>
        <w:t>itinérance dans les zones frontalières)";</w:t>
      </w:r>
    </w:p>
    <w:p w14:paraId="03EFB482" w14:textId="59F5C4DD" w:rsidR="000571E2" w:rsidRPr="005A058D" w:rsidRDefault="000571E2" w:rsidP="00E31B2B">
      <w:pPr>
        <w:pStyle w:val="enumlev2"/>
        <w:rPr>
          <w:lang w:val="fr-FR"/>
        </w:rPr>
      </w:pPr>
      <w:r w:rsidRPr="005A058D">
        <w:rPr>
          <w:lang w:val="fr-FR"/>
        </w:rPr>
        <w:t>•</w:t>
      </w:r>
      <w:r w:rsidRPr="005A058D">
        <w:rPr>
          <w:lang w:val="fr-FR"/>
        </w:rPr>
        <w:tab/>
        <w:t>Question 6/5 "Efficacité énergétique et gestion intelligente de l</w:t>
      </w:r>
      <w:r w:rsidR="00E31B2B">
        <w:rPr>
          <w:lang w:val="fr-FR"/>
        </w:rPr>
        <w:t>'</w:t>
      </w:r>
      <w:r w:rsidRPr="005A058D">
        <w:rPr>
          <w:lang w:val="fr-FR"/>
        </w:rPr>
        <w:t>énergie";</w:t>
      </w:r>
    </w:p>
    <w:p w14:paraId="1DEC9614" w14:textId="20E2EF66" w:rsidR="000571E2" w:rsidRPr="005A058D" w:rsidRDefault="000571E2" w:rsidP="00E31B2B">
      <w:pPr>
        <w:pStyle w:val="enumlev2"/>
        <w:rPr>
          <w:lang w:val="fr-FR"/>
        </w:rPr>
      </w:pPr>
      <w:r w:rsidRPr="005A058D">
        <w:rPr>
          <w:lang w:val="fr-FR"/>
        </w:rPr>
        <w:t>•</w:t>
      </w:r>
      <w:r w:rsidRPr="005A058D">
        <w:rPr>
          <w:lang w:val="fr-FR"/>
        </w:rPr>
        <w:tab/>
        <w:t>Question 7/5 "Économie circulaire, y compris les déchets d</w:t>
      </w:r>
      <w:r w:rsidR="00E31B2B">
        <w:rPr>
          <w:lang w:val="fr-FR"/>
        </w:rPr>
        <w:t>'</w:t>
      </w:r>
      <w:r w:rsidRPr="005A058D">
        <w:rPr>
          <w:lang w:val="fr-FR"/>
        </w:rPr>
        <w:t>équipements électriques et électroniques";</w:t>
      </w:r>
    </w:p>
    <w:p w14:paraId="18462F3F" w14:textId="4A6299EC" w:rsidR="000571E2" w:rsidRPr="005A058D" w:rsidRDefault="000571E2" w:rsidP="00E31B2B">
      <w:pPr>
        <w:pStyle w:val="enumlev2"/>
        <w:rPr>
          <w:lang w:val="fr-FR"/>
        </w:rPr>
      </w:pPr>
      <w:r w:rsidRPr="005A058D">
        <w:rPr>
          <w:lang w:val="fr-FR"/>
        </w:rPr>
        <w:t>•</w:t>
      </w:r>
      <w:r w:rsidRPr="005A058D">
        <w:rPr>
          <w:lang w:val="fr-FR"/>
        </w:rPr>
        <w:tab/>
        <w:t>Question 9/5 "Changements climatiques et évaluation des technologies de l</w:t>
      </w:r>
      <w:r w:rsidR="00E31B2B">
        <w:rPr>
          <w:lang w:val="fr-FR"/>
        </w:rPr>
        <w:t>'</w:t>
      </w:r>
      <w:r w:rsidRPr="005A058D">
        <w:rPr>
          <w:lang w:val="fr-FR"/>
        </w:rPr>
        <w:t>information et de la communication (TIC) dans le cadre des Objectifs de développement durable (ODD)";</w:t>
      </w:r>
    </w:p>
    <w:p w14:paraId="578F3D48" w14:textId="7C8EFC50" w:rsidR="000571E2" w:rsidRPr="005A058D" w:rsidRDefault="000571E2" w:rsidP="00E31B2B">
      <w:pPr>
        <w:pStyle w:val="enumlev2"/>
        <w:rPr>
          <w:lang w:val="fr-FR"/>
        </w:rPr>
      </w:pPr>
      <w:r w:rsidRPr="005A058D">
        <w:rPr>
          <w:lang w:val="fr-FR"/>
        </w:rPr>
        <w:t>•</w:t>
      </w:r>
      <w:r w:rsidRPr="005A058D">
        <w:rPr>
          <w:lang w:val="fr-FR"/>
        </w:rPr>
        <w:tab/>
        <w:t>Question 1/9 "Transmission et commande d</w:t>
      </w:r>
      <w:r w:rsidR="00E31B2B">
        <w:rPr>
          <w:lang w:val="fr-FR"/>
        </w:rPr>
        <w:t>'</w:t>
      </w:r>
      <w:r w:rsidRPr="005A058D">
        <w:rPr>
          <w:lang w:val="fr-FR"/>
        </w:rPr>
        <w:t>acheminement de signaux de programmes télévisuels et radiophoniques pour les applications de contribution, de distribution primaire et de distribution secondaire";</w:t>
      </w:r>
    </w:p>
    <w:p w14:paraId="2D2ED23E" w14:textId="090E8732" w:rsidR="000571E2" w:rsidRPr="005A058D" w:rsidRDefault="000571E2" w:rsidP="00E31B2B">
      <w:pPr>
        <w:pStyle w:val="enumlev2"/>
        <w:rPr>
          <w:lang w:val="fr-FR"/>
        </w:rPr>
      </w:pPr>
      <w:r w:rsidRPr="005A058D">
        <w:rPr>
          <w:lang w:val="fr-FR"/>
        </w:rPr>
        <w:t>•</w:t>
      </w:r>
      <w:r w:rsidRPr="005A058D">
        <w:rPr>
          <w:lang w:val="fr-FR"/>
        </w:rPr>
        <w:tab/>
        <w:t>Question 4/9 "Lignes directrices relatives aux mises en œuvre et au déploiement de la transmission de signaux de télévision numérique multicanal sur les réseaux d</w:t>
      </w:r>
      <w:r w:rsidR="00E31B2B">
        <w:rPr>
          <w:lang w:val="fr-FR"/>
        </w:rPr>
        <w:t>'</w:t>
      </w:r>
      <w:r w:rsidRPr="005A058D">
        <w:rPr>
          <w:lang w:val="fr-FR"/>
        </w:rPr>
        <w:t>accès optiques et</w:t>
      </w:r>
      <w:r w:rsidRPr="005A058D">
        <w:rPr>
          <w:bCs/>
          <w:lang w:val="fr-FR"/>
        </w:rPr>
        <w:t xml:space="preserve"> </w:t>
      </w:r>
      <w:r w:rsidRPr="005A058D">
        <w:rPr>
          <w:lang w:val="fr-FR"/>
        </w:rPr>
        <w:t>les réseaux hybrides fibre</w:t>
      </w:r>
      <w:r w:rsidRPr="005A058D">
        <w:rPr>
          <w:lang w:val="fr-FR"/>
        </w:rPr>
        <w:noBreakHyphen/>
        <w:t>câble coaxial</w:t>
      </w:r>
      <w:r w:rsidRPr="005A058D">
        <w:rPr>
          <w:bCs/>
          <w:lang w:val="fr-FR"/>
        </w:rPr>
        <w:t xml:space="preserve"> (HFC)</w:t>
      </w:r>
      <w:r w:rsidRPr="005A058D">
        <w:rPr>
          <w:lang w:val="fr-FR"/>
        </w:rPr>
        <w:t>";</w:t>
      </w:r>
    </w:p>
    <w:p w14:paraId="78445B41" w14:textId="77777777" w:rsidR="000571E2" w:rsidRPr="005A058D" w:rsidRDefault="000571E2" w:rsidP="00E31B2B">
      <w:pPr>
        <w:pStyle w:val="enumlev2"/>
        <w:rPr>
          <w:lang w:val="fr-FR"/>
        </w:rPr>
      </w:pPr>
      <w:r w:rsidRPr="005A058D">
        <w:rPr>
          <w:lang w:val="fr-FR"/>
        </w:rPr>
        <w:t>•</w:t>
      </w:r>
      <w:r w:rsidRPr="005A058D">
        <w:rPr>
          <w:lang w:val="fr-FR"/>
        </w:rPr>
        <w:tab/>
        <w:t>Question 6/9 "Exigences fonctionnelles pour une passerelle résidentielle et un boîtier-décodeur permettant la réception de services de distribution de contenu évolués";</w:t>
      </w:r>
    </w:p>
    <w:p w14:paraId="716DB86F" w14:textId="0FD8564B" w:rsidR="000571E2" w:rsidRPr="005A058D" w:rsidRDefault="000571E2" w:rsidP="00E31B2B">
      <w:pPr>
        <w:pStyle w:val="enumlev2"/>
        <w:rPr>
          <w:lang w:val="fr-FR"/>
        </w:rPr>
      </w:pPr>
      <w:r w:rsidRPr="005A058D">
        <w:rPr>
          <w:lang w:val="fr-FR"/>
        </w:rPr>
        <w:t>•</w:t>
      </w:r>
      <w:r w:rsidRPr="005A058D">
        <w:rPr>
          <w:lang w:val="fr-FR"/>
        </w:rPr>
        <w:tab/>
        <w:t>Question 9/9 "Exigences, méthodes et interfaces applicables aux plates-formes de services évoluées pour améliorer l</w:t>
      </w:r>
      <w:r w:rsidR="00E31B2B">
        <w:rPr>
          <w:lang w:val="fr-FR"/>
        </w:rPr>
        <w:t>'</w:t>
      </w:r>
      <w:r w:rsidRPr="005A058D">
        <w:rPr>
          <w:lang w:val="fr-FR"/>
        </w:rPr>
        <w:t>acheminement de programmes radiophoniques et télévisuels et d</w:t>
      </w:r>
      <w:r w:rsidR="00E31B2B">
        <w:rPr>
          <w:lang w:val="fr-FR"/>
        </w:rPr>
        <w:t>'</w:t>
      </w:r>
      <w:r w:rsidRPr="005A058D">
        <w:rPr>
          <w:lang w:val="fr-FR"/>
        </w:rPr>
        <w:t>autres services multimédias interactifs sur les réseaux câblés intégrés large bande";</w:t>
      </w:r>
    </w:p>
    <w:p w14:paraId="194962DA" w14:textId="537259C4" w:rsidR="000571E2" w:rsidRPr="005A058D" w:rsidRDefault="000571E2" w:rsidP="00E31B2B">
      <w:pPr>
        <w:pStyle w:val="enumlev2"/>
        <w:rPr>
          <w:lang w:val="fr-FR"/>
        </w:rPr>
      </w:pPr>
      <w:r w:rsidRPr="005A058D">
        <w:rPr>
          <w:lang w:val="fr-FR"/>
        </w:rPr>
        <w:t>•</w:t>
      </w:r>
      <w:r w:rsidRPr="005A058D">
        <w:rPr>
          <w:lang w:val="fr-FR"/>
        </w:rPr>
        <w:tab/>
        <w:t>Question 19/13 "Gestion de l</w:t>
      </w:r>
      <w:r w:rsidR="00E31B2B">
        <w:rPr>
          <w:lang w:val="fr-FR"/>
        </w:rPr>
        <w:t>'</w:t>
      </w:r>
      <w:r w:rsidRPr="005A058D">
        <w:rPr>
          <w:lang w:val="fr-FR"/>
        </w:rPr>
        <w:t>informatique en nuage de bout en bout, sécurité dans le nuage et gouvernance des mégadonnées";</w:t>
      </w:r>
    </w:p>
    <w:p w14:paraId="2F6207A8" w14:textId="77777777" w:rsidR="000571E2" w:rsidRPr="005A058D" w:rsidRDefault="000571E2" w:rsidP="00E31B2B">
      <w:pPr>
        <w:pStyle w:val="enumlev2"/>
        <w:rPr>
          <w:lang w:val="fr-FR"/>
        </w:rPr>
      </w:pPr>
      <w:r w:rsidRPr="005A058D">
        <w:rPr>
          <w:lang w:val="fr-FR"/>
        </w:rPr>
        <w:lastRenderedPageBreak/>
        <w:t>•</w:t>
      </w:r>
      <w:r w:rsidRPr="005A058D">
        <w:rPr>
          <w:lang w:val="fr-FR"/>
        </w:rPr>
        <w:tab/>
        <w:t>Question 20/13 "IMT-2020: Exigences concernant le réseau et architecture fonctionnelle";</w:t>
      </w:r>
    </w:p>
    <w:p w14:paraId="5ECC964A" w14:textId="15D0C83D" w:rsidR="000571E2" w:rsidRPr="005A058D" w:rsidRDefault="000571E2" w:rsidP="00E31B2B">
      <w:pPr>
        <w:pStyle w:val="enumlev2"/>
        <w:rPr>
          <w:lang w:val="fr-FR"/>
        </w:rPr>
      </w:pPr>
      <w:r w:rsidRPr="005A058D">
        <w:rPr>
          <w:lang w:val="fr-FR"/>
        </w:rPr>
        <w:t>•</w:t>
      </w:r>
      <w:r w:rsidRPr="005A058D">
        <w:rPr>
          <w:lang w:val="fr-FR"/>
        </w:rPr>
        <w:tab/>
        <w:t>Question 21/13 "Logiciellisation de réseau, y compris les réseaux pilotés par logiciel, le découpage de réseau et l</w:t>
      </w:r>
      <w:r w:rsidR="00E31B2B">
        <w:rPr>
          <w:lang w:val="fr-FR"/>
        </w:rPr>
        <w:t>'</w:t>
      </w:r>
      <w:r w:rsidRPr="005A058D">
        <w:rPr>
          <w:lang w:val="fr-FR"/>
        </w:rPr>
        <w:t>orchestration";</w:t>
      </w:r>
    </w:p>
    <w:p w14:paraId="69AE820D" w14:textId="77777777" w:rsidR="000571E2" w:rsidRPr="005A058D" w:rsidRDefault="000571E2" w:rsidP="00E31B2B">
      <w:pPr>
        <w:pStyle w:val="enumlev2"/>
        <w:rPr>
          <w:lang w:val="fr-FR"/>
        </w:rPr>
      </w:pPr>
      <w:r w:rsidRPr="005A058D">
        <w:rPr>
          <w:lang w:val="fr-FR"/>
        </w:rPr>
        <w:t>•</w:t>
      </w:r>
      <w:r w:rsidRPr="005A058D">
        <w:rPr>
          <w:lang w:val="fr-FR"/>
        </w:rPr>
        <w:tab/>
        <w:t>Question 12/15 "Architectures des réseaux de transport";</w:t>
      </w:r>
    </w:p>
    <w:p w14:paraId="66C01F83" w14:textId="2F50C255" w:rsidR="000571E2" w:rsidRPr="005A058D" w:rsidRDefault="000571E2" w:rsidP="00E31B2B">
      <w:pPr>
        <w:pStyle w:val="enumlev2"/>
        <w:rPr>
          <w:lang w:val="fr-FR"/>
        </w:rPr>
      </w:pPr>
      <w:r w:rsidRPr="005A058D">
        <w:rPr>
          <w:lang w:val="fr-FR"/>
        </w:rPr>
        <w:t>•</w:t>
      </w:r>
      <w:r w:rsidRPr="005A058D">
        <w:rPr>
          <w:lang w:val="fr-FR"/>
        </w:rPr>
        <w:tab/>
        <w:t>Question 18/15 "Réseaux large bande dans les locaux de l</w:t>
      </w:r>
      <w:r w:rsidR="00E31B2B">
        <w:rPr>
          <w:lang w:val="fr-FR"/>
        </w:rPr>
        <w:t>'</w:t>
      </w:r>
      <w:r w:rsidRPr="005A058D">
        <w:rPr>
          <w:lang w:val="fr-FR"/>
        </w:rPr>
        <w:t>abonné";</w:t>
      </w:r>
    </w:p>
    <w:p w14:paraId="7385C8EA" w14:textId="77777777" w:rsidR="000571E2" w:rsidRPr="005A058D" w:rsidRDefault="000571E2" w:rsidP="00E31B2B">
      <w:pPr>
        <w:pStyle w:val="enumlev2"/>
        <w:rPr>
          <w:lang w:val="fr-FR"/>
        </w:rPr>
      </w:pPr>
      <w:r w:rsidRPr="005A058D">
        <w:rPr>
          <w:lang w:val="fr-FR"/>
        </w:rPr>
        <w:t>•</w:t>
      </w:r>
      <w:r w:rsidRPr="005A058D">
        <w:rPr>
          <w:lang w:val="fr-FR"/>
        </w:rPr>
        <w:tab/>
        <w:t>Question 2/17 "Sécurité: architecture et cadre";</w:t>
      </w:r>
    </w:p>
    <w:p w14:paraId="6E79C186" w14:textId="77777777" w:rsidR="000571E2" w:rsidRPr="005A058D" w:rsidRDefault="000571E2" w:rsidP="00E31B2B">
      <w:pPr>
        <w:pStyle w:val="enumlev2"/>
        <w:rPr>
          <w:lang w:val="fr-FR"/>
        </w:rPr>
      </w:pPr>
      <w:r w:rsidRPr="005A058D">
        <w:rPr>
          <w:lang w:val="fr-FR"/>
        </w:rPr>
        <w:t>•</w:t>
      </w:r>
      <w:r w:rsidRPr="005A058D">
        <w:rPr>
          <w:lang w:val="fr-FR"/>
        </w:rPr>
        <w:tab/>
        <w:t>Question 4/17 "Cybersécurité";</w:t>
      </w:r>
    </w:p>
    <w:p w14:paraId="50023015" w14:textId="77777777" w:rsidR="000571E2" w:rsidRPr="005A058D" w:rsidRDefault="000571E2" w:rsidP="00E31B2B">
      <w:pPr>
        <w:pStyle w:val="enumlev2"/>
        <w:rPr>
          <w:lang w:val="fr-FR"/>
        </w:rPr>
      </w:pPr>
      <w:r w:rsidRPr="005A058D">
        <w:rPr>
          <w:lang w:val="fr-FR"/>
        </w:rPr>
        <w:t>•</w:t>
      </w:r>
      <w:r w:rsidRPr="005A058D">
        <w:rPr>
          <w:lang w:val="fr-FR"/>
        </w:rPr>
        <w:tab/>
        <w:t>Question 5/17 "Lutte contre le spam par des moyens techniques";</w:t>
      </w:r>
    </w:p>
    <w:p w14:paraId="7EFB7FF3" w14:textId="42128342" w:rsidR="000571E2" w:rsidRPr="005A058D" w:rsidRDefault="000571E2" w:rsidP="00E31B2B">
      <w:pPr>
        <w:pStyle w:val="enumlev2"/>
        <w:rPr>
          <w:lang w:val="fr-FR"/>
        </w:rPr>
      </w:pPr>
      <w:r w:rsidRPr="005A058D">
        <w:rPr>
          <w:lang w:val="fr-FR"/>
        </w:rPr>
        <w:t>•</w:t>
      </w:r>
      <w:r w:rsidRPr="005A058D">
        <w:rPr>
          <w:lang w:val="fr-FR"/>
        </w:rPr>
        <w:tab/>
        <w:t>Question 6/17 "Aspects relatifs à la sécurité des services et des réseaux de télécommunication et de l</w:t>
      </w:r>
      <w:r w:rsidR="00E31B2B">
        <w:rPr>
          <w:lang w:val="fr-FR"/>
        </w:rPr>
        <w:t>'</w:t>
      </w:r>
      <w:r w:rsidRPr="005A058D">
        <w:rPr>
          <w:lang w:val="fr-FR"/>
        </w:rPr>
        <w:t>Internet des objets";</w:t>
      </w:r>
    </w:p>
    <w:p w14:paraId="116883D1" w14:textId="30C4C404" w:rsidR="000571E2" w:rsidRPr="005A058D" w:rsidRDefault="0026213A" w:rsidP="00E31B2B">
      <w:pPr>
        <w:pStyle w:val="enumlev2"/>
        <w:rPr>
          <w:lang w:val="fr-FR"/>
        </w:rPr>
      </w:pPr>
      <w:r>
        <w:rPr>
          <w:lang w:val="fr-FR"/>
        </w:rPr>
        <w:t>•</w:t>
      </w:r>
      <w:r>
        <w:rPr>
          <w:lang w:val="fr-FR"/>
        </w:rPr>
        <w:tab/>
      </w:r>
      <w:r w:rsidR="000571E2" w:rsidRPr="005A058D">
        <w:rPr>
          <w:lang w:val="fr-FR"/>
        </w:rPr>
        <w:t>Question8/17 "Sécurité de l</w:t>
      </w:r>
      <w:r w:rsidR="00E31B2B">
        <w:rPr>
          <w:lang w:val="fr-FR"/>
        </w:rPr>
        <w:t>'</w:t>
      </w:r>
      <w:r w:rsidR="000571E2" w:rsidRPr="005A058D">
        <w:rPr>
          <w:lang w:val="fr-FR"/>
        </w:rPr>
        <w:t>informatique en nuage et de l</w:t>
      </w:r>
      <w:r w:rsidR="00E31B2B">
        <w:rPr>
          <w:lang w:val="fr-FR"/>
        </w:rPr>
        <w:t>'</w:t>
      </w:r>
      <w:r w:rsidR="000571E2" w:rsidRPr="005A058D">
        <w:rPr>
          <w:lang w:val="fr-FR"/>
        </w:rPr>
        <w:t>infrastructure des mégadonnées";</w:t>
      </w:r>
    </w:p>
    <w:p w14:paraId="7195AA30" w14:textId="370B5344" w:rsidR="000571E2" w:rsidRPr="005A058D" w:rsidRDefault="000571E2" w:rsidP="00E31B2B">
      <w:pPr>
        <w:pStyle w:val="enumlev2"/>
        <w:rPr>
          <w:lang w:val="fr-FR"/>
        </w:rPr>
      </w:pPr>
      <w:r w:rsidRPr="005A058D">
        <w:rPr>
          <w:lang w:val="fr-FR"/>
        </w:rPr>
        <w:t>•</w:t>
      </w:r>
      <w:r w:rsidRPr="005A058D">
        <w:rPr>
          <w:lang w:val="fr-FR"/>
        </w:rPr>
        <w:tab/>
        <w:t>Question 1/20 "Connectivité de bout en bout, réseaux, infrastructures, interopérabilité et aspects relatifs aux mégadonnées de l</w:t>
      </w:r>
      <w:r w:rsidR="00E31B2B">
        <w:rPr>
          <w:lang w:val="fr-FR"/>
        </w:rPr>
        <w:t>'</w:t>
      </w:r>
      <w:r w:rsidRPr="005A058D">
        <w:rPr>
          <w:lang w:val="fr-FR"/>
        </w:rPr>
        <w:t>IoT et des villes et des communautés intelligentes";</w:t>
      </w:r>
    </w:p>
    <w:p w14:paraId="15AED54C" w14:textId="5F66B052" w:rsidR="000571E2" w:rsidRPr="005A058D" w:rsidRDefault="000571E2" w:rsidP="00E31B2B">
      <w:pPr>
        <w:pStyle w:val="enumlev2"/>
        <w:rPr>
          <w:lang w:val="fr-FR"/>
        </w:rPr>
      </w:pPr>
      <w:r w:rsidRPr="005A058D">
        <w:rPr>
          <w:lang w:val="fr-FR"/>
        </w:rPr>
        <w:t>•</w:t>
      </w:r>
      <w:r w:rsidRPr="005A058D">
        <w:rPr>
          <w:lang w:val="fr-FR"/>
        </w:rPr>
        <w:tab/>
        <w:t>Question 2/20 "Exigences, capacités et cas d</w:t>
      </w:r>
      <w:r w:rsidR="00E31B2B">
        <w:rPr>
          <w:lang w:val="fr-FR"/>
        </w:rPr>
        <w:t>'</w:t>
      </w:r>
      <w:r w:rsidRPr="005A058D">
        <w:rPr>
          <w:lang w:val="fr-FR"/>
        </w:rPr>
        <w:t>utilisation dans les secteurs verticaux ";</w:t>
      </w:r>
    </w:p>
    <w:p w14:paraId="6F3980C6" w14:textId="77777777" w:rsidR="000571E2" w:rsidRPr="005A058D" w:rsidRDefault="000571E2" w:rsidP="00E31B2B">
      <w:pPr>
        <w:pStyle w:val="enumlev2"/>
        <w:rPr>
          <w:lang w:val="fr-FR"/>
        </w:rPr>
      </w:pPr>
      <w:r w:rsidRPr="005A058D">
        <w:rPr>
          <w:lang w:val="fr-FR"/>
        </w:rPr>
        <w:t>•</w:t>
      </w:r>
      <w:r w:rsidRPr="005A058D">
        <w:rPr>
          <w:lang w:val="fr-FR"/>
        </w:rPr>
        <w:tab/>
        <w:t>Question 3/20 "Architectures, gestion, protocoles et qualité de service";</w:t>
      </w:r>
    </w:p>
    <w:p w14:paraId="0C0E26AA" w14:textId="77777777" w:rsidR="000571E2" w:rsidRPr="005A058D" w:rsidRDefault="000571E2" w:rsidP="00E31B2B">
      <w:pPr>
        <w:pStyle w:val="enumlev2"/>
        <w:rPr>
          <w:lang w:val="fr-FR"/>
        </w:rPr>
      </w:pPr>
      <w:r w:rsidRPr="005A058D">
        <w:rPr>
          <w:lang w:val="fr-FR"/>
        </w:rPr>
        <w:t>•</w:t>
      </w:r>
      <w:r w:rsidRPr="005A058D">
        <w:rPr>
          <w:lang w:val="fr-FR"/>
        </w:rPr>
        <w:tab/>
        <w:t xml:space="preserve">Question </w:t>
      </w:r>
      <w:r w:rsidR="0026213A">
        <w:rPr>
          <w:lang w:val="fr-FR"/>
        </w:rPr>
        <w:t>4</w:t>
      </w:r>
      <w:r w:rsidRPr="005A058D">
        <w:rPr>
          <w:lang w:val="fr-FR"/>
        </w:rPr>
        <w:t>/20 "Cyberservices intelligents, applications et plates-formes support";</w:t>
      </w:r>
    </w:p>
    <w:p w14:paraId="15EE0F9E" w14:textId="77777777" w:rsidR="000571E2" w:rsidRPr="005A058D" w:rsidRDefault="000571E2" w:rsidP="00E31B2B">
      <w:pPr>
        <w:pStyle w:val="enumlev2"/>
        <w:rPr>
          <w:lang w:val="fr-FR"/>
        </w:rPr>
      </w:pPr>
      <w:r w:rsidRPr="005A058D">
        <w:rPr>
          <w:lang w:val="fr-FR"/>
        </w:rPr>
        <w:t>•</w:t>
      </w:r>
      <w:r w:rsidRPr="005A058D">
        <w:rPr>
          <w:lang w:val="fr-FR"/>
        </w:rPr>
        <w:tab/>
        <w:t>Question 5/20 "Travaux de recherche et technologies émergentes, y compris la terminologie et les définitions";</w:t>
      </w:r>
    </w:p>
    <w:p w14:paraId="68D9DB4A" w14:textId="39A0AFC7" w:rsidR="000571E2" w:rsidRPr="005A058D" w:rsidRDefault="000571E2" w:rsidP="00E31B2B">
      <w:pPr>
        <w:pStyle w:val="enumlev2"/>
        <w:rPr>
          <w:lang w:val="fr-FR"/>
        </w:rPr>
      </w:pPr>
      <w:r w:rsidRPr="005A058D">
        <w:rPr>
          <w:lang w:val="fr-FR"/>
        </w:rPr>
        <w:t>•</w:t>
      </w:r>
      <w:r w:rsidRPr="005A058D">
        <w:rPr>
          <w:lang w:val="fr-FR"/>
        </w:rPr>
        <w:tab/>
        <w:t>Question 6/20 "Sécurité, confidentialité, confiance et identification pour l</w:t>
      </w:r>
      <w:r w:rsidR="00E31B2B">
        <w:rPr>
          <w:lang w:val="fr-FR"/>
        </w:rPr>
        <w:t>'</w:t>
      </w:r>
      <w:r w:rsidRPr="005A058D">
        <w:rPr>
          <w:lang w:val="fr-FR"/>
        </w:rPr>
        <w:t>Internet des objets et les villes et les communautés intelligentes";</w:t>
      </w:r>
    </w:p>
    <w:p w14:paraId="08BE9D3F" w14:textId="77777777" w:rsidR="000571E2" w:rsidRPr="005A058D" w:rsidRDefault="000571E2" w:rsidP="00E31B2B">
      <w:pPr>
        <w:pStyle w:val="enumlev2"/>
        <w:rPr>
          <w:lang w:val="fr-FR"/>
        </w:rPr>
      </w:pPr>
      <w:r w:rsidRPr="005A058D">
        <w:rPr>
          <w:lang w:val="fr-FR"/>
        </w:rPr>
        <w:t>•</w:t>
      </w:r>
      <w:r w:rsidRPr="005A058D">
        <w:rPr>
          <w:lang w:val="fr-FR"/>
        </w:rPr>
        <w:tab/>
        <w:t>Question 7/20 "Évaluation des villes et des communautés intelligentes et durables";</w:t>
      </w:r>
    </w:p>
    <w:p w14:paraId="13A33AED" w14:textId="77777777" w:rsidR="000571E2" w:rsidRPr="005A058D" w:rsidRDefault="000571E2" w:rsidP="00E31B2B">
      <w:pPr>
        <w:pStyle w:val="enumlev1"/>
        <w:keepNext/>
        <w:keepLines/>
        <w:rPr>
          <w:bCs/>
          <w:lang w:val="fr-FR"/>
        </w:rPr>
      </w:pPr>
      <w:r w:rsidRPr="005A058D">
        <w:rPr>
          <w:lang w:val="fr-FR"/>
        </w:rPr>
        <w:t>−</w:t>
      </w:r>
      <w:r w:rsidRPr="005A058D">
        <w:rPr>
          <w:lang w:val="fr-FR"/>
        </w:rPr>
        <w:tab/>
      </w:r>
      <w:r w:rsidRPr="005A058D">
        <w:rPr>
          <w:bCs/>
          <w:lang w:val="fr-FR"/>
        </w:rPr>
        <w:t>la fusion</w:t>
      </w:r>
      <w:r w:rsidRPr="005A058D">
        <w:rPr>
          <w:lang w:val="fr-FR"/>
        </w:rPr>
        <w:t xml:space="preserve"> des Questions suivantes:</w:t>
      </w:r>
    </w:p>
    <w:p w14:paraId="7818630C" w14:textId="1A2A4864" w:rsidR="000571E2" w:rsidRPr="005A058D" w:rsidRDefault="000571E2" w:rsidP="00E31B2B">
      <w:pPr>
        <w:pStyle w:val="enumlev2"/>
        <w:rPr>
          <w:lang w:val="fr-FR"/>
        </w:rPr>
      </w:pPr>
      <w:r w:rsidRPr="005A058D">
        <w:rPr>
          <w:lang w:val="fr-FR"/>
        </w:rPr>
        <w:t>•</w:t>
      </w:r>
      <w:r w:rsidRPr="005A058D">
        <w:rPr>
          <w:lang w:val="fr-FR"/>
        </w:rPr>
        <w:tab/>
        <w:t>Question 1/9 "Transmission de signaux de programmes télévisuels et radiophoniques pour les applications de contribution, de distribution primaire et de distribution secondaire" et Question 3/9 "Commandes de multiplexage, de commutation et d</w:t>
      </w:r>
      <w:r w:rsidR="00E31B2B">
        <w:rPr>
          <w:lang w:val="fr-FR"/>
        </w:rPr>
        <w:t>'</w:t>
      </w:r>
      <w:r w:rsidRPr="005A058D">
        <w:rPr>
          <w:lang w:val="fr-FR"/>
        </w:rPr>
        <w:t>insertion dans des flux binaires comprimés et/ou des flux de paquets pour l</w:t>
      </w:r>
      <w:r w:rsidR="00E31B2B">
        <w:rPr>
          <w:lang w:val="fr-FR"/>
        </w:rPr>
        <w:t>'</w:t>
      </w:r>
      <w:r w:rsidRPr="005A058D">
        <w:rPr>
          <w:lang w:val="fr-FR"/>
        </w:rPr>
        <w:t>acheminement de programmes numériques";</w:t>
      </w:r>
    </w:p>
    <w:p w14:paraId="5A9CB21A" w14:textId="3DA8895D" w:rsidR="000571E2" w:rsidRPr="005A058D" w:rsidRDefault="000571E2" w:rsidP="00E31B2B">
      <w:pPr>
        <w:pStyle w:val="enumlev2"/>
        <w:rPr>
          <w:lang w:val="fr-FR"/>
        </w:rPr>
      </w:pPr>
      <w:r w:rsidRPr="005A058D">
        <w:rPr>
          <w:lang w:val="fr-FR"/>
        </w:rPr>
        <w:t>•</w:t>
      </w:r>
      <w:r w:rsidRPr="005A058D">
        <w:rPr>
          <w:lang w:val="fr-FR"/>
        </w:rPr>
        <w:tab/>
        <w:t>Question 18/12 "Mesure et contrôle de la qualité de service (QoS) de bout en bout pour les techniques télévisuelles évoluées, de l</w:t>
      </w:r>
      <w:r w:rsidR="00E31B2B">
        <w:rPr>
          <w:lang w:val="fr-FR"/>
        </w:rPr>
        <w:t>'</w:t>
      </w:r>
      <w:r w:rsidRPr="005A058D">
        <w:rPr>
          <w:lang w:val="fr-FR"/>
        </w:rPr>
        <w:t>acquisition à la restitution d</w:t>
      </w:r>
      <w:r w:rsidR="00E31B2B">
        <w:rPr>
          <w:lang w:val="fr-FR"/>
        </w:rPr>
        <w:t>'</w:t>
      </w:r>
      <w:r w:rsidRPr="005A058D">
        <w:rPr>
          <w:lang w:val="fr-FR"/>
        </w:rPr>
        <w:t>images, sur des réseaux de contribution, de distribution primaire et de distribution secondaire" et Question 19/12 "Méthodes objectives et subjectives d</w:t>
      </w:r>
      <w:r w:rsidR="00E31B2B">
        <w:rPr>
          <w:lang w:val="fr-FR"/>
        </w:rPr>
        <w:t>'</w:t>
      </w:r>
      <w:r w:rsidRPr="005A058D">
        <w:rPr>
          <w:lang w:val="fr-FR"/>
        </w:rPr>
        <w:t>évaluation de la qualité audiovisuelle perçue des services multimédias et télévisuels", et suppression de la Question 18/12;</w:t>
      </w:r>
    </w:p>
    <w:p w14:paraId="48697B44" w14:textId="77777777" w:rsidR="000571E2" w:rsidRPr="005A058D" w:rsidRDefault="000571E2" w:rsidP="00E31B2B">
      <w:pPr>
        <w:pStyle w:val="enumlev2"/>
        <w:rPr>
          <w:lang w:val="fr-FR"/>
        </w:rPr>
      </w:pPr>
      <w:r w:rsidRPr="005A058D">
        <w:rPr>
          <w:lang w:val="fr-FR"/>
        </w:rPr>
        <w:t>•</w:t>
      </w:r>
      <w:r w:rsidRPr="005A058D">
        <w:rPr>
          <w:lang w:val="fr-FR"/>
        </w:rPr>
        <w:tab/>
      </w:r>
      <w:r w:rsidRPr="005A058D">
        <w:rPr>
          <w:rFonts w:asciiTheme="majorBidi" w:hAnsiTheme="majorBidi" w:cstheme="majorBidi"/>
          <w:lang w:val="fr-FR"/>
        </w:rPr>
        <w:t xml:space="preserve">Question 7/15 </w:t>
      </w:r>
      <w:r w:rsidRPr="005A058D">
        <w:rPr>
          <w:lang w:val="fr-FR"/>
        </w:rPr>
        <w:t>"</w:t>
      </w:r>
      <w:r w:rsidRPr="005A058D">
        <w:rPr>
          <w:rFonts w:asciiTheme="majorBidi" w:hAnsiTheme="majorBidi" w:cstheme="majorBidi"/>
          <w:lang w:val="fr-FR"/>
        </w:rPr>
        <w:t xml:space="preserve">Caractéristiques des composants et sous-systèmes optiques" et Question 6/15 "Caractéristiques des systèmes optiques dans les réseaux de transport de Terre ", qui deviennent la Question 6/15, </w:t>
      </w:r>
      <w:r w:rsidRPr="005A058D">
        <w:rPr>
          <w:color w:val="000000"/>
          <w:lang w:val="fr-FR"/>
        </w:rPr>
        <w:t xml:space="preserve">rebaptisée </w:t>
      </w:r>
      <w:r w:rsidRPr="005A058D">
        <w:rPr>
          <w:rFonts w:asciiTheme="majorBidi" w:hAnsiTheme="majorBidi" w:cstheme="majorBidi"/>
          <w:lang w:val="fr-FR"/>
        </w:rPr>
        <w:t>"Caractéristiques des composants, sous</w:t>
      </w:r>
      <w:r w:rsidRPr="005A058D">
        <w:rPr>
          <w:rFonts w:asciiTheme="majorBidi" w:hAnsiTheme="majorBidi" w:cstheme="majorBidi"/>
          <w:lang w:val="fr-FR"/>
        </w:rPr>
        <w:noBreakHyphen/>
        <w:t>systèmes et systèmes optiques pour les réseaux de transport optique</w:t>
      </w:r>
      <w:r w:rsidRPr="005A058D">
        <w:rPr>
          <w:lang w:val="fr-FR"/>
        </w:rPr>
        <w:t>"</w:t>
      </w:r>
      <w:r w:rsidRPr="005A058D">
        <w:rPr>
          <w:rFonts w:asciiTheme="majorBidi" w:hAnsiTheme="majorBidi" w:cstheme="majorBidi"/>
          <w:lang w:val="fr-FR"/>
        </w:rPr>
        <w:t>;</w:t>
      </w:r>
    </w:p>
    <w:p w14:paraId="11AAC828" w14:textId="7BD7FA2A" w:rsidR="000571E2" w:rsidRPr="005A058D" w:rsidRDefault="000571E2" w:rsidP="00E31B2B">
      <w:pPr>
        <w:pStyle w:val="enumlev2"/>
        <w:rPr>
          <w:lang w:val="fr-FR"/>
        </w:rPr>
      </w:pPr>
      <w:r w:rsidRPr="005A058D">
        <w:rPr>
          <w:lang w:val="fr-FR"/>
        </w:rPr>
        <w:t>•</w:t>
      </w:r>
      <w:r w:rsidRPr="005A058D">
        <w:rPr>
          <w:lang w:val="fr-FR"/>
        </w:rPr>
        <w:tab/>
        <w:t>Question 18/15 "Réseaux large bande dans les locaux de l</w:t>
      </w:r>
      <w:r w:rsidR="00E31B2B">
        <w:rPr>
          <w:lang w:val="fr-FR"/>
        </w:rPr>
        <w:t>'</w:t>
      </w:r>
      <w:r w:rsidRPr="005A058D">
        <w:rPr>
          <w:lang w:val="fr-FR"/>
        </w:rPr>
        <w:t xml:space="preserve">abonné" et </w:t>
      </w:r>
      <w:r w:rsidRPr="005A058D">
        <w:rPr>
          <w:rFonts w:asciiTheme="majorBidi" w:hAnsiTheme="majorBidi" w:cstheme="majorBidi"/>
          <w:lang w:val="fr-FR"/>
        </w:rPr>
        <w:t>Question</w:t>
      </w:r>
      <w:r w:rsidR="0026213A">
        <w:rPr>
          <w:lang w:val="fr-FR"/>
        </w:rPr>
        <w:t> </w:t>
      </w:r>
      <w:r w:rsidRPr="005A058D">
        <w:rPr>
          <w:lang w:val="fr-FR"/>
        </w:rPr>
        <w:t>19/15 "Exigences applicables aux fonctionnalités de service évoluées sur les réseaux domestiques par câble à large bande";</w:t>
      </w:r>
    </w:p>
    <w:p w14:paraId="5FCD61F3" w14:textId="33003751" w:rsidR="000571E2" w:rsidRPr="005A058D" w:rsidRDefault="000571E2" w:rsidP="00E31B2B">
      <w:pPr>
        <w:pStyle w:val="enumlev2"/>
        <w:rPr>
          <w:rFonts w:asciiTheme="majorBidi" w:hAnsiTheme="majorBidi" w:cstheme="majorBidi"/>
          <w:lang w:val="fr-FR"/>
        </w:rPr>
      </w:pPr>
      <w:r w:rsidRPr="005A058D">
        <w:rPr>
          <w:lang w:val="fr-FR"/>
        </w:rPr>
        <w:lastRenderedPageBreak/>
        <w:t>•</w:t>
      </w:r>
      <w:r w:rsidRPr="005A058D">
        <w:rPr>
          <w:lang w:val="fr-FR"/>
        </w:rPr>
        <w:tab/>
      </w:r>
      <w:r w:rsidRPr="005A058D">
        <w:rPr>
          <w:rFonts w:asciiTheme="majorBidi" w:hAnsiTheme="majorBidi" w:cstheme="majorBidi"/>
          <w:lang w:val="fr-FR"/>
        </w:rPr>
        <w:t>Question 15/15 "</w:t>
      </w:r>
      <w:r w:rsidRPr="005A058D">
        <w:rPr>
          <w:lang w:val="fr-FR"/>
        </w:rPr>
        <w:t xml:space="preserve">Communications pour les réseaux électriques intelligents" et </w:t>
      </w:r>
      <w:r w:rsidRPr="005A058D">
        <w:rPr>
          <w:rFonts w:asciiTheme="majorBidi" w:hAnsiTheme="majorBidi" w:cstheme="majorBidi"/>
          <w:lang w:val="fr-FR"/>
        </w:rPr>
        <w:t>Question</w:t>
      </w:r>
      <w:r w:rsidRPr="005A058D">
        <w:rPr>
          <w:lang w:val="fr-FR"/>
        </w:rPr>
        <w:t xml:space="preserve"> 18/15 "Réseaux large bande dans les locaux de l</w:t>
      </w:r>
      <w:r w:rsidR="00E31B2B">
        <w:rPr>
          <w:lang w:val="fr-FR"/>
        </w:rPr>
        <w:t>'</w:t>
      </w:r>
      <w:r w:rsidRPr="005A058D">
        <w:rPr>
          <w:lang w:val="fr-FR"/>
        </w:rPr>
        <w:t>abonné", qui deviennent la Question 18/15, rebaptisée "Technologies pour les réseaux dans les locaux de l</w:t>
      </w:r>
      <w:r w:rsidR="00E31B2B">
        <w:rPr>
          <w:lang w:val="fr-FR"/>
        </w:rPr>
        <w:t>'</w:t>
      </w:r>
      <w:r w:rsidRPr="005A058D">
        <w:rPr>
          <w:lang w:val="fr-FR"/>
        </w:rPr>
        <w:t>abonné et applications d</w:t>
      </w:r>
      <w:r w:rsidR="00E31B2B">
        <w:rPr>
          <w:lang w:val="fr-FR"/>
        </w:rPr>
        <w:t>'</w:t>
      </w:r>
      <w:r w:rsidRPr="005A058D">
        <w:rPr>
          <w:lang w:val="fr-FR"/>
        </w:rPr>
        <w:t>accès connexes"</w:t>
      </w:r>
      <w:r w:rsidRPr="005A058D">
        <w:rPr>
          <w:rFonts w:asciiTheme="majorBidi" w:hAnsiTheme="majorBidi" w:cstheme="majorBidi"/>
          <w:lang w:val="fr-FR"/>
        </w:rPr>
        <w:t>;</w:t>
      </w:r>
    </w:p>
    <w:p w14:paraId="653382B0" w14:textId="77777777" w:rsidR="000571E2" w:rsidRPr="005A058D" w:rsidRDefault="000571E2" w:rsidP="00E31B2B">
      <w:pPr>
        <w:pStyle w:val="enumlev1"/>
        <w:rPr>
          <w:lang w:val="fr-FR"/>
        </w:rPr>
      </w:pPr>
      <w:r w:rsidRPr="005A058D">
        <w:rPr>
          <w:lang w:val="fr-FR"/>
        </w:rPr>
        <w:t>−</w:t>
      </w:r>
      <w:r w:rsidRPr="005A058D">
        <w:rPr>
          <w:lang w:val="fr-FR"/>
        </w:rPr>
        <w:tab/>
        <w:t>la suppression des Questions suivantes:</w:t>
      </w:r>
    </w:p>
    <w:p w14:paraId="04298ADC" w14:textId="6581FA3E" w:rsidR="000571E2" w:rsidRPr="005A058D" w:rsidRDefault="000571E2" w:rsidP="00E31B2B">
      <w:pPr>
        <w:pStyle w:val="enumlev2"/>
        <w:rPr>
          <w:lang w:val="fr-FR"/>
        </w:rPr>
      </w:pPr>
      <w:r w:rsidRPr="005A058D">
        <w:rPr>
          <w:lang w:val="fr-FR"/>
        </w:rPr>
        <w:t>•</w:t>
      </w:r>
      <w:r w:rsidRPr="005A058D">
        <w:rPr>
          <w:lang w:val="fr-FR"/>
        </w:rPr>
        <w:tab/>
      </w:r>
      <w:r w:rsidRPr="005A058D">
        <w:rPr>
          <w:rFonts w:asciiTheme="majorBidi" w:hAnsiTheme="majorBidi" w:cstheme="majorBidi"/>
          <w:lang w:val="fr-FR"/>
        </w:rPr>
        <w:t>Question</w:t>
      </w:r>
      <w:r w:rsidRPr="005A058D">
        <w:rPr>
          <w:lang w:val="fr-FR"/>
        </w:rPr>
        <w:t xml:space="preserve"> 10/5 "Adaptation aux changements climatiques et technologies de l</w:t>
      </w:r>
      <w:r w:rsidR="00E31B2B">
        <w:rPr>
          <w:lang w:val="fr-FR"/>
        </w:rPr>
        <w:t>'</w:t>
      </w:r>
      <w:r w:rsidRPr="005A058D">
        <w:rPr>
          <w:lang w:val="fr-FR"/>
        </w:rPr>
        <w:t>information et de la communication (TIC) résilientes, peu onéreuses et durables";</w:t>
      </w:r>
    </w:p>
    <w:p w14:paraId="48C0C322" w14:textId="38CFFEDD" w:rsidR="000571E2" w:rsidRPr="005A058D" w:rsidRDefault="000571E2" w:rsidP="00E31B2B">
      <w:pPr>
        <w:pStyle w:val="enumlev2"/>
        <w:rPr>
          <w:lang w:val="fr-FR"/>
        </w:rPr>
      </w:pPr>
      <w:r w:rsidRPr="005A058D">
        <w:rPr>
          <w:lang w:val="fr-FR"/>
        </w:rPr>
        <w:t>•</w:t>
      </w:r>
      <w:r w:rsidRPr="005A058D">
        <w:rPr>
          <w:lang w:val="fr-FR"/>
        </w:rPr>
        <w:tab/>
      </w:r>
      <w:r w:rsidRPr="005A058D">
        <w:rPr>
          <w:rFonts w:asciiTheme="majorBidi" w:hAnsiTheme="majorBidi" w:cstheme="majorBidi"/>
          <w:lang w:val="fr-FR"/>
        </w:rPr>
        <w:t>Question</w:t>
      </w:r>
      <w:r w:rsidRPr="005A058D">
        <w:rPr>
          <w:lang w:val="fr-FR"/>
        </w:rPr>
        <w:t xml:space="preserve"> 18/12 "Mesure et contrôle de la qualité de service (QoS) de bout en bout pour les techniques télévisuelles évoluées, de l</w:t>
      </w:r>
      <w:r w:rsidR="00E31B2B">
        <w:rPr>
          <w:lang w:val="fr-FR"/>
        </w:rPr>
        <w:t>'</w:t>
      </w:r>
      <w:r w:rsidRPr="005A058D">
        <w:rPr>
          <w:lang w:val="fr-FR"/>
        </w:rPr>
        <w:t>acquisition à la restitution d</w:t>
      </w:r>
      <w:r w:rsidR="00E31B2B">
        <w:rPr>
          <w:lang w:val="fr-FR"/>
        </w:rPr>
        <w:t>'</w:t>
      </w:r>
      <w:r w:rsidRPr="005A058D">
        <w:rPr>
          <w:lang w:val="fr-FR"/>
        </w:rPr>
        <w:t>images, sur des réseaux de contribution, de distribution primaire et de distribution secondaire";</w:t>
      </w:r>
    </w:p>
    <w:p w14:paraId="260AC572" w14:textId="77777777" w:rsidR="000571E2" w:rsidRPr="005A058D" w:rsidRDefault="000571E2" w:rsidP="00E31B2B">
      <w:pPr>
        <w:pStyle w:val="enumlev2"/>
        <w:rPr>
          <w:lang w:val="fr-FR"/>
        </w:rPr>
      </w:pPr>
      <w:r w:rsidRPr="005A058D">
        <w:rPr>
          <w:lang w:val="fr-FR"/>
        </w:rPr>
        <w:t>•</w:t>
      </w:r>
      <w:r w:rsidRPr="005A058D">
        <w:rPr>
          <w:lang w:val="fr-FR"/>
        </w:rPr>
        <w:tab/>
      </w:r>
      <w:r w:rsidRPr="005A058D">
        <w:rPr>
          <w:rFonts w:asciiTheme="majorBidi" w:hAnsiTheme="majorBidi" w:cstheme="majorBidi"/>
          <w:lang w:val="fr-FR"/>
        </w:rPr>
        <w:t>Question</w:t>
      </w:r>
      <w:r w:rsidRPr="005A058D">
        <w:rPr>
          <w:lang w:val="fr-FR"/>
        </w:rPr>
        <w:t xml:space="preserve"> 3/15 "Coordination des normes relatives aux réseaux de transport optique";</w:t>
      </w:r>
    </w:p>
    <w:p w14:paraId="064574F1" w14:textId="7ABF33E7" w:rsidR="000571E2" w:rsidRPr="005A058D" w:rsidRDefault="000571E2" w:rsidP="00E31B2B">
      <w:pPr>
        <w:pStyle w:val="enumlev1"/>
        <w:rPr>
          <w:rFonts w:asciiTheme="majorBidi" w:hAnsiTheme="majorBidi" w:cstheme="majorBidi"/>
          <w:lang w:val="fr-FR"/>
        </w:rPr>
      </w:pPr>
      <w:r w:rsidRPr="005A058D">
        <w:rPr>
          <w:lang w:val="fr-FR"/>
        </w:rPr>
        <w:t>−</w:t>
      </w:r>
      <w:r w:rsidRPr="005A058D">
        <w:rPr>
          <w:lang w:val="fr-FR"/>
        </w:rPr>
        <w:tab/>
        <w:t>la suppression de la Question 9/15 "Protection/rétablissement du réseau de transport" et de procéder à l</w:t>
      </w:r>
      <w:r w:rsidR="00E31B2B">
        <w:rPr>
          <w:lang w:val="fr-FR"/>
        </w:rPr>
        <w:t>'</w:t>
      </w:r>
      <w:r w:rsidRPr="005A058D">
        <w:rPr>
          <w:lang w:val="fr-FR"/>
        </w:rPr>
        <w:t>étude:</w:t>
      </w:r>
    </w:p>
    <w:p w14:paraId="31A402D1" w14:textId="5FB267C0" w:rsidR="000571E2" w:rsidRPr="005A058D" w:rsidRDefault="000571E2" w:rsidP="00E31B2B">
      <w:pPr>
        <w:pStyle w:val="enumlev2"/>
        <w:rPr>
          <w:lang w:val="fr-FR"/>
        </w:rPr>
      </w:pPr>
      <w:r w:rsidRPr="005A058D">
        <w:rPr>
          <w:lang w:val="fr-FR"/>
        </w:rPr>
        <w:t>•</w:t>
      </w:r>
      <w:r w:rsidRPr="005A058D">
        <w:rPr>
          <w:lang w:val="fr-FR"/>
        </w:rPr>
        <w:tab/>
        <w:t xml:space="preserve">de la protection </w:t>
      </w:r>
      <w:r w:rsidRPr="005A058D">
        <w:rPr>
          <w:color w:val="000000"/>
          <w:lang w:val="fr-FR"/>
        </w:rPr>
        <w:t>en mode paquets</w:t>
      </w:r>
      <w:r w:rsidRPr="005A058D">
        <w:rPr>
          <w:lang w:val="fr-FR"/>
        </w:rPr>
        <w:t xml:space="preserve"> au titre de la Question 10/15 "Spécifications des interfaces, de l</w:t>
      </w:r>
      <w:r w:rsidR="00E31B2B">
        <w:rPr>
          <w:lang w:val="fr-FR"/>
        </w:rPr>
        <w:t>'</w:t>
      </w:r>
      <w:r w:rsidRPr="005A058D">
        <w:rPr>
          <w:lang w:val="fr-FR"/>
        </w:rPr>
        <w:t>interfonctionnement, des mécanismes d</w:t>
      </w:r>
      <w:r w:rsidR="00E31B2B">
        <w:rPr>
          <w:lang w:val="fr-FR"/>
        </w:rPr>
        <w:t>'</w:t>
      </w:r>
      <w:r w:rsidRPr="005A058D">
        <w:rPr>
          <w:lang w:val="fr-FR"/>
        </w:rPr>
        <w:t>exploitation, d</w:t>
      </w:r>
      <w:r w:rsidR="00E31B2B">
        <w:rPr>
          <w:lang w:val="fr-FR"/>
        </w:rPr>
        <w:t>'</w:t>
      </w:r>
      <w:r w:rsidRPr="005A058D">
        <w:rPr>
          <w:lang w:val="fr-FR"/>
        </w:rPr>
        <w:t>administration et de maintenance (OAM) et des équipements des réseaux de transport en mode paquet";</w:t>
      </w:r>
    </w:p>
    <w:p w14:paraId="7C0CC76A" w14:textId="77777777" w:rsidR="000571E2" w:rsidRPr="005A058D" w:rsidRDefault="000571E2" w:rsidP="00E31B2B">
      <w:pPr>
        <w:pStyle w:val="enumlev2"/>
        <w:rPr>
          <w:lang w:val="fr-FR"/>
        </w:rPr>
      </w:pPr>
      <w:r w:rsidRPr="005A058D">
        <w:rPr>
          <w:lang w:val="fr-FR"/>
        </w:rPr>
        <w:t>•</w:t>
      </w:r>
      <w:r w:rsidRPr="005A058D">
        <w:rPr>
          <w:lang w:val="fr-FR"/>
        </w:rPr>
        <w:tab/>
        <w:t xml:space="preserve">de la protection </w:t>
      </w:r>
      <w:r w:rsidRPr="005A058D">
        <w:rPr>
          <w:color w:val="000000"/>
          <w:lang w:val="fr-FR"/>
        </w:rPr>
        <w:t>en mode circuit</w:t>
      </w:r>
      <w:r w:rsidRPr="005A058D">
        <w:rPr>
          <w:lang w:val="fr-FR"/>
        </w:rPr>
        <w:t xml:space="preserve"> et de la protection générique au titre de la Question 11/15 "Structures de signal, interfaces, fonctions des équipements et interfonctionnement dans les réseaux de transport optiques"; et</w:t>
      </w:r>
    </w:p>
    <w:p w14:paraId="114B3641" w14:textId="77777777" w:rsidR="000571E2" w:rsidRPr="005A058D" w:rsidRDefault="000571E2" w:rsidP="00E31B2B">
      <w:pPr>
        <w:pStyle w:val="enumlev2"/>
        <w:rPr>
          <w:lang w:val="fr-FR"/>
        </w:rPr>
      </w:pPr>
      <w:bookmarkStart w:id="33" w:name="lt_pId216"/>
      <w:r w:rsidRPr="005A058D">
        <w:rPr>
          <w:lang w:val="fr-FR"/>
        </w:rPr>
        <w:t>•</w:t>
      </w:r>
      <w:r w:rsidRPr="005A058D">
        <w:rPr>
          <w:lang w:val="fr-FR"/>
        </w:rPr>
        <w:tab/>
        <w:t>du rétablissement au moyen des réseaux SDN au titre de la Question 12/15 "Architectures des réseaux de transport".</w:t>
      </w:r>
      <w:bookmarkEnd w:id="33"/>
    </w:p>
    <w:p w14:paraId="0D6D2220" w14:textId="6A92E4CB" w:rsidR="000571E2" w:rsidRPr="005A058D" w:rsidRDefault="000571E2" w:rsidP="00E31B2B">
      <w:pPr>
        <w:tabs>
          <w:tab w:val="left" w:pos="570"/>
        </w:tabs>
        <w:spacing w:before="240"/>
        <w:rPr>
          <w:bCs/>
          <w:lang w:val="fr-FR"/>
        </w:rPr>
      </w:pPr>
      <w:r w:rsidRPr="005A058D">
        <w:rPr>
          <w:bCs/>
          <w:lang w:val="fr-FR"/>
        </w:rPr>
        <w:t xml:space="preserve">Pour assurer la continuité des activités du Secteur UIT-T lors de la pandémie de COVID-19, et conformément à la section 7.2 de la Résolution 1 </w:t>
      </w:r>
      <w:r w:rsidRPr="005A058D">
        <w:rPr>
          <w:rFonts w:asciiTheme="majorBidi" w:eastAsia="MS Mincho" w:hAnsiTheme="majorBidi" w:cstheme="majorBidi"/>
          <w:bCs/>
          <w:color w:val="000000"/>
          <w:lang w:val="fr-FR"/>
        </w:rPr>
        <w:t xml:space="preserve">(Rév. Hammamet, 2016), le GCNT, à sa réunion tenue en janvier 2021, a approuvé toutes les Questions, nouvelles ou révisées, confiées aux </w:t>
      </w:r>
      <w:r>
        <w:rPr>
          <w:rFonts w:asciiTheme="majorBidi" w:eastAsia="MS Mincho" w:hAnsiTheme="majorBidi" w:cstheme="majorBidi"/>
          <w:bCs/>
          <w:color w:val="000000"/>
          <w:lang w:val="fr-FR"/>
        </w:rPr>
        <w:t>C</w:t>
      </w:r>
      <w:r w:rsidRPr="005A058D">
        <w:rPr>
          <w:rFonts w:asciiTheme="majorBidi" w:eastAsia="MS Mincho" w:hAnsiTheme="majorBidi" w:cstheme="majorBidi"/>
          <w:bCs/>
          <w:color w:val="000000"/>
          <w:lang w:val="fr-FR"/>
        </w:rPr>
        <w:t>ommissions d</w:t>
      </w:r>
      <w:r w:rsidR="00E31B2B">
        <w:rPr>
          <w:rFonts w:asciiTheme="majorBidi" w:eastAsia="MS Mincho" w:hAnsiTheme="majorBidi" w:cstheme="majorBidi"/>
          <w:bCs/>
          <w:color w:val="000000"/>
          <w:lang w:val="fr-FR"/>
        </w:rPr>
        <w:t>'</w:t>
      </w:r>
      <w:r w:rsidRPr="005A058D">
        <w:rPr>
          <w:rFonts w:asciiTheme="majorBidi" w:eastAsia="MS Mincho" w:hAnsiTheme="majorBidi" w:cstheme="majorBidi"/>
          <w:bCs/>
          <w:color w:val="000000"/>
          <w:lang w:val="fr-FR"/>
        </w:rPr>
        <w:t>études de l</w:t>
      </w:r>
      <w:r w:rsidR="00E31B2B">
        <w:rPr>
          <w:rFonts w:asciiTheme="majorBidi" w:eastAsia="MS Mincho" w:hAnsiTheme="majorBidi" w:cstheme="majorBidi"/>
          <w:bCs/>
          <w:color w:val="000000"/>
          <w:lang w:val="fr-FR"/>
        </w:rPr>
        <w:t>'</w:t>
      </w:r>
      <w:r w:rsidRPr="005A058D">
        <w:rPr>
          <w:rFonts w:asciiTheme="majorBidi" w:eastAsia="MS Mincho" w:hAnsiTheme="majorBidi" w:cstheme="majorBidi"/>
          <w:bCs/>
          <w:color w:val="000000"/>
          <w:lang w:val="fr-FR"/>
        </w:rPr>
        <w:t>UIT-T pour toutes les Commissions d</w:t>
      </w:r>
      <w:r w:rsidR="00E31B2B">
        <w:rPr>
          <w:rFonts w:asciiTheme="majorBidi" w:eastAsia="MS Mincho" w:hAnsiTheme="majorBidi" w:cstheme="majorBidi"/>
          <w:bCs/>
          <w:color w:val="000000"/>
          <w:lang w:val="fr-FR"/>
        </w:rPr>
        <w:t>'</w:t>
      </w:r>
      <w:r w:rsidRPr="005A058D">
        <w:rPr>
          <w:rFonts w:asciiTheme="majorBidi" w:eastAsia="MS Mincho" w:hAnsiTheme="majorBidi" w:cstheme="majorBidi"/>
          <w:bCs/>
          <w:color w:val="000000"/>
          <w:lang w:val="fr-FR"/>
        </w:rPr>
        <w:t>études de l</w:t>
      </w:r>
      <w:r w:rsidR="00E31B2B">
        <w:rPr>
          <w:rFonts w:asciiTheme="majorBidi" w:eastAsia="MS Mincho" w:hAnsiTheme="majorBidi" w:cstheme="majorBidi"/>
          <w:bCs/>
          <w:color w:val="000000"/>
          <w:lang w:val="fr-FR"/>
        </w:rPr>
        <w:t>'</w:t>
      </w:r>
      <w:r w:rsidRPr="005A058D">
        <w:rPr>
          <w:rFonts w:asciiTheme="majorBidi" w:eastAsia="MS Mincho" w:hAnsiTheme="majorBidi" w:cstheme="majorBidi"/>
          <w:bCs/>
          <w:color w:val="000000"/>
          <w:lang w:val="fr-FR"/>
        </w:rPr>
        <w:t>UIT-T, comme annoncé dans les Rapports 12 à 22 du GCNT.</w:t>
      </w:r>
    </w:p>
    <w:p w14:paraId="2EC2D62E" w14:textId="154C292C" w:rsidR="000571E2" w:rsidRPr="005A058D" w:rsidRDefault="000571E2" w:rsidP="00E31B2B">
      <w:pPr>
        <w:tabs>
          <w:tab w:val="left" w:pos="570"/>
        </w:tabs>
        <w:spacing w:before="240"/>
        <w:rPr>
          <w:bCs/>
          <w:lang w:val="fr-FR"/>
        </w:rPr>
      </w:pPr>
      <w:r w:rsidRPr="005A058D">
        <w:rPr>
          <w:bCs/>
          <w:lang w:val="fr-FR"/>
        </w:rPr>
        <w:t xml:space="preserve">Le GCNT a examiné les contributions des </w:t>
      </w:r>
      <w:r>
        <w:rPr>
          <w:bCs/>
          <w:lang w:val="fr-FR"/>
        </w:rPr>
        <w:t>C</w:t>
      </w:r>
      <w:r w:rsidRPr="005A058D">
        <w:rPr>
          <w:bCs/>
          <w:lang w:val="fr-FR"/>
        </w:rPr>
        <w:t>ommissions d</w:t>
      </w:r>
      <w:r w:rsidR="00E31B2B">
        <w:rPr>
          <w:bCs/>
          <w:lang w:val="fr-FR"/>
        </w:rPr>
        <w:t>'</w:t>
      </w:r>
      <w:r w:rsidRPr="005A058D">
        <w:rPr>
          <w:bCs/>
          <w:lang w:val="fr-FR"/>
        </w:rPr>
        <w:t>études de l</w:t>
      </w:r>
      <w:r w:rsidR="00E31B2B">
        <w:rPr>
          <w:bCs/>
          <w:lang w:val="fr-FR"/>
        </w:rPr>
        <w:t>'</w:t>
      </w:r>
      <w:r w:rsidRPr="005A058D">
        <w:rPr>
          <w:bCs/>
          <w:lang w:val="fr-FR"/>
        </w:rPr>
        <w:t xml:space="preserve">UIT-T concernant la Résolution 2 </w:t>
      </w:r>
      <w:r w:rsidRPr="005A058D">
        <w:rPr>
          <w:rFonts w:asciiTheme="majorBidi" w:eastAsia="MS Mincho" w:hAnsiTheme="majorBidi" w:cstheme="majorBidi"/>
          <w:bCs/>
          <w:color w:val="000000"/>
          <w:lang w:val="fr-FR"/>
        </w:rPr>
        <w:t xml:space="preserve">(Rév. Hammamet, 2016) (voir le Document </w:t>
      </w:r>
      <w:hyperlink r:id="rId127" w:history="1">
        <w:r w:rsidRPr="005A058D">
          <w:rPr>
            <w:rStyle w:val="Hyperlink"/>
            <w:bCs/>
            <w:lang w:val="fr-FR"/>
          </w:rPr>
          <w:t>TSAG-TD1310</w:t>
        </w:r>
      </w:hyperlink>
      <w:r w:rsidRPr="005A058D">
        <w:rPr>
          <w:rFonts w:asciiTheme="majorBidi" w:eastAsia="MS Mincho" w:hAnsiTheme="majorBidi" w:cstheme="majorBidi"/>
          <w:bCs/>
          <w:color w:val="000000"/>
          <w:lang w:val="fr-FR"/>
        </w:rPr>
        <w:t>).</w:t>
      </w:r>
    </w:p>
    <w:p w14:paraId="039F712A" w14:textId="77777777" w:rsidR="000571E2" w:rsidRPr="005A058D" w:rsidRDefault="000571E2" w:rsidP="00E31B2B">
      <w:pPr>
        <w:pStyle w:val="Heading4"/>
        <w:rPr>
          <w:lang w:val="fr-FR"/>
        </w:rPr>
      </w:pPr>
      <w:r w:rsidRPr="005A058D">
        <w:rPr>
          <w:lang w:val="fr-FR"/>
        </w:rPr>
        <w:t>3.2.7.3</w:t>
      </w:r>
      <w:r w:rsidRPr="005A058D">
        <w:rPr>
          <w:lang w:val="fr-FR"/>
        </w:rPr>
        <w:tab/>
        <w:t>Activités conjointes de coordination</w:t>
      </w:r>
    </w:p>
    <w:p w14:paraId="16C5128E" w14:textId="77777777" w:rsidR="000571E2" w:rsidRPr="005A058D" w:rsidRDefault="000571E2" w:rsidP="00E31B2B">
      <w:pPr>
        <w:rPr>
          <w:bCs/>
          <w:lang w:val="fr-FR"/>
        </w:rPr>
      </w:pPr>
      <w:r w:rsidRPr="005A058D">
        <w:rPr>
          <w:lang w:val="fr-FR"/>
        </w:rPr>
        <w:t>Le GCNT a examiné périodiquement les Activités conjointes de</w:t>
      </w:r>
      <w:r w:rsidR="0026213A">
        <w:rPr>
          <w:lang w:val="fr-FR"/>
        </w:rPr>
        <w:t xml:space="preserve"> coordination (JCA) et créé des </w:t>
      </w:r>
      <w:r w:rsidRPr="005A058D">
        <w:rPr>
          <w:lang w:val="fr-FR"/>
        </w:rPr>
        <w:t>JCA, approuvé le maintien de JCA (le cas échéant en mettant à jour leur mandat) ou supprimé des JCA</w:t>
      </w:r>
      <w:r w:rsidRPr="005A058D">
        <w:rPr>
          <w:bCs/>
          <w:lang w:val="fr-FR"/>
        </w:rPr>
        <w:t>.</w:t>
      </w:r>
    </w:p>
    <w:p w14:paraId="21659134" w14:textId="77777777" w:rsidR="000571E2" w:rsidRPr="005A058D" w:rsidRDefault="000571E2" w:rsidP="00E31B2B">
      <w:pPr>
        <w:rPr>
          <w:lang w:val="fr-FR"/>
        </w:rPr>
      </w:pPr>
      <w:r w:rsidRPr="005A058D">
        <w:rPr>
          <w:lang w:val="fr-FR"/>
        </w:rPr>
        <w:t>Le GCNT a approuvé:</w:t>
      </w:r>
    </w:p>
    <w:p w14:paraId="50803388" w14:textId="5C81406E" w:rsidR="000571E2" w:rsidRPr="005A058D" w:rsidRDefault="000571E2" w:rsidP="00E31B2B">
      <w:pPr>
        <w:pStyle w:val="enumlev1"/>
        <w:rPr>
          <w:lang w:val="fr-FR"/>
        </w:rPr>
      </w:pPr>
      <w:r w:rsidRPr="005A058D">
        <w:rPr>
          <w:lang w:val="fr-FR"/>
        </w:rPr>
        <w:t>•</w:t>
      </w:r>
      <w:r w:rsidRPr="005A058D">
        <w:rPr>
          <w:lang w:val="fr-FR"/>
        </w:rPr>
        <w:tab/>
        <w:t>la création d</w:t>
      </w:r>
      <w:r w:rsidR="00E31B2B">
        <w:rPr>
          <w:lang w:val="fr-FR"/>
        </w:rPr>
        <w:t>'</w:t>
      </w:r>
      <w:r w:rsidRPr="005A058D">
        <w:rPr>
          <w:lang w:val="fr-FR"/>
        </w:rPr>
        <w:t>une JCA sur les aspects multimédias des cy</w:t>
      </w:r>
      <w:r w:rsidR="0026213A">
        <w:rPr>
          <w:lang w:val="fr-FR"/>
        </w:rPr>
        <w:t>berservices dans le cadre de la </w:t>
      </w:r>
      <w:r w:rsidRPr="005A058D">
        <w:rPr>
          <w:lang w:val="fr-FR"/>
        </w:rPr>
        <w:t>CE 16;</w:t>
      </w:r>
    </w:p>
    <w:p w14:paraId="6145D8B9" w14:textId="2313D87B" w:rsidR="000571E2" w:rsidRPr="005A058D" w:rsidRDefault="000571E2" w:rsidP="00E31B2B">
      <w:pPr>
        <w:pStyle w:val="enumlev1"/>
        <w:rPr>
          <w:lang w:val="fr-FR"/>
        </w:rPr>
      </w:pPr>
      <w:r w:rsidRPr="005A058D">
        <w:rPr>
          <w:lang w:val="fr-FR"/>
        </w:rPr>
        <w:t>•</w:t>
      </w:r>
      <w:r w:rsidRPr="005A058D">
        <w:rPr>
          <w:lang w:val="fr-FR"/>
        </w:rPr>
        <w:tab/>
        <w:t>la création d</w:t>
      </w:r>
      <w:r w:rsidR="00E31B2B">
        <w:rPr>
          <w:lang w:val="fr-FR"/>
        </w:rPr>
        <w:t>'</w:t>
      </w:r>
      <w:r w:rsidRPr="005A058D">
        <w:rPr>
          <w:lang w:val="fr-FR"/>
        </w:rPr>
        <w:t>une JCA sur les IMT-2020 dans le cadre de la CE 13 – le GCNT a appuyé le maintien de la JCA-IMT2020 en 2021, moyennant un mandat révisé, et approuvé son maintien en 2022 sous la désignation</w:t>
      </w:r>
      <w:r w:rsidRPr="005A058D" w:rsidDel="006143DF">
        <w:rPr>
          <w:lang w:val="fr-FR"/>
        </w:rPr>
        <w:t xml:space="preserve"> </w:t>
      </w:r>
      <w:r w:rsidRPr="005A058D">
        <w:rPr>
          <w:lang w:val="fr-FR"/>
        </w:rPr>
        <w:t>d</w:t>
      </w:r>
      <w:r w:rsidR="00E31B2B">
        <w:rPr>
          <w:lang w:val="fr-FR"/>
        </w:rPr>
        <w:t>'</w:t>
      </w:r>
      <w:r w:rsidRPr="005A058D">
        <w:rPr>
          <w:i/>
          <w:lang w:val="fr-FR"/>
        </w:rPr>
        <w:t>Activité conjointe de coordination sur les IMT à l</w:t>
      </w:r>
      <w:r w:rsidR="00E31B2B">
        <w:rPr>
          <w:i/>
          <w:lang w:val="fr-FR"/>
        </w:rPr>
        <w:t>'</w:t>
      </w:r>
      <w:r w:rsidRPr="005A058D">
        <w:rPr>
          <w:i/>
          <w:lang w:val="fr-FR"/>
        </w:rPr>
        <w:t>horizon 2020 et au-delà</w:t>
      </w:r>
      <w:r w:rsidRPr="005A058D">
        <w:rPr>
          <w:lang w:val="fr-FR"/>
        </w:rPr>
        <w:t xml:space="preserve"> (JCA-IMT2020);</w:t>
      </w:r>
    </w:p>
    <w:p w14:paraId="4F9815C3" w14:textId="77777777" w:rsidR="000571E2" w:rsidRPr="005A058D" w:rsidRDefault="000571E2" w:rsidP="00E31B2B">
      <w:pPr>
        <w:pStyle w:val="enumlev1"/>
        <w:rPr>
          <w:lang w:val="fr-FR"/>
        </w:rPr>
      </w:pPr>
      <w:r w:rsidRPr="005A058D">
        <w:rPr>
          <w:lang w:val="fr-FR"/>
        </w:rPr>
        <w:t>•</w:t>
      </w:r>
      <w:r w:rsidRPr="005A058D">
        <w:rPr>
          <w:lang w:val="fr-FR"/>
        </w:rPr>
        <w:tab/>
        <w:t>le maintien de la JCA-SDN, moyennant un mandat révisé (dans le cadre de la CE 13);</w:t>
      </w:r>
    </w:p>
    <w:p w14:paraId="1887AA8A" w14:textId="77777777" w:rsidR="000571E2" w:rsidRPr="005A058D" w:rsidRDefault="000571E2" w:rsidP="00E31B2B">
      <w:pPr>
        <w:pStyle w:val="enumlev1"/>
        <w:rPr>
          <w:lang w:val="fr-FR"/>
        </w:rPr>
      </w:pPr>
      <w:r w:rsidRPr="005A058D">
        <w:rPr>
          <w:lang w:val="fr-FR"/>
        </w:rPr>
        <w:lastRenderedPageBreak/>
        <w:t>•</w:t>
      </w:r>
      <w:r w:rsidRPr="005A058D">
        <w:rPr>
          <w:lang w:val="fr-FR"/>
        </w:rPr>
        <w:tab/>
        <w:t>le maintien de la JCA-IdM (dans le cadre de la CE 17), de la JCA-COP (dans le cadre de la CE 17), ainsi que de la JCA-IoT et CS&amp;C (dans le cadre de la CE 20).</w:t>
      </w:r>
    </w:p>
    <w:p w14:paraId="27A63BAA" w14:textId="72772F25" w:rsidR="000571E2" w:rsidRPr="005A058D" w:rsidRDefault="000571E2" w:rsidP="00E31B2B">
      <w:pPr>
        <w:rPr>
          <w:lang w:val="fr-FR"/>
        </w:rPr>
      </w:pPr>
      <w:r w:rsidRPr="005A058D">
        <w:rPr>
          <w:lang w:val="fr-FR"/>
        </w:rPr>
        <w:t>En outre, il a mis fin à la JCA sur les aspects techniques des réseaux de télécommunication pour la prise en charge de l</w:t>
      </w:r>
      <w:r w:rsidR="00E31B2B">
        <w:rPr>
          <w:lang w:val="fr-FR"/>
        </w:rPr>
        <w:t>'</w:t>
      </w:r>
      <w:r w:rsidRPr="005A058D">
        <w:rPr>
          <w:lang w:val="fr-FR"/>
        </w:rPr>
        <w:t>Internet (JCA-Rés. 178).</w:t>
      </w:r>
    </w:p>
    <w:p w14:paraId="2F4B9FD5" w14:textId="1BBA6082" w:rsidR="000571E2" w:rsidRPr="005A058D" w:rsidRDefault="000571E2" w:rsidP="00E31B2B">
      <w:pPr>
        <w:rPr>
          <w:lang w:val="fr-FR"/>
        </w:rPr>
      </w:pPr>
      <w:r w:rsidRPr="005A058D">
        <w:rPr>
          <w:lang w:val="fr-FR"/>
        </w:rPr>
        <w:t xml:space="preserve">Le GCNT a créé une nouvelle </w:t>
      </w:r>
      <w:r w:rsidRPr="005A058D">
        <w:rPr>
          <w:iCs/>
          <w:lang w:val="fr-FR"/>
        </w:rPr>
        <w:t>Activité conjointe de coordination de l</w:t>
      </w:r>
      <w:r w:rsidR="00E31B2B">
        <w:rPr>
          <w:iCs/>
          <w:lang w:val="fr-FR"/>
        </w:rPr>
        <w:t>'</w:t>
      </w:r>
      <w:r w:rsidRPr="005A058D">
        <w:rPr>
          <w:iCs/>
          <w:lang w:val="fr-FR"/>
        </w:rPr>
        <w:t xml:space="preserve">UIT-T sur le certificat COVID numérique (JCA-DCC), qui lui est rattachée, </w:t>
      </w:r>
      <w:r w:rsidRPr="005A058D">
        <w:rPr>
          <w:lang w:val="fr-FR"/>
        </w:rPr>
        <w:t>et dont le mandat a été approuvé.</w:t>
      </w:r>
    </w:p>
    <w:p w14:paraId="033F7544" w14:textId="77777777" w:rsidR="000571E2" w:rsidRPr="005A058D" w:rsidRDefault="000571E2" w:rsidP="00E31B2B">
      <w:pPr>
        <w:rPr>
          <w:lang w:val="fr-FR"/>
        </w:rPr>
      </w:pPr>
      <w:r w:rsidRPr="005A058D">
        <w:rPr>
          <w:lang w:val="fr-FR"/>
        </w:rPr>
        <w:t xml:space="preserve">Le Groupe RG-WP a examiné plus en détail les rapports de la Collaboration sur les normes de communication </w:t>
      </w:r>
      <w:r w:rsidRPr="005A058D">
        <w:rPr>
          <w:color w:val="000000"/>
          <w:lang w:val="fr-FR"/>
        </w:rPr>
        <w:t>pour les systèmes</w:t>
      </w:r>
      <w:r w:rsidRPr="005A058D">
        <w:rPr>
          <w:lang w:val="fr-FR"/>
        </w:rPr>
        <w:t xml:space="preserve"> ITS (CITS) et les activités relatives aux</w:t>
      </w:r>
      <w:r w:rsidRPr="005A058D">
        <w:rPr>
          <w:color w:val="000000"/>
          <w:lang w:val="fr-FR"/>
        </w:rPr>
        <w:t xml:space="preserve"> systèmes</w:t>
      </w:r>
      <w:r w:rsidRPr="005A058D">
        <w:rPr>
          <w:lang w:val="fr-FR"/>
        </w:rPr>
        <w:t xml:space="preserve"> ITS.</w:t>
      </w:r>
    </w:p>
    <w:p w14:paraId="34825EBC" w14:textId="70143AFE" w:rsidR="00DC42BA" w:rsidRPr="00751128" w:rsidRDefault="00DC42BA" w:rsidP="00E31B2B">
      <w:pPr>
        <w:pStyle w:val="Heading4"/>
        <w:rPr>
          <w:lang w:val="fr-FR"/>
        </w:rPr>
      </w:pPr>
      <w:r w:rsidRPr="00751128">
        <w:rPr>
          <w:lang w:val="fr-FR"/>
        </w:rPr>
        <w:t>3.2.7.4</w:t>
      </w:r>
      <w:r w:rsidRPr="00751128">
        <w:rPr>
          <w:lang w:val="fr-FR"/>
        </w:rPr>
        <w:tab/>
        <w:t>Examen de la structure des commissions d</w:t>
      </w:r>
      <w:r w:rsidR="00E31B2B">
        <w:rPr>
          <w:lang w:val="fr-FR"/>
        </w:rPr>
        <w:t>'</w:t>
      </w:r>
      <w:r w:rsidRPr="00751128">
        <w:rPr>
          <w:lang w:val="fr-FR"/>
        </w:rPr>
        <w:t>études en vue de l</w:t>
      </w:r>
      <w:r w:rsidR="00E31B2B">
        <w:rPr>
          <w:lang w:val="fr-FR"/>
        </w:rPr>
        <w:t>'</w:t>
      </w:r>
      <w:r w:rsidRPr="00751128">
        <w:rPr>
          <w:lang w:val="fr-FR"/>
        </w:rPr>
        <w:t>AMNT-20</w:t>
      </w:r>
    </w:p>
    <w:p w14:paraId="08793283" w14:textId="6099730B" w:rsidR="00DC42BA" w:rsidRPr="00751128" w:rsidRDefault="00DC42BA" w:rsidP="00E31B2B">
      <w:pPr>
        <w:rPr>
          <w:lang w:val="fr-FR"/>
        </w:rPr>
      </w:pPr>
      <w:r w:rsidRPr="00751128">
        <w:rPr>
          <w:lang w:val="fr-FR"/>
        </w:rPr>
        <w:t>Le Groupe RG-WP a reçu les premières observations et quelques contributions des commissions d</w:t>
      </w:r>
      <w:r w:rsidR="00E31B2B">
        <w:rPr>
          <w:lang w:val="fr-FR"/>
        </w:rPr>
        <w:t>'</w:t>
      </w:r>
      <w:r w:rsidRPr="00751128">
        <w:rPr>
          <w:lang w:val="fr-FR"/>
        </w:rPr>
        <w:t>études ainsi que leurs programmes et propositions préliminaires de Question. Il a examiné plusieurs contributions dans lesquelles figurent des propositions de principes applicables à la restructuration des Commissions d</w:t>
      </w:r>
      <w:r w:rsidR="00E31B2B">
        <w:rPr>
          <w:lang w:val="fr-FR"/>
        </w:rPr>
        <w:t>'</w:t>
      </w:r>
      <w:r w:rsidRPr="00751128">
        <w:rPr>
          <w:lang w:val="fr-FR"/>
        </w:rPr>
        <w:t>études de l</w:t>
      </w:r>
      <w:r w:rsidR="00E31B2B">
        <w:rPr>
          <w:lang w:val="fr-FR"/>
        </w:rPr>
        <w:t>'</w:t>
      </w:r>
      <w:r w:rsidRPr="00751128">
        <w:rPr>
          <w:lang w:val="fr-FR"/>
        </w:rPr>
        <w:t>UIT-T, ainsi que des propositions préliminaires de restructuration. Les principes de haut niveau et les diverses propositions concernant la restructuration ont été recueillis et regroupés, puis transmis par le GCNT aux Commissions d</w:t>
      </w:r>
      <w:r w:rsidR="00E31B2B">
        <w:rPr>
          <w:lang w:val="fr-FR"/>
        </w:rPr>
        <w:t>'</w:t>
      </w:r>
      <w:r w:rsidRPr="00751128">
        <w:rPr>
          <w:lang w:val="fr-FR"/>
        </w:rPr>
        <w:t>études de l</w:t>
      </w:r>
      <w:r w:rsidR="00E31B2B">
        <w:rPr>
          <w:lang w:val="fr-FR"/>
        </w:rPr>
        <w:t>'</w:t>
      </w:r>
      <w:r w:rsidRPr="00751128">
        <w:rPr>
          <w:lang w:val="fr-FR"/>
        </w:rPr>
        <w:t>UIT-T et aux organisations régionales.</w:t>
      </w:r>
    </w:p>
    <w:p w14:paraId="2C937866" w14:textId="791DC25B" w:rsidR="00DC42BA" w:rsidRPr="00751128" w:rsidRDefault="00DC42BA" w:rsidP="00E31B2B">
      <w:pPr>
        <w:keepNext/>
        <w:keepLines/>
        <w:rPr>
          <w:lang w:val="fr-FR"/>
        </w:rPr>
      </w:pPr>
      <w:r w:rsidRPr="00751128">
        <w:rPr>
          <w:lang w:val="fr-FR"/>
        </w:rPr>
        <w:t>Le Groupe RG-WP a rassemblé les propositions présentées par les Commissions d</w:t>
      </w:r>
      <w:r w:rsidR="00E31B2B">
        <w:rPr>
          <w:lang w:val="fr-FR"/>
        </w:rPr>
        <w:t>'</w:t>
      </w:r>
      <w:r w:rsidRPr="00751128">
        <w:rPr>
          <w:lang w:val="fr-FR"/>
        </w:rPr>
        <w:t>études de l</w:t>
      </w:r>
      <w:r w:rsidR="00E31B2B">
        <w:rPr>
          <w:lang w:val="fr-FR"/>
        </w:rPr>
        <w:t>'</w:t>
      </w:r>
      <w:r w:rsidRPr="00751128">
        <w:rPr>
          <w:lang w:val="fr-FR"/>
        </w:rPr>
        <w:t>UIT pour formuler ses propositions relatives à la Résolution 2, notamment en ce qui concerne le</w:t>
      </w:r>
      <w:r w:rsidR="0026213A">
        <w:rPr>
          <w:lang w:val="fr-FR"/>
        </w:rPr>
        <w:t>s</w:t>
      </w:r>
      <w:r w:rsidRPr="00751128">
        <w:rPr>
          <w:lang w:val="fr-FR"/>
        </w:rPr>
        <w:t xml:space="preserve"> textes et le champ d</w:t>
      </w:r>
      <w:r w:rsidR="00E31B2B">
        <w:rPr>
          <w:lang w:val="fr-FR"/>
        </w:rPr>
        <w:t>'</w:t>
      </w:r>
      <w:r w:rsidRPr="00751128">
        <w:rPr>
          <w:lang w:val="fr-FR"/>
        </w:rPr>
        <w:t>application des Questions ainsi que les fonctions de commission d</w:t>
      </w:r>
      <w:r w:rsidR="00E31B2B">
        <w:rPr>
          <w:lang w:val="fr-FR"/>
        </w:rPr>
        <w:t>'</w:t>
      </w:r>
      <w:r w:rsidRPr="00751128">
        <w:rPr>
          <w:lang w:val="fr-FR"/>
        </w:rPr>
        <w:t>études directrice pour ces Questions en vue de l</w:t>
      </w:r>
      <w:r w:rsidR="00E31B2B">
        <w:rPr>
          <w:lang w:val="fr-FR"/>
        </w:rPr>
        <w:t>'</w:t>
      </w:r>
      <w:r w:rsidRPr="00751128">
        <w:rPr>
          <w:lang w:val="fr-FR"/>
        </w:rPr>
        <w:t>AMNT-20.</w:t>
      </w:r>
    </w:p>
    <w:p w14:paraId="307EAC5C" w14:textId="4728A7DC" w:rsidR="00DC42BA" w:rsidRPr="00751128" w:rsidRDefault="00DC42BA" w:rsidP="00E31B2B">
      <w:pPr>
        <w:rPr>
          <w:lang w:val="fr-FR"/>
        </w:rPr>
      </w:pPr>
      <w:r w:rsidRPr="00751128">
        <w:rPr>
          <w:lang w:val="fr-FR"/>
        </w:rPr>
        <w:t>Le GCNT a largement appuyé le maintien de la structure actuelle des commissions d</w:t>
      </w:r>
      <w:r w:rsidR="00E31B2B">
        <w:rPr>
          <w:lang w:val="fr-FR"/>
        </w:rPr>
        <w:t>'</w:t>
      </w:r>
      <w:r w:rsidRPr="00751128">
        <w:rPr>
          <w:lang w:val="fr-FR"/>
        </w:rPr>
        <w:t>études lors de l</w:t>
      </w:r>
      <w:r w:rsidR="00E31B2B">
        <w:rPr>
          <w:lang w:val="fr-FR"/>
        </w:rPr>
        <w:t>'</w:t>
      </w:r>
      <w:r w:rsidRPr="00751128">
        <w:rPr>
          <w:lang w:val="fr-FR"/>
        </w:rPr>
        <w:t>AMNT-20, mais il pourrait être envisagé de transférer des Questions ou des sujets d</w:t>
      </w:r>
      <w:r w:rsidR="00E31B2B">
        <w:rPr>
          <w:lang w:val="fr-FR"/>
        </w:rPr>
        <w:t>'</w:t>
      </w:r>
      <w:r w:rsidRPr="00751128">
        <w:rPr>
          <w:lang w:val="fr-FR"/>
        </w:rPr>
        <w:t>étude d</w:t>
      </w:r>
      <w:r w:rsidR="00E31B2B">
        <w:rPr>
          <w:lang w:val="fr-FR"/>
        </w:rPr>
        <w:t>'</w:t>
      </w:r>
      <w:r w:rsidRPr="00751128">
        <w:rPr>
          <w:lang w:val="fr-FR"/>
        </w:rPr>
        <w:t>une</w:t>
      </w:r>
      <w:r>
        <w:rPr>
          <w:lang w:val="fr-FR"/>
        </w:rPr>
        <w:t> </w:t>
      </w:r>
      <w:r w:rsidRPr="00751128">
        <w:rPr>
          <w:lang w:val="fr-FR"/>
        </w:rPr>
        <w:t>CE à une autre à l</w:t>
      </w:r>
      <w:r w:rsidR="00E31B2B">
        <w:rPr>
          <w:lang w:val="fr-FR"/>
        </w:rPr>
        <w:t>'</w:t>
      </w:r>
      <w:r w:rsidRPr="00751128">
        <w:rPr>
          <w:lang w:val="fr-FR"/>
        </w:rPr>
        <w:t>occasion de cette Conférence. Le GCNT reconnaît néanmoins qu</w:t>
      </w:r>
      <w:r w:rsidR="00E31B2B">
        <w:rPr>
          <w:lang w:val="fr-FR"/>
        </w:rPr>
        <w:t>'</w:t>
      </w:r>
      <w:r w:rsidRPr="00751128">
        <w:rPr>
          <w:lang w:val="fr-FR"/>
        </w:rPr>
        <w:t>il est nécessaire de procéder à une analyse approfondie pour déterminer s</w:t>
      </w:r>
      <w:r w:rsidR="00E31B2B">
        <w:rPr>
          <w:lang w:val="fr-FR"/>
        </w:rPr>
        <w:t>'</w:t>
      </w:r>
      <w:r w:rsidRPr="00751128">
        <w:rPr>
          <w:lang w:val="fr-FR"/>
        </w:rPr>
        <w:t>il est possible de revoir la structure des commissions d</w:t>
      </w:r>
      <w:r w:rsidR="00E31B2B">
        <w:rPr>
          <w:lang w:val="fr-FR"/>
        </w:rPr>
        <w:t>'</w:t>
      </w:r>
      <w:r w:rsidRPr="00751128">
        <w:rPr>
          <w:lang w:val="fr-FR"/>
        </w:rPr>
        <w:t>études avant l</w:t>
      </w:r>
      <w:r w:rsidR="00E31B2B">
        <w:rPr>
          <w:lang w:val="fr-FR"/>
        </w:rPr>
        <w:t>'</w:t>
      </w:r>
      <w:r w:rsidRPr="00751128">
        <w:rPr>
          <w:lang w:val="fr-FR"/>
        </w:rPr>
        <w:t>AMNT-24.</w:t>
      </w:r>
    </w:p>
    <w:p w14:paraId="06A70DF5" w14:textId="02C61804"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t>Du 18 janvier au 25 octobre 2021, le GCNT (Groupe RG-WP) a dirigé les travaux d</w:t>
      </w:r>
      <w:r w:rsidR="00E31B2B">
        <w:rPr>
          <w:rFonts w:asciiTheme="majorBidi" w:hAnsiTheme="majorBidi" w:cstheme="majorBidi"/>
          <w:szCs w:val="24"/>
          <w:lang w:val="fr-FR"/>
        </w:rPr>
        <w:t>'</w:t>
      </w:r>
      <w:r w:rsidRPr="00751128">
        <w:rPr>
          <w:rFonts w:asciiTheme="majorBidi" w:hAnsiTheme="majorBidi" w:cstheme="majorBidi"/>
          <w:szCs w:val="24"/>
          <w:lang w:val="fr-FR"/>
        </w:rPr>
        <w:t>un groupe de travail par correspondance sur la restructuration des Commissions d</w:t>
      </w:r>
      <w:r w:rsidR="00E31B2B">
        <w:rPr>
          <w:rFonts w:asciiTheme="majorBidi" w:hAnsiTheme="majorBidi" w:cstheme="majorBidi"/>
          <w:szCs w:val="24"/>
          <w:lang w:val="fr-FR"/>
        </w:rPr>
        <w:t>'</w:t>
      </w:r>
      <w:r w:rsidRPr="00751128">
        <w:rPr>
          <w:rFonts w:asciiTheme="majorBidi" w:hAnsiTheme="majorBidi" w:cstheme="majorBidi"/>
          <w:szCs w:val="24"/>
          <w:lang w:val="fr-FR"/>
        </w:rPr>
        <w:t>études de l</w:t>
      </w:r>
      <w:r w:rsidR="00E31B2B">
        <w:rPr>
          <w:rFonts w:asciiTheme="majorBidi" w:hAnsiTheme="majorBidi" w:cstheme="majorBidi"/>
          <w:szCs w:val="24"/>
          <w:lang w:val="fr-FR"/>
        </w:rPr>
        <w:t>'</w:t>
      </w:r>
      <w:r w:rsidRPr="00751128">
        <w:rPr>
          <w:rFonts w:asciiTheme="majorBidi" w:hAnsiTheme="majorBidi" w:cstheme="majorBidi"/>
          <w:szCs w:val="24"/>
          <w:lang w:val="fr-FR"/>
        </w:rPr>
        <w:t>UIT-T, qui avait pour tâche d</w:t>
      </w:r>
      <w:r w:rsidR="00E31B2B">
        <w:rPr>
          <w:rFonts w:asciiTheme="majorBidi" w:hAnsiTheme="majorBidi" w:cstheme="majorBidi"/>
          <w:szCs w:val="24"/>
          <w:lang w:val="fr-FR"/>
        </w:rPr>
        <w:t>'</w:t>
      </w:r>
      <w:r w:rsidRPr="00751128">
        <w:rPr>
          <w:rFonts w:asciiTheme="majorBidi" w:hAnsiTheme="majorBidi" w:cstheme="majorBidi"/>
          <w:szCs w:val="24"/>
          <w:lang w:val="fr-FR"/>
        </w:rPr>
        <w:t>élaborer un plan d</w:t>
      </w:r>
      <w:r w:rsidR="00E31B2B">
        <w:rPr>
          <w:rFonts w:asciiTheme="majorBidi" w:hAnsiTheme="majorBidi" w:cstheme="majorBidi"/>
          <w:szCs w:val="24"/>
          <w:lang w:val="fr-FR"/>
        </w:rPr>
        <w:t>'</w:t>
      </w:r>
      <w:r w:rsidRPr="00751128">
        <w:rPr>
          <w:rFonts w:asciiTheme="majorBidi" w:hAnsiTheme="majorBidi" w:cstheme="majorBidi"/>
          <w:szCs w:val="24"/>
          <w:lang w:val="fr-FR"/>
        </w:rPr>
        <w:t>action pour l</w:t>
      </w:r>
      <w:r w:rsidR="00E31B2B">
        <w:rPr>
          <w:rFonts w:asciiTheme="majorBidi" w:hAnsiTheme="majorBidi" w:cstheme="majorBidi"/>
          <w:szCs w:val="24"/>
          <w:lang w:val="fr-FR"/>
        </w:rPr>
        <w:t>'</w:t>
      </w:r>
      <w:r w:rsidRPr="00751128">
        <w:rPr>
          <w:rFonts w:asciiTheme="majorBidi" w:hAnsiTheme="majorBidi" w:cstheme="majorBidi"/>
          <w:szCs w:val="24"/>
          <w:lang w:val="fr-FR"/>
        </w:rPr>
        <w:t>étude analytique de la restructuration des Commissions d</w:t>
      </w:r>
      <w:r w:rsidR="00E31B2B">
        <w:rPr>
          <w:rFonts w:asciiTheme="majorBidi" w:hAnsiTheme="majorBidi" w:cstheme="majorBidi"/>
          <w:szCs w:val="24"/>
          <w:lang w:val="fr-FR"/>
        </w:rPr>
        <w:t>'</w:t>
      </w:r>
      <w:r w:rsidRPr="00751128">
        <w:rPr>
          <w:rFonts w:asciiTheme="majorBidi" w:hAnsiTheme="majorBidi" w:cstheme="majorBidi"/>
          <w:szCs w:val="24"/>
          <w:lang w:val="fr-FR"/>
        </w:rPr>
        <w:t>études de l</w:t>
      </w:r>
      <w:r w:rsidR="00E31B2B">
        <w:rPr>
          <w:rFonts w:asciiTheme="majorBidi" w:hAnsiTheme="majorBidi" w:cstheme="majorBidi"/>
          <w:szCs w:val="24"/>
          <w:lang w:val="fr-FR"/>
        </w:rPr>
        <w:t>'</w:t>
      </w:r>
      <w:r w:rsidRPr="00751128">
        <w:rPr>
          <w:rFonts w:asciiTheme="majorBidi" w:hAnsiTheme="majorBidi" w:cstheme="majorBidi"/>
          <w:szCs w:val="24"/>
          <w:lang w:val="fr-FR"/>
        </w:rPr>
        <w:t>UIT-T en vue de l</w:t>
      </w:r>
      <w:r w:rsidR="00E31B2B">
        <w:rPr>
          <w:rFonts w:asciiTheme="majorBidi" w:hAnsiTheme="majorBidi" w:cstheme="majorBidi"/>
          <w:szCs w:val="24"/>
          <w:lang w:val="fr-FR"/>
        </w:rPr>
        <w:t>'</w:t>
      </w:r>
      <w:r w:rsidRPr="00751128">
        <w:rPr>
          <w:rFonts w:asciiTheme="majorBidi" w:hAnsiTheme="majorBidi" w:cstheme="majorBidi"/>
          <w:szCs w:val="24"/>
          <w:lang w:val="fr-FR"/>
        </w:rPr>
        <w:t xml:space="preserve">AMNT-24, en tenant compte, notamment, des contributions déjà disponibles sur les principes régissant la restructuration. Le rapport du Groupe de travail par correspondance figure dans le Document </w:t>
      </w:r>
      <w:hyperlink r:id="rId128" w:history="1">
        <w:r w:rsidRPr="00751128">
          <w:rPr>
            <w:rStyle w:val="Hyperlink"/>
            <w:lang w:val="fr-FR"/>
          </w:rPr>
          <w:t>TSAG-TD1077</w:t>
        </w:r>
      </w:hyperlink>
      <w:r w:rsidRPr="00751128">
        <w:rPr>
          <w:rFonts w:asciiTheme="majorBidi" w:hAnsiTheme="majorBidi" w:cstheme="majorBidi"/>
          <w:szCs w:val="24"/>
          <w:lang w:val="fr-FR"/>
        </w:rPr>
        <w:t>, et le plan d</w:t>
      </w:r>
      <w:r w:rsidR="00E31B2B">
        <w:rPr>
          <w:rFonts w:asciiTheme="majorBidi" w:hAnsiTheme="majorBidi" w:cstheme="majorBidi"/>
          <w:szCs w:val="24"/>
          <w:lang w:val="fr-FR"/>
        </w:rPr>
        <w:t>'</w:t>
      </w:r>
      <w:r w:rsidRPr="00751128">
        <w:rPr>
          <w:rFonts w:asciiTheme="majorBidi" w:hAnsiTheme="majorBidi" w:cstheme="majorBidi"/>
          <w:szCs w:val="24"/>
          <w:lang w:val="fr-FR"/>
        </w:rPr>
        <w:t xml:space="preserve">action élaboré se trouve dans le Document </w:t>
      </w:r>
      <w:hyperlink r:id="rId129" w:history="1">
        <w:r w:rsidRPr="00751128">
          <w:rPr>
            <w:rStyle w:val="Hyperlink"/>
            <w:rFonts w:asciiTheme="majorBidi" w:hAnsiTheme="majorBidi" w:cstheme="majorBidi"/>
            <w:szCs w:val="24"/>
            <w:lang w:val="fr-FR"/>
          </w:rPr>
          <w:t>TSAG-TD1078</w:t>
        </w:r>
      </w:hyperlink>
      <w:r w:rsidRPr="00751128">
        <w:rPr>
          <w:rFonts w:asciiTheme="majorBidi" w:hAnsiTheme="majorBidi" w:cstheme="majorBidi"/>
          <w:szCs w:val="24"/>
          <w:lang w:val="fr-FR"/>
        </w:rPr>
        <w:t xml:space="preserve"> ("Projet F"). Le plan d</w:t>
      </w:r>
      <w:r w:rsidR="00E31B2B">
        <w:rPr>
          <w:rFonts w:asciiTheme="majorBidi" w:hAnsiTheme="majorBidi" w:cstheme="majorBidi"/>
          <w:szCs w:val="24"/>
          <w:lang w:val="fr-FR"/>
        </w:rPr>
        <w:t>'</w:t>
      </w:r>
      <w:r w:rsidRPr="00751128">
        <w:rPr>
          <w:rFonts w:asciiTheme="majorBidi" w:hAnsiTheme="majorBidi" w:cstheme="majorBidi"/>
          <w:szCs w:val="24"/>
          <w:lang w:val="fr-FR"/>
        </w:rPr>
        <w:t>action a été établi sous sa forme finale et transmis à l</w:t>
      </w:r>
      <w:r w:rsidR="00E31B2B">
        <w:rPr>
          <w:rFonts w:asciiTheme="majorBidi" w:hAnsiTheme="majorBidi" w:cstheme="majorBidi"/>
          <w:szCs w:val="24"/>
          <w:lang w:val="fr-FR"/>
        </w:rPr>
        <w:t>'</w:t>
      </w:r>
      <w:r w:rsidRPr="00751128">
        <w:rPr>
          <w:rFonts w:asciiTheme="majorBidi" w:hAnsiTheme="majorBidi" w:cstheme="majorBidi"/>
          <w:szCs w:val="24"/>
          <w:lang w:val="fr-FR"/>
        </w:rPr>
        <w:t>AMNT en vue d</w:t>
      </w:r>
      <w:r w:rsidR="00E31B2B">
        <w:rPr>
          <w:rFonts w:asciiTheme="majorBidi" w:hAnsiTheme="majorBidi" w:cstheme="majorBidi"/>
          <w:szCs w:val="24"/>
          <w:lang w:val="fr-FR"/>
        </w:rPr>
        <w:t>'</w:t>
      </w:r>
      <w:r w:rsidRPr="00751128">
        <w:rPr>
          <w:rFonts w:asciiTheme="majorBidi" w:hAnsiTheme="majorBidi" w:cstheme="majorBidi"/>
          <w:szCs w:val="24"/>
          <w:lang w:val="fr-FR"/>
        </w:rPr>
        <w:t>être examiné plus avant lors de la réunion intérimaire du Groupe RG</w:t>
      </w:r>
      <w:r w:rsidRPr="00751128">
        <w:rPr>
          <w:rFonts w:asciiTheme="majorBidi" w:hAnsiTheme="majorBidi" w:cstheme="majorBidi"/>
          <w:szCs w:val="24"/>
          <w:lang w:val="fr-FR"/>
        </w:rPr>
        <w:noBreakHyphen/>
        <w:t>WP du GCNT tenue les 22 et 23 novembre 2021. La version à jour figure dans le Document </w:t>
      </w:r>
      <w:hyperlink r:id="rId130" w:history="1">
        <w:r w:rsidRPr="00751128">
          <w:rPr>
            <w:rStyle w:val="Hyperlink"/>
            <w:lang w:val="fr-FR"/>
          </w:rPr>
          <w:t>TSAG-TD1237</w:t>
        </w:r>
      </w:hyperlink>
      <w:r w:rsidRPr="00751128">
        <w:rPr>
          <w:rFonts w:asciiTheme="majorBidi" w:hAnsiTheme="majorBidi" w:cstheme="majorBidi"/>
          <w:szCs w:val="24"/>
          <w:lang w:val="fr-FR"/>
        </w:rPr>
        <w:t>.</w:t>
      </w:r>
    </w:p>
    <w:p w14:paraId="51CF1CE3" w14:textId="3EBEA26D" w:rsidR="00DC42BA" w:rsidRPr="00751128" w:rsidRDefault="00DC42BA" w:rsidP="00E31B2B">
      <w:pPr>
        <w:pStyle w:val="Heading2"/>
        <w:rPr>
          <w:lang w:val="fr-FR"/>
        </w:rPr>
      </w:pPr>
      <w:bookmarkStart w:id="34" w:name="_Toc454289969"/>
      <w:bookmarkStart w:id="35" w:name="_Toc454289970"/>
      <w:bookmarkStart w:id="36" w:name="_Toc454289972"/>
      <w:bookmarkStart w:id="37" w:name="_Toc454289975"/>
      <w:bookmarkStart w:id="38" w:name="_Toc454289980"/>
      <w:bookmarkStart w:id="39" w:name="_Toc454289985"/>
      <w:bookmarkStart w:id="40" w:name="_Toc454289987"/>
      <w:bookmarkStart w:id="41" w:name="_Toc93408225"/>
      <w:bookmarkStart w:id="42" w:name="_Toc94876343"/>
      <w:bookmarkEnd w:id="34"/>
      <w:bookmarkEnd w:id="35"/>
      <w:bookmarkEnd w:id="36"/>
      <w:bookmarkEnd w:id="37"/>
      <w:bookmarkEnd w:id="38"/>
      <w:bookmarkEnd w:id="39"/>
      <w:bookmarkEnd w:id="40"/>
      <w:r w:rsidRPr="00751128">
        <w:rPr>
          <w:lang w:val="fr-FR"/>
        </w:rPr>
        <w:t>3.3</w:t>
      </w:r>
      <w:r w:rsidRPr="00751128">
        <w:rPr>
          <w:lang w:val="fr-FR"/>
        </w:rPr>
        <w:tab/>
        <w:t>Groupes spécialisés de l</w:t>
      </w:r>
      <w:r w:rsidR="00E31B2B">
        <w:rPr>
          <w:lang w:val="fr-FR"/>
        </w:rPr>
        <w:t>'</w:t>
      </w:r>
      <w:r w:rsidRPr="00751128">
        <w:rPr>
          <w:lang w:val="fr-FR"/>
        </w:rPr>
        <w:t>UIT-T rattachés au GCNT</w:t>
      </w:r>
      <w:bookmarkEnd w:id="41"/>
      <w:bookmarkEnd w:id="42"/>
    </w:p>
    <w:p w14:paraId="119402BD" w14:textId="2A209607" w:rsidR="00DC42BA" w:rsidRPr="00751128" w:rsidRDefault="00DC42BA" w:rsidP="00E31B2B">
      <w:pPr>
        <w:pStyle w:val="Heading3"/>
        <w:rPr>
          <w:lang w:val="fr-FR"/>
        </w:rPr>
      </w:pPr>
      <w:r w:rsidRPr="00751128">
        <w:rPr>
          <w:lang w:val="fr-FR"/>
        </w:rPr>
        <w:t>3.3.1</w:t>
      </w:r>
      <w:r w:rsidRPr="00751128">
        <w:rPr>
          <w:lang w:val="fr-FR"/>
        </w:rPr>
        <w:tab/>
        <w:t>Groupe spécialisé de l</w:t>
      </w:r>
      <w:r w:rsidR="00E31B2B">
        <w:rPr>
          <w:lang w:val="fr-FR"/>
        </w:rPr>
        <w:t>'</w:t>
      </w:r>
      <w:r w:rsidRPr="00751128">
        <w:rPr>
          <w:lang w:val="fr-FR"/>
        </w:rPr>
        <w:t>UIT-T sur la monnaie numérique, y compris la monnaie fiduciaire numérique (FG-DFC)</w:t>
      </w:r>
    </w:p>
    <w:p w14:paraId="353CB722" w14:textId="3D206599" w:rsidR="00E31B2B" w:rsidRDefault="00DC42BA" w:rsidP="00E31B2B">
      <w:pPr>
        <w:rPr>
          <w:lang w:val="fr-FR"/>
        </w:rPr>
      </w:pPr>
      <w:r w:rsidRPr="00751128">
        <w:rPr>
          <w:lang w:val="fr-FR"/>
        </w:rPr>
        <w:t>En mai 2017, le GCNT a créé le Groupe spécialisé de l</w:t>
      </w:r>
      <w:r w:rsidR="00E31B2B">
        <w:rPr>
          <w:lang w:val="fr-FR"/>
        </w:rPr>
        <w:t>'</w:t>
      </w:r>
      <w:r w:rsidRPr="00751128">
        <w:rPr>
          <w:lang w:val="fr-FR"/>
        </w:rPr>
        <w:t>UIT-T sur la monnaie numérique, y compris la monnaie fiduciaire numérique (FG-DFC), dont le mandat est défini dans l</w:t>
      </w:r>
      <w:r w:rsidR="00E31B2B">
        <w:rPr>
          <w:lang w:val="fr-FR"/>
        </w:rPr>
        <w:t>'</w:t>
      </w:r>
      <w:hyperlink r:id="rId131" w:history="1">
        <w:r w:rsidRPr="00751128">
          <w:rPr>
            <w:rStyle w:val="Hyperlink"/>
            <w:lang w:val="fr-FR"/>
          </w:rPr>
          <w:t>Annexe C du Document TSAG-R1</w:t>
        </w:r>
      </w:hyperlink>
      <w:r w:rsidRPr="00751128">
        <w:rPr>
          <w:lang w:val="fr-FR"/>
        </w:rPr>
        <w:t xml:space="preserve"> (le GCNT a prorogé ce mandat à une reprise). Ce Groupe a été dissous après avoir achevé ses travaux en juin 2019. Le Groupe FG-DFC a mis en place un espace de dialogue entre les acteurs des secteurs bancaire</w:t>
      </w:r>
      <w:r w:rsidR="0026213A">
        <w:rPr>
          <w:lang w:val="fr-FR"/>
        </w:rPr>
        <w:t>s</w:t>
      </w:r>
      <w:r w:rsidRPr="00751128">
        <w:rPr>
          <w:lang w:val="fr-FR"/>
        </w:rPr>
        <w:t>, des technologies financières et des télécommunications, afin qu</w:t>
      </w:r>
      <w:r w:rsidR="00E31B2B">
        <w:rPr>
          <w:lang w:val="fr-FR"/>
        </w:rPr>
        <w:t>'</w:t>
      </w:r>
      <w:r w:rsidRPr="00751128">
        <w:rPr>
          <w:lang w:val="fr-FR"/>
        </w:rPr>
        <w:t>ils puissent échanger des informations et des bonnes pratiques, élaborer une série de produits et présenter des innovations, les besoins en matière d</w:t>
      </w:r>
      <w:r w:rsidR="00E31B2B">
        <w:rPr>
          <w:lang w:val="fr-FR"/>
        </w:rPr>
        <w:t>'</w:t>
      </w:r>
      <w:r w:rsidRPr="00751128">
        <w:rPr>
          <w:lang w:val="fr-FR"/>
        </w:rPr>
        <w:t xml:space="preserve">infrastructure de réseau et les activités de normalisation dans le domaine des monnaies numériques émises par les banques centrales. Le </w:t>
      </w:r>
      <w:r w:rsidR="00E31B2B">
        <w:rPr>
          <w:lang w:val="fr-FR"/>
        </w:rPr>
        <w:br w:type="page"/>
      </w:r>
    </w:p>
    <w:p w14:paraId="7639D111" w14:textId="09A104AE" w:rsidR="00DC42BA" w:rsidRPr="00751128" w:rsidRDefault="00DC42BA" w:rsidP="00E31B2B">
      <w:pPr>
        <w:rPr>
          <w:lang w:val="fr-FR"/>
        </w:rPr>
      </w:pPr>
      <w:r w:rsidRPr="00751128">
        <w:rPr>
          <w:lang w:val="fr-FR"/>
        </w:rPr>
        <w:lastRenderedPageBreak/>
        <w:t xml:space="preserve">rapport final de ce Groupe spécialisé figure dans le Document </w:t>
      </w:r>
      <w:hyperlink r:id="rId132" w:history="1">
        <w:r w:rsidRPr="00751128">
          <w:rPr>
            <w:rStyle w:val="Hyperlink"/>
            <w:lang w:val="fr-FR" w:eastAsia="zh-CN"/>
          </w:rPr>
          <w:t>TSAG-TD476</w:t>
        </w:r>
      </w:hyperlink>
      <w:r w:rsidRPr="00751128">
        <w:rPr>
          <w:lang w:val="fr-FR"/>
        </w:rPr>
        <w:t>. Le Groupe FG-DFC a élaboré les sept rapports techniques ci-après, qui ont été transmis aux CE 3, 16 et 17 de l</w:t>
      </w:r>
      <w:r w:rsidR="00E31B2B">
        <w:rPr>
          <w:lang w:val="fr-FR"/>
        </w:rPr>
        <w:t>'</w:t>
      </w:r>
      <w:r w:rsidRPr="00751128">
        <w:rPr>
          <w:lang w:val="fr-FR"/>
        </w:rPr>
        <w:t>UIT-T (</w:t>
      </w:r>
      <w:hyperlink r:id="rId133" w:history="1">
        <w:r w:rsidRPr="00751128">
          <w:rPr>
            <w:rStyle w:val="Hyperlink"/>
            <w:lang w:val="fr-FR"/>
          </w:rPr>
          <w:t>Note de liaison 25 du GCNT</w:t>
        </w:r>
      </w:hyperlink>
      <w:r w:rsidRPr="00751128">
        <w:rPr>
          <w:lang w:val="fr-FR"/>
        </w:rPr>
        <w:t xml:space="preserve">) pour examen </w:t>
      </w:r>
      <w:r w:rsidRPr="00751128">
        <w:rPr>
          <w:color w:val="000000"/>
          <w:lang w:val="fr-FR"/>
        </w:rPr>
        <w:t>complémentaire</w:t>
      </w:r>
      <w:r w:rsidRPr="00751128">
        <w:rPr>
          <w:lang w:val="fr-FR"/>
        </w:rPr>
        <w:t>:</w:t>
      </w:r>
    </w:p>
    <w:p w14:paraId="23167329" w14:textId="77777777" w:rsidR="00DC42BA" w:rsidRPr="00751128" w:rsidRDefault="00DC42BA" w:rsidP="00E31B2B">
      <w:pPr>
        <w:pStyle w:val="enumlev1"/>
        <w:rPr>
          <w:lang w:val="fr-FR"/>
        </w:rPr>
      </w:pPr>
      <w:r w:rsidRPr="00751128">
        <w:rPr>
          <w:lang w:val="fr-FR"/>
        </w:rPr>
        <w:t>•</w:t>
      </w:r>
      <w:r w:rsidRPr="00751128">
        <w:rPr>
          <w:lang w:val="fr-FR"/>
        </w:rPr>
        <w:tab/>
        <w:t>Documents de référence sur les aspects liés à la gouvernance de la monnaie fiduciaire numérique.</w:t>
      </w:r>
    </w:p>
    <w:p w14:paraId="2F4CBAA5" w14:textId="77777777" w:rsidR="00DC42BA" w:rsidRPr="00751128" w:rsidRDefault="00DC42BA" w:rsidP="00E31B2B">
      <w:pPr>
        <w:pStyle w:val="enumlev1"/>
        <w:rPr>
          <w:lang w:val="fr-FR"/>
        </w:rPr>
      </w:pPr>
      <w:r w:rsidRPr="00751128">
        <w:rPr>
          <w:lang w:val="fr-FR"/>
        </w:rPr>
        <w:t>•</w:t>
      </w:r>
      <w:r w:rsidRPr="00751128">
        <w:rPr>
          <w:lang w:val="fr-FR"/>
        </w:rPr>
        <w:tab/>
        <w:t>Liste de contrôle relative à la mise en œuvre de la monnaie numérique pour les banques centrales.</w:t>
      </w:r>
    </w:p>
    <w:p w14:paraId="2DA1221C" w14:textId="77777777" w:rsidR="00DC42BA" w:rsidRPr="00751128" w:rsidRDefault="00DC42BA" w:rsidP="00E31B2B">
      <w:pPr>
        <w:pStyle w:val="enumlev1"/>
        <w:rPr>
          <w:lang w:val="fr-FR"/>
        </w:rPr>
      </w:pPr>
      <w:r w:rsidRPr="00751128">
        <w:rPr>
          <w:lang w:val="fr-FR"/>
        </w:rPr>
        <w:t>•</w:t>
      </w:r>
      <w:r w:rsidRPr="00751128">
        <w:rPr>
          <w:lang w:val="fr-FR"/>
        </w:rPr>
        <w:tab/>
        <w:t>Enjeux réglementaires et risques associés à la monnaie numérique des banques centrales.</w:t>
      </w:r>
    </w:p>
    <w:p w14:paraId="19A661AB" w14:textId="77777777" w:rsidR="00DC42BA" w:rsidRPr="00751128" w:rsidRDefault="00DC42BA" w:rsidP="00E31B2B">
      <w:pPr>
        <w:pStyle w:val="enumlev1"/>
        <w:rPr>
          <w:lang w:val="fr-FR"/>
        </w:rPr>
      </w:pPr>
      <w:r w:rsidRPr="00751128">
        <w:rPr>
          <w:lang w:val="fr-FR"/>
        </w:rPr>
        <w:t>•</w:t>
      </w:r>
      <w:r w:rsidRPr="00751128">
        <w:rPr>
          <w:lang w:val="fr-FR"/>
        </w:rPr>
        <w:tab/>
        <w:t>Taxonomie et définition des termes relatifs à la monnaie fiduciaire numérique.</w:t>
      </w:r>
    </w:p>
    <w:p w14:paraId="1EFD9A44" w14:textId="23A57343" w:rsidR="00DC42BA" w:rsidRPr="00751128" w:rsidRDefault="00DC42BA" w:rsidP="00E31B2B">
      <w:pPr>
        <w:pStyle w:val="enumlev1"/>
        <w:rPr>
          <w:lang w:val="fr-FR"/>
        </w:rPr>
      </w:pPr>
      <w:r w:rsidRPr="00751128">
        <w:rPr>
          <w:lang w:val="fr-FR"/>
        </w:rPr>
        <w:t>•</w:t>
      </w:r>
      <w:r w:rsidRPr="00751128">
        <w:rPr>
          <w:lang w:val="fr-FR"/>
        </w:rPr>
        <w:tab/>
        <w:t>Architecture de référence et cas d</w:t>
      </w:r>
      <w:r w:rsidR="00E31B2B">
        <w:rPr>
          <w:lang w:val="fr-FR"/>
        </w:rPr>
        <w:t>'</w:t>
      </w:r>
      <w:r w:rsidRPr="00751128">
        <w:rPr>
          <w:lang w:val="fr-FR"/>
        </w:rPr>
        <w:t>utilisation relatifs à la monnaie numérique des banques centrales.</w:t>
      </w:r>
    </w:p>
    <w:p w14:paraId="0213DE93" w14:textId="77777777" w:rsidR="00DC42BA" w:rsidRPr="00751128" w:rsidRDefault="00DC42BA" w:rsidP="00E31B2B">
      <w:pPr>
        <w:pStyle w:val="enumlev1"/>
        <w:rPr>
          <w:lang w:val="fr-FR"/>
        </w:rPr>
      </w:pPr>
      <w:r w:rsidRPr="00751128">
        <w:rPr>
          <w:lang w:val="fr-FR"/>
        </w:rPr>
        <w:t>•</w:t>
      </w:r>
      <w:r w:rsidRPr="00751128">
        <w:rPr>
          <w:lang w:val="fr-FR"/>
        </w:rPr>
        <w:tab/>
        <w:t>Garantie de protection pour les devises numériques.</w:t>
      </w:r>
    </w:p>
    <w:p w14:paraId="4F4E65E6" w14:textId="42370401" w:rsidR="00DC42BA" w:rsidRPr="00751128" w:rsidRDefault="00DC42BA" w:rsidP="00E31B2B">
      <w:pPr>
        <w:pStyle w:val="enumlev1"/>
        <w:rPr>
          <w:lang w:val="fr-FR"/>
        </w:rPr>
      </w:pPr>
      <w:r w:rsidRPr="00751128">
        <w:rPr>
          <w:lang w:val="fr-FR"/>
        </w:rPr>
        <w:t>•</w:t>
      </w:r>
      <w:r w:rsidRPr="00751128">
        <w:rPr>
          <w:lang w:val="fr-FR"/>
        </w:rPr>
        <w:tab/>
        <w:t>Cas d</w:t>
      </w:r>
      <w:r w:rsidR="00E31B2B">
        <w:rPr>
          <w:lang w:val="fr-FR"/>
        </w:rPr>
        <w:t>'</w:t>
      </w:r>
      <w:r w:rsidRPr="00751128">
        <w:rPr>
          <w:lang w:val="fr-FR"/>
        </w:rPr>
        <w:t>utilisation de la garantie de protection pour une transaction de paiement.</w:t>
      </w:r>
    </w:p>
    <w:p w14:paraId="0DA800C0" w14:textId="28F7806C" w:rsidR="00DC42BA" w:rsidRPr="00751128" w:rsidRDefault="00DC42BA" w:rsidP="00E31B2B">
      <w:pPr>
        <w:pStyle w:val="Heading3"/>
        <w:rPr>
          <w:lang w:val="fr-FR"/>
        </w:rPr>
      </w:pPr>
      <w:r w:rsidRPr="00751128">
        <w:rPr>
          <w:lang w:val="fr-FR"/>
        </w:rPr>
        <w:t>3.3.2</w:t>
      </w:r>
      <w:r w:rsidRPr="00751128">
        <w:rPr>
          <w:lang w:val="fr-FR"/>
        </w:rPr>
        <w:tab/>
        <w:t>Groupe spécialisé de l</w:t>
      </w:r>
      <w:r w:rsidR="00E31B2B">
        <w:rPr>
          <w:lang w:val="fr-FR"/>
        </w:rPr>
        <w:t>'</w:t>
      </w:r>
      <w:r w:rsidRPr="00751128">
        <w:rPr>
          <w:lang w:val="fr-FR"/>
        </w:rPr>
        <w:t>UIT-T sur l</w:t>
      </w:r>
      <w:r w:rsidR="00E31B2B">
        <w:rPr>
          <w:lang w:val="fr-FR"/>
        </w:rPr>
        <w:t>'</w:t>
      </w:r>
      <w:r w:rsidRPr="00751128">
        <w:rPr>
          <w:lang w:val="fr-FR"/>
        </w:rPr>
        <w:t>application de la technologie des registres distribués (FG-DLT)</w:t>
      </w:r>
    </w:p>
    <w:p w14:paraId="01318837" w14:textId="6F306E7D" w:rsidR="00DC42BA" w:rsidRPr="00751128" w:rsidRDefault="00DC42BA" w:rsidP="00E31B2B">
      <w:pPr>
        <w:rPr>
          <w:lang w:val="fr-FR"/>
        </w:rPr>
      </w:pPr>
      <w:r w:rsidRPr="00751128">
        <w:rPr>
          <w:lang w:val="fr-FR"/>
        </w:rPr>
        <w:t>Le Groupe spécialisé de l</w:t>
      </w:r>
      <w:r w:rsidR="00E31B2B">
        <w:rPr>
          <w:lang w:val="fr-FR"/>
        </w:rPr>
        <w:t>'</w:t>
      </w:r>
      <w:r w:rsidRPr="00751128">
        <w:rPr>
          <w:lang w:val="fr-FR"/>
        </w:rPr>
        <w:t>UIT-T sur l</w:t>
      </w:r>
      <w:r w:rsidR="00E31B2B">
        <w:rPr>
          <w:lang w:val="fr-FR"/>
        </w:rPr>
        <w:t>'</w:t>
      </w:r>
      <w:r w:rsidRPr="00751128">
        <w:rPr>
          <w:lang w:val="fr-FR"/>
        </w:rPr>
        <w:t>application de la technologie des registres distribués (FG</w:t>
      </w:r>
      <w:r w:rsidRPr="00751128">
        <w:rPr>
          <w:lang w:val="fr-FR"/>
        </w:rPr>
        <w:noBreakHyphen/>
        <w:t>DLT), dont le mandat est défini dans l</w:t>
      </w:r>
      <w:r w:rsidR="00E31B2B">
        <w:rPr>
          <w:lang w:val="fr-FR"/>
        </w:rPr>
        <w:t>'</w:t>
      </w:r>
      <w:hyperlink r:id="rId134" w:history="1">
        <w:r w:rsidRPr="00751128">
          <w:rPr>
            <w:rStyle w:val="Hyperlink"/>
            <w:lang w:val="fr-FR"/>
          </w:rPr>
          <w:t>Annexe D du Document TSAG-R1</w:t>
        </w:r>
      </w:hyperlink>
      <w:r w:rsidRPr="00751128">
        <w:rPr>
          <w:lang w:val="fr-FR"/>
        </w:rPr>
        <w:t xml:space="preserve"> (le GCNT a prorogé ce mandat à une reprise), a été créé en mai 2017 par le GCNT et a été dissous après avoir achevé ses travaux le 1er août 2019. Le rapport final de ce Groupe spécialisé figure dans le Document </w:t>
      </w:r>
      <w:hyperlink r:id="rId135" w:history="1">
        <w:r w:rsidRPr="00751128">
          <w:rPr>
            <w:rStyle w:val="Hyperlink"/>
            <w:lang w:val="fr-FR" w:eastAsia="zh-CN"/>
          </w:rPr>
          <w:t>TSAG</w:t>
        </w:r>
        <w:r w:rsidRPr="00751128">
          <w:rPr>
            <w:rStyle w:val="Hyperlink"/>
            <w:lang w:val="fr-FR" w:eastAsia="zh-CN"/>
          </w:rPr>
          <w:noBreakHyphen/>
          <w:t>TD475</w:t>
        </w:r>
      </w:hyperlink>
      <w:r w:rsidRPr="00751128">
        <w:rPr>
          <w:rStyle w:val="Hyperlink"/>
          <w:u w:val="none"/>
          <w:lang w:val="fr-FR" w:eastAsia="zh-CN"/>
        </w:rPr>
        <w:t xml:space="preserve">. </w:t>
      </w:r>
      <w:r w:rsidRPr="00751128">
        <w:rPr>
          <w:lang w:val="fr-FR"/>
        </w:rPr>
        <w:t>Le Groupe FG-DLT a élaboré les huit produits finals ci-après (cinq rapports techniques et trois spécifications techniques), qui ont été transmis aux CE 16 et 17 de l</w:t>
      </w:r>
      <w:r w:rsidR="00E31B2B">
        <w:rPr>
          <w:lang w:val="fr-FR"/>
        </w:rPr>
        <w:t>'</w:t>
      </w:r>
      <w:r w:rsidRPr="00751128">
        <w:rPr>
          <w:lang w:val="fr-FR"/>
        </w:rPr>
        <w:t>UIT-T (</w:t>
      </w:r>
      <w:hyperlink r:id="rId136" w:history="1">
        <w:r w:rsidRPr="00751128">
          <w:rPr>
            <w:rStyle w:val="Hyperlink"/>
            <w:lang w:val="fr-FR"/>
          </w:rPr>
          <w:t>Note de liaison 24 du GCNT</w:t>
        </w:r>
      </w:hyperlink>
      <w:r w:rsidRPr="00751128">
        <w:rPr>
          <w:lang w:val="fr-FR"/>
        </w:rPr>
        <w:t>) pour examen complémentaire:</w:t>
      </w:r>
    </w:p>
    <w:p w14:paraId="64435DE0" w14:textId="77777777" w:rsidR="00DC42BA" w:rsidRPr="00751128" w:rsidRDefault="00DC42BA" w:rsidP="00E31B2B">
      <w:pPr>
        <w:pStyle w:val="enumlev1"/>
        <w:rPr>
          <w:lang w:val="fr-FR"/>
        </w:rPr>
      </w:pPr>
      <w:r w:rsidRPr="00751128">
        <w:rPr>
          <w:lang w:val="fr-FR"/>
        </w:rPr>
        <w:t>•</w:t>
      </w:r>
      <w:r w:rsidRPr="00751128">
        <w:rPr>
          <w:lang w:val="fr-FR"/>
        </w:rPr>
        <w:tab/>
        <w:t>Termes et définitions applicables à la technologie DLT</w:t>
      </w:r>
    </w:p>
    <w:p w14:paraId="0775478D" w14:textId="77777777" w:rsidR="00DC42BA" w:rsidRPr="00751128" w:rsidRDefault="00DC42BA" w:rsidP="00E31B2B">
      <w:pPr>
        <w:pStyle w:val="enumlev1"/>
        <w:rPr>
          <w:lang w:val="fr-FR"/>
        </w:rPr>
      </w:pPr>
      <w:r w:rsidRPr="00751128">
        <w:rPr>
          <w:lang w:val="fr-FR"/>
        </w:rPr>
        <w:t>•</w:t>
      </w:r>
      <w:r w:rsidRPr="00751128">
        <w:rPr>
          <w:lang w:val="fr-FR"/>
        </w:rPr>
        <w:tab/>
        <w:t>Aperçu, concepts et écosystème de la technologie DLT</w:t>
      </w:r>
    </w:p>
    <w:p w14:paraId="39469DC0" w14:textId="77777777" w:rsidR="00DC42BA" w:rsidRPr="00751128" w:rsidRDefault="00DC42BA" w:rsidP="00E31B2B">
      <w:pPr>
        <w:pStyle w:val="enumlev1"/>
        <w:rPr>
          <w:lang w:val="fr-FR"/>
        </w:rPr>
      </w:pPr>
      <w:r w:rsidRPr="00751128">
        <w:rPr>
          <w:lang w:val="fr-FR"/>
        </w:rPr>
        <w:t>•</w:t>
      </w:r>
      <w:r w:rsidRPr="00751128">
        <w:rPr>
          <w:lang w:val="fr-FR"/>
        </w:rPr>
        <w:tab/>
        <w:t>Environnement de normalisation de la technologie DLT</w:t>
      </w:r>
    </w:p>
    <w:p w14:paraId="651EAB0F" w14:textId="48EF2522" w:rsidR="00DC42BA" w:rsidRPr="00751128" w:rsidRDefault="00DC42BA" w:rsidP="00E31B2B">
      <w:pPr>
        <w:pStyle w:val="enumlev1"/>
        <w:rPr>
          <w:lang w:val="fr-FR"/>
        </w:rPr>
      </w:pPr>
      <w:r w:rsidRPr="00751128">
        <w:rPr>
          <w:lang w:val="fr-FR"/>
        </w:rPr>
        <w:t>•</w:t>
      </w:r>
      <w:r w:rsidRPr="00751128">
        <w:rPr>
          <w:lang w:val="fr-FR"/>
        </w:rPr>
        <w:tab/>
        <w:t>Cas d</w:t>
      </w:r>
      <w:r w:rsidR="00E31B2B">
        <w:rPr>
          <w:lang w:val="fr-FR"/>
        </w:rPr>
        <w:t>'</w:t>
      </w:r>
      <w:r w:rsidRPr="00751128">
        <w:rPr>
          <w:lang w:val="fr-FR"/>
        </w:rPr>
        <w:t>utilisation de la technologie DLT</w:t>
      </w:r>
    </w:p>
    <w:p w14:paraId="64955642" w14:textId="77777777" w:rsidR="00DC42BA" w:rsidRPr="00751128" w:rsidRDefault="00DC42BA" w:rsidP="00E31B2B">
      <w:pPr>
        <w:pStyle w:val="enumlev1"/>
        <w:rPr>
          <w:lang w:val="fr-FR"/>
        </w:rPr>
      </w:pPr>
      <w:r w:rsidRPr="00751128">
        <w:rPr>
          <w:lang w:val="fr-FR"/>
        </w:rPr>
        <w:t>•</w:t>
      </w:r>
      <w:r w:rsidRPr="00751128">
        <w:rPr>
          <w:lang w:val="fr-FR"/>
        </w:rPr>
        <w:tab/>
        <w:t>Architecture de référence de la technologie DLT</w:t>
      </w:r>
    </w:p>
    <w:p w14:paraId="501B0CD3" w14:textId="08213A66" w:rsidR="00DC42BA" w:rsidRPr="00751128" w:rsidRDefault="00DC42BA" w:rsidP="00E31B2B">
      <w:pPr>
        <w:pStyle w:val="enumlev1"/>
        <w:rPr>
          <w:lang w:val="fr-FR"/>
        </w:rPr>
      </w:pPr>
      <w:r w:rsidRPr="00751128">
        <w:rPr>
          <w:lang w:val="fr-FR"/>
        </w:rPr>
        <w:t>•</w:t>
      </w:r>
      <w:r w:rsidRPr="00751128">
        <w:rPr>
          <w:lang w:val="fr-FR"/>
        </w:rPr>
        <w:tab/>
        <w:t>Critères d</w:t>
      </w:r>
      <w:r w:rsidR="00E31B2B">
        <w:rPr>
          <w:lang w:val="fr-FR"/>
        </w:rPr>
        <w:t>'</w:t>
      </w:r>
      <w:r w:rsidRPr="00751128">
        <w:rPr>
          <w:lang w:val="fr-FR"/>
        </w:rPr>
        <w:t>évaluation des plates-formes DLT</w:t>
      </w:r>
    </w:p>
    <w:p w14:paraId="38C7D53E" w14:textId="77777777" w:rsidR="00DC42BA" w:rsidRPr="00751128" w:rsidRDefault="00DC42BA" w:rsidP="00E31B2B">
      <w:pPr>
        <w:pStyle w:val="enumlev1"/>
        <w:rPr>
          <w:lang w:val="fr-FR"/>
        </w:rPr>
      </w:pPr>
      <w:r w:rsidRPr="00751128">
        <w:rPr>
          <w:lang w:val="fr-FR"/>
        </w:rPr>
        <w:t>•</w:t>
      </w:r>
      <w:r w:rsidRPr="00751128">
        <w:rPr>
          <w:lang w:val="fr-FR"/>
        </w:rPr>
        <w:tab/>
        <w:t>Cadre réglementaire applicable à la technologie DLT</w:t>
      </w:r>
    </w:p>
    <w:p w14:paraId="654C7626" w14:textId="4B432D16" w:rsidR="00DC42BA" w:rsidRPr="00751128" w:rsidRDefault="00DC42BA" w:rsidP="00E31B2B">
      <w:pPr>
        <w:pStyle w:val="enumlev1"/>
        <w:rPr>
          <w:lang w:val="fr-FR"/>
        </w:rPr>
      </w:pPr>
      <w:r w:rsidRPr="00751128">
        <w:rPr>
          <w:lang w:val="fr-FR"/>
        </w:rPr>
        <w:t>•</w:t>
      </w:r>
      <w:r w:rsidRPr="00751128">
        <w:rPr>
          <w:lang w:val="fr-FR"/>
        </w:rPr>
        <w:tab/>
        <w:t>Perspectives d</w:t>
      </w:r>
      <w:r w:rsidR="00E31B2B">
        <w:rPr>
          <w:lang w:val="fr-FR"/>
        </w:rPr>
        <w:t>'</w:t>
      </w:r>
      <w:r w:rsidRPr="00751128">
        <w:rPr>
          <w:lang w:val="fr-FR"/>
        </w:rPr>
        <w:t>évolution de la technologie DLT.</w:t>
      </w:r>
    </w:p>
    <w:p w14:paraId="415D8CB6" w14:textId="1A56EDD8" w:rsidR="00DC42BA" w:rsidRPr="00751128" w:rsidRDefault="00DC42BA" w:rsidP="00E31B2B">
      <w:pPr>
        <w:pStyle w:val="Heading3"/>
        <w:rPr>
          <w:lang w:val="fr-FR"/>
        </w:rPr>
      </w:pPr>
      <w:r w:rsidRPr="00751128">
        <w:rPr>
          <w:lang w:val="fr-FR"/>
        </w:rPr>
        <w:t>3.3.3</w:t>
      </w:r>
      <w:r w:rsidRPr="00751128">
        <w:rPr>
          <w:lang w:val="fr-FR"/>
        </w:rPr>
        <w:tab/>
        <w:t>Groupe spécialisé de l</w:t>
      </w:r>
      <w:r w:rsidR="00E31B2B">
        <w:rPr>
          <w:lang w:val="fr-FR"/>
        </w:rPr>
        <w:t>'</w:t>
      </w:r>
      <w:r w:rsidRPr="00751128">
        <w:rPr>
          <w:lang w:val="fr-FR"/>
        </w:rPr>
        <w:t>UIT-T sur les services financiers numériques (FG-DFS)</w:t>
      </w:r>
    </w:p>
    <w:p w14:paraId="3CEBF417" w14:textId="5B773EC1" w:rsidR="00DC42BA" w:rsidRPr="00751128" w:rsidRDefault="00DC42BA" w:rsidP="00E31B2B">
      <w:pPr>
        <w:rPr>
          <w:lang w:val="fr-FR"/>
        </w:rPr>
      </w:pPr>
      <w:r w:rsidRPr="00751128">
        <w:rPr>
          <w:lang w:val="fr-FR"/>
        </w:rPr>
        <w:t>Le GCNT a examiné le rapport final du Groupe spécialisé de l</w:t>
      </w:r>
      <w:r w:rsidR="00E31B2B">
        <w:rPr>
          <w:lang w:val="fr-FR"/>
        </w:rPr>
        <w:t>'</w:t>
      </w:r>
      <w:r w:rsidRPr="00751128">
        <w:rPr>
          <w:lang w:val="fr-FR"/>
        </w:rPr>
        <w:t xml:space="preserve">UIT-T sur les services financiers numériques (FG-DFS) (Document </w:t>
      </w:r>
      <w:hyperlink r:id="rId137" w:history="1">
        <w:r w:rsidRPr="00751128">
          <w:rPr>
            <w:rStyle w:val="Hyperlink"/>
            <w:rFonts w:asciiTheme="majorBidi" w:hAnsiTheme="majorBidi" w:cstheme="majorBidi"/>
            <w:bCs/>
            <w:lang w:val="fr-FR"/>
          </w:rPr>
          <w:t>TSAG-TD36</w:t>
        </w:r>
      </w:hyperlink>
      <w:r w:rsidRPr="00751128">
        <w:rPr>
          <w:lang w:val="fr-FR"/>
        </w:rPr>
        <w:t>) ainsi que les résultats de ses travaux, qui ont pris fin en décembre 2016. Le Groupe FG-DFS a élaboré les 28 rapports techniques suivants:</w:t>
      </w:r>
    </w:p>
    <w:p w14:paraId="42FFE541" w14:textId="4A184942" w:rsidR="00DC42BA" w:rsidRPr="00751128" w:rsidRDefault="00DC42BA" w:rsidP="00E31B2B">
      <w:pPr>
        <w:pStyle w:val="enumlev1"/>
        <w:rPr>
          <w:lang w:val="fr-FR"/>
        </w:rPr>
      </w:pPr>
      <w:r w:rsidRPr="00751128">
        <w:rPr>
          <w:lang w:val="fr-FR"/>
        </w:rPr>
        <w:t>•</w:t>
      </w:r>
      <w:r w:rsidRPr="00751128">
        <w:rPr>
          <w:lang w:val="fr-FR"/>
        </w:rPr>
        <w:tab/>
        <w:t>L</w:t>
      </w:r>
      <w:r w:rsidR="00E31B2B">
        <w:rPr>
          <w:lang w:val="fr-FR"/>
        </w:rPr>
        <w:t>'</w:t>
      </w:r>
      <w:r w:rsidRPr="00751128">
        <w:rPr>
          <w:lang w:val="fr-FR"/>
        </w:rPr>
        <w:t>écosystème des services financiers numériques.</w:t>
      </w:r>
    </w:p>
    <w:p w14:paraId="6E0AD2B7" w14:textId="647E9D14" w:rsidR="00DC42BA" w:rsidRPr="00751128" w:rsidRDefault="00DC42BA" w:rsidP="00E31B2B">
      <w:pPr>
        <w:pStyle w:val="enumlev1"/>
        <w:rPr>
          <w:lang w:val="fr-FR"/>
        </w:rPr>
      </w:pPr>
      <w:r w:rsidRPr="00751128">
        <w:rPr>
          <w:lang w:val="fr-FR"/>
        </w:rPr>
        <w:t>•</w:t>
      </w:r>
      <w:r w:rsidRPr="00751128">
        <w:rPr>
          <w:lang w:val="fr-FR"/>
        </w:rPr>
        <w:tab/>
        <w:t>Permettre aux commerçants d</w:t>
      </w:r>
      <w:r w:rsidR="00E31B2B">
        <w:rPr>
          <w:lang w:val="fr-FR"/>
        </w:rPr>
        <w:t>'</w:t>
      </w:r>
      <w:r w:rsidRPr="00751128">
        <w:rPr>
          <w:lang w:val="fr-FR"/>
        </w:rPr>
        <w:t>accepter les paiements sur mobile dans les écosystèmes financiers numériques.</w:t>
      </w:r>
    </w:p>
    <w:p w14:paraId="3042AA19" w14:textId="77777777" w:rsidR="00DC42BA" w:rsidRPr="00751128" w:rsidRDefault="00DC42BA" w:rsidP="00E31B2B">
      <w:pPr>
        <w:pStyle w:val="enumlev1"/>
        <w:rPr>
          <w:lang w:val="fr-FR"/>
        </w:rPr>
      </w:pPr>
      <w:r w:rsidRPr="00751128">
        <w:rPr>
          <w:lang w:val="fr-FR"/>
        </w:rPr>
        <w:t>•</w:t>
      </w:r>
      <w:r w:rsidRPr="00751128">
        <w:rPr>
          <w:lang w:val="fr-FR"/>
        </w:rPr>
        <w:tab/>
        <w:t>Rôle des réseaux postaux dans les services financiers numériques.</w:t>
      </w:r>
    </w:p>
    <w:p w14:paraId="08843F0D" w14:textId="5191127E" w:rsidR="00DC42BA" w:rsidRPr="00751128" w:rsidRDefault="00DC42BA" w:rsidP="00E31B2B">
      <w:pPr>
        <w:pStyle w:val="enumlev1"/>
        <w:rPr>
          <w:lang w:val="fr-FR"/>
        </w:rPr>
      </w:pPr>
      <w:r w:rsidRPr="00751128">
        <w:rPr>
          <w:lang w:val="fr-FR"/>
        </w:rPr>
        <w:t>•</w:t>
      </w:r>
      <w:r w:rsidRPr="00751128">
        <w:rPr>
          <w:lang w:val="fr-FR"/>
        </w:rPr>
        <w:tab/>
        <w:t>Réglementation dans l</w:t>
      </w:r>
      <w:r w:rsidR="00E31B2B">
        <w:rPr>
          <w:lang w:val="fr-FR"/>
        </w:rPr>
        <w:t>'</w:t>
      </w:r>
      <w:r w:rsidRPr="00751128">
        <w:rPr>
          <w:lang w:val="fr-FR"/>
        </w:rPr>
        <w:t>écosystème des services financiers numériques.</w:t>
      </w:r>
    </w:p>
    <w:p w14:paraId="54739184" w14:textId="77777777" w:rsidR="00DC42BA" w:rsidRPr="00751128" w:rsidRDefault="00DC42BA" w:rsidP="00E31B2B">
      <w:pPr>
        <w:pStyle w:val="enumlev1"/>
        <w:rPr>
          <w:lang w:val="fr-FR"/>
        </w:rPr>
      </w:pPr>
      <w:r w:rsidRPr="00751128">
        <w:rPr>
          <w:lang w:val="fr-FR"/>
        </w:rPr>
        <w:t>•</w:t>
      </w:r>
      <w:r w:rsidRPr="00751128">
        <w:rPr>
          <w:lang w:val="fr-FR"/>
        </w:rPr>
        <w:tab/>
        <w:t>Données propres aux commerçants et crédit.</w:t>
      </w:r>
    </w:p>
    <w:p w14:paraId="70A24CD7" w14:textId="4025581E" w:rsidR="00DC42BA" w:rsidRPr="00751128" w:rsidRDefault="00DC42BA" w:rsidP="00E31B2B">
      <w:pPr>
        <w:pStyle w:val="enumlev1"/>
        <w:rPr>
          <w:lang w:val="fr-FR"/>
        </w:rPr>
      </w:pPr>
      <w:r w:rsidRPr="00751128">
        <w:rPr>
          <w:lang w:val="fr-FR"/>
        </w:rPr>
        <w:t>•</w:t>
      </w:r>
      <w:r w:rsidRPr="00751128">
        <w:rPr>
          <w:lang w:val="fr-FR"/>
        </w:rPr>
        <w:tab/>
        <w:t>Examen des programmes nationaux d</w:t>
      </w:r>
      <w:r w:rsidR="00E31B2B">
        <w:rPr>
          <w:lang w:val="fr-FR"/>
        </w:rPr>
        <w:t>'</w:t>
      </w:r>
      <w:r w:rsidRPr="00751128">
        <w:rPr>
          <w:lang w:val="fr-FR"/>
        </w:rPr>
        <w:t>identité.</w:t>
      </w:r>
    </w:p>
    <w:p w14:paraId="1D6AD6C8" w14:textId="77777777" w:rsidR="00DC42BA" w:rsidRPr="00751128" w:rsidRDefault="00DC42BA" w:rsidP="00E31B2B">
      <w:pPr>
        <w:pStyle w:val="enumlev1"/>
        <w:rPr>
          <w:lang w:val="fr-FR"/>
        </w:rPr>
      </w:pPr>
      <w:r w:rsidRPr="00751128">
        <w:rPr>
          <w:lang w:val="fr-FR"/>
        </w:rPr>
        <w:t>•</w:t>
      </w:r>
      <w:r w:rsidRPr="00751128">
        <w:rPr>
          <w:lang w:val="fr-FR"/>
        </w:rPr>
        <w:tab/>
        <w:t>Incidences des réseaux sociaux sur les liquidités numériques.</w:t>
      </w:r>
    </w:p>
    <w:p w14:paraId="26BE881B" w14:textId="77777777" w:rsidR="00DC42BA" w:rsidRPr="00751128" w:rsidRDefault="00DC42BA" w:rsidP="00E31B2B">
      <w:pPr>
        <w:pStyle w:val="enumlev1"/>
        <w:rPr>
          <w:lang w:val="fr-FR"/>
        </w:rPr>
      </w:pPr>
      <w:r w:rsidRPr="00751128">
        <w:rPr>
          <w:lang w:val="fr-FR"/>
        </w:rPr>
        <w:lastRenderedPageBreak/>
        <w:t>•</w:t>
      </w:r>
      <w:r w:rsidRPr="00751128">
        <w:rPr>
          <w:lang w:val="fr-FR"/>
        </w:rPr>
        <w:tab/>
        <w:t>Glossaire sur les services financiers numériques.</w:t>
      </w:r>
    </w:p>
    <w:p w14:paraId="7678384A" w14:textId="1CFDDB3F" w:rsidR="00DC42BA" w:rsidRPr="00751128" w:rsidRDefault="00DC42BA" w:rsidP="00E31B2B">
      <w:pPr>
        <w:pStyle w:val="enumlev1"/>
        <w:rPr>
          <w:lang w:val="fr-FR"/>
        </w:rPr>
      </w:pPr>
      <w:r w:rsidRPr="00751128">
        <w:rPr>
          <w:lang w:val="fr-FR"/>
        </w:rPr>
        <w:t>•</w:t>
      </w:r>
      <w:r w:rsidRPr="00751128">
        <w:rPr>
          <w:lang w:val="fr-FR"/>
        </w:rPr>
        <w:tab/>
        <w:t>Les paiements de masse et l</w:t>
      </w:r>
      <w:r w:rsidR="00E31B2B">
        <w:rPr>
          <w:lang w:val="fr-FR"/>
        </w:rPr>
        <w:t>'</w:t>
      </w:r>
      <w:r w:rsidRPr="00751128">
        <w:rPr>
          <w:lang w:val="fr-FR"/>
        </w:rPr>
        <w:t>écosystème des services financiers numériques.</w:t>
      </w:r>
    </w:p>
    <w:p w14:paraId="7D146FD5" w14:textId="4F583EA1" w:rsidR="00DC42BA" w:rsidRPr="00751128" w:rsidRDefault="00DC42BA" w:rsidP="00E31B2B">
      <w:pPr>
        <w:pStyle w:val="enumlev1"/>
        <w:rPr>
          <w:lang w:val="fr-FR"/>
        </w:rPr>
      </w:pPr>
      <w:r w:rsidRPr="00751128">
        <w:rPr>
          <w:lang w:val="fr-FR"/>
        </w:rPr>
        <w:t>•</w:t>
      </w:r>
      <w:r w:rsidRPr="00751128">
        <w:rPr>
          <w:lang w:val="fr-FR"/>
        </w:rPr>
        <w:tab/>
        <w:t>Les transactions B2B et l</w:t>
      </w:r>
      <w:r w:rsidR="00E31B2B">
        <w:rPr>
          <w:lang w:val="fr-FR"/>
        </w:rPr>
        <w:t>'</w:t>
      </w:r>
      <w:r w:rsidRPr="00751128">
        <w:rPr>
          <w:lang w:val="fr-FR"/>
        </w:rPr>
        <w:t>écosystème des services financiers numériques.</w:t>
      </w:r>
    </w:p>
    <w:p w14:paraId="14132F73" w14:textId="77777777" w:rsidR="00DC42BA" w:rsidRPr="00751128" w:rsidRDefault="00DC42BA" w:rsidP="00E31B2B">
      <w:pPr>
        <w:pStyle w:val="enumlev1"/>
        <w:rPr>
          <w:lang w:val="fr-FR"/>
        </w:rPr>
      </w:pPr>
      <w:r w:rsidRPr="00751128">
        <w:rPr>
          <w:lang w:val="fr-FR"/>
        </w:rPr>
        <w:t>•</w:t>
      </w:r>
      <w:r w:rsidRPr="00751128">
        <w:rPr>
          <w:lang w:val="fr-FR"/>
        </w:rPr>
        <w:tab/>
        <w:t>Incidences des chaînes de valeur agricoles sur les liquidités numériques.</w:t>
      </w:r>
    </w:p>
    <w:p w14:paraId="3F100600" w14:textId="77777777" w:rsidR="00DC42BA" w:rsidRPr="00751128" w:rsidRDefault="00DC42BA" w:rsidP="00E31B2B">
      <w:pPr>
        <w:pStyle w:val="enumlev1"/>
        <w:rPr>
          <w:lang w:val="fr-FR"/>
        </w:rPr>
      </w:pPr>
      <w:r w:rsidRPr="00751128">
        <w:rPr>
          <w:lang w:val="fr-FR"/>
        </w:rPr>
        <w:t>•</w:t>
      </w:r>
      <w:r w:rsidRPr="00751128">
        <w:rPr>
          <w:lang w:val="fr-FR"/>
        </w:rPr>
        <w:tab/>
        <w:t>Transactions de gré à gré: une menace ou un atout pour les écosystèmes financiers numériques?</w:t>
      </w:r>
    </w:p>
    <w:p w14:paraId="64C302D1" w14:textId="27B033D4" w:rsidR="00DC42BA" w:rsidRPr="00751128" w:rsidRDefault="00DC42BA" w:rsidP="00E31B2B">
      <w:pPr>
        <w:pStyle w:val="enumlev1"/>
        <w:rPr>
          <w:lang w:val="fr-FR"/>
        </w:rPr>
      </w:pPr>
      <w:r w:rsidRPr="00751128">
        <w:rPr>
          <w:lang w:val="fr-FR"/>
        </w:rPr>
        <w:t>•</w:t>
      </w:r>
      <w:r w:rsidRPr="00751128">
        <w:rPr>
          <w:lang w:val="fr-FR"/>
        </w:rPr>
        <w:tab/>
        <w:t>Recommandations sur l</w:t>
      </w:r>
      <w:r w:rsidR="00E31B2B">
        <w:rPr>
          <w:lang w:val="fr-FR"/>
        </w:rPr>
        <w:t>'</w:t>
      </w:r>
      <w:r w:rsidRPr="00751128">
        <w:rPr>
          <w:lang w:val="fr-FR"/>
        </w:rPr>
        <w:t>écosystème des services financiers numériques figurant dans le rapport "</w:t>
      </w:r>
      <w:r w:rsidRPr="00751128">
        <w:rPr>
          <w:i/>
          <w:iCs/>
          <w:lang w:val="fr-FR"/>
        </w:rPr>
        <w:t>Main recommandations</w:t>
      </w:r>
      <w:r w:rsidRPr="00751128">
        <w:rPr>
          <w:lang w:val="fr-FR"/>
        </w:rPr>
        <w:t>" (Principales recommandations) du Groupe FG-DFS.</w:t>
      </w:r>
    </w:p>
    <w:p w14:paraId="284FFD72" w14:textId="77777777" w:rsidR="00DC42BA" w:rsidRPr="00751128" w:rsidRDefault="00DC42BA" w:rsidP="00E31B2B">
      <w:pPr>
        <w:pStyle w:val="enumlev1"/>
        <w:rPr>
          <w:lang w:val="fr-FR"/>
        </w:rPr>
      </w:pPr>
      <w:r w:rsidRPr="00751128">
        <w:rPr>
          <w:lang w:val="fr-FR"/>
        </w:rPr>
        <w:t>•</w:t>
      </w:r>
      <w:r w:rsidRPr="00751128">
        <w:rPr>
          <w:lang w:val="fr-FR"/>
        </w:rPr>
        <w:tab/>
        <w:t>Aspects liés à la sécurité des services financiers numériques.</w:t>
      </w:r>
    </w:p>
    <w:p w14:paraId="1FBAB903" w14:textId="77777777" w:rsidR="00DC42BA" w:rsidRPr="00751128" w:rsidRDefault="00DC42BA" w:rsidP="00E31B2B">
      <w:pPr>
        <w:pStyle w:val="enumlev1"/>
        <w:rPr>
          <w:lang w:val="fr-FR"/>
        </w:rPr>
      </w:pPr>
      <w:r w:rsidRPr="00751128">
        <w:rPr>
          <w:lang w:val="fr-FR"/>
        </w:rPr>
        <w:t>•</w:t>
      </w:r>
      <w:r w:rsidRPr="00751128">
        <w:rPr>
          <w:lang w:val="fr-FR"/>
        </w:rPr>
        <w:tab/>
        <w:t>Caractéristiques de la plate-forme des fournisseurs de services financiers numériques.</w:t>
      </w:r>
    </w:p>
    <w:p w14:paraId="59585D36" w14:textId="77777777" w:rsidR="00DC42BA" w:rsidRPr="00751128" w:rsidRDefault="00DC42BA" w:rsidP="00E31B2B">
      <w:pPr>
        <w:pStyle w:val="enumlev1"/>
        <w:rPr>
          <w:lang w:val="fr-FR"/>
        </w:rPr>
      </w:pPr>
      <w:r w:rsidRPr="00751128">
        <w:rPr>
          <w:lang w:val="fr-FR"/>
        </w:rPr>
        <w:t>•</w:t>
      </w:r>
      <w:r w:rsidRPr="00751128">
        <w:rPr>
          <w:lang w:val="fr-FR"/>
        </w:rPr>
        <w:tab/>
        <w:t>Utilisation des combinés mobiles pour les services financiers numériques.</w:t>
      </w:r>
    </w:p>
    <w:p w14:paraId="2DFCD881" w14:textId="77777777" w:rsidR="00DC42BA" w:rsidRPr="00751128" w:rsidRDefault="00DC42BA" w:rsidP="00E31B2B">
      <w:pPr>
        <w:pStyle w:val="enumlev1"/>
        <w:rPr>
          <w:lang w:val="fr-FR"/>
        </w:rPr>
      </w:pPr>
      <w:r w:rsidRPr="00751128">
        <w:rPr>
          <w:lang w:val="fr-FR"/>
        </w:rPr>
        <w:t>•</w:t>
      </w:r>
      <w:r w:rsidRPr="00751128">
        <w:rPr>
          <w:lang w:val="fr-FR"/>
        </w:rPr>
        <w:tab/>
        <w:t>Identité et authentification.</w:t>
      </w:r>
    </w:p>
    <w:p w14:paraId="580A9851" w14:textId="77777777" w:rsidR="00DC42BA" w:rsidRPr="00751128" w:rsidRDefault="00DC42BA" w:rsidP="00E31B2B">
      <w:pPr>
        <w:pStyle w:val="enumlev1"/>
        <w:rPr>
          <w:lang w:val="fr-FR"/>
        </w:rPr>
      </w:pPr>
      <w:r w:rsidRPr="00751128">
        <w:rPr>
          <w:lang w:val="fr-FR"/>
        </w:rPr>
        <w:t>•</w:t>
      </w:r>
      <w:r w:rsidRPr="00751128">
        <w:rPr>
          <w:lang w:val="fr-FR"/>
        </w:rPr>
        <w:tab/>
        <w:t>Aspects des services financiers numériques relatifs à la concurrence.</w:t>
      </w:r>
    </w:p>
    <w:p w14:paraId="298231E5" w14:textId="77777777" w:rsidR="00DC42BA" w:rsidRPr="00751128" w:rsidRDefault="00DC42BA" w:rsidP="00E31B2B">
      <w:pPr>
        <w:pStyle w:val="enumlev1"/>
        <w:rPr>
          <w:lang w:val="fr-FR"/>
        </w:rPr>
      </w:pPr>
      <w:r w:rsidRPr="00751128">
        <w:rPr>
          <w:lang w:val="fr-FR"/>
        </w:rPr>
        <w:t>•</w:t>
      </w:r>
      <w:r w:rsidRPr="00751128">
        <w:rPr>
          <w:lang w:val="fr-FR"/>
        </w:rPr>
        <w:tab/>
        <w:t>Technologies des registres distribués et inclusion financière.</w:t>
      </w:r>
    </w:p>
    <w:p w14:paraId="02C0E933" w14:textId="77777777" w:rsidR="00DC42BA" w:rsidRPr="00751128" w:rsidRDefault="00DC42BA" w:rsidP="00E31B2B">
      <w:pPr>
        <w:pStyle w:val="enumlev1"/>
        <w:rPr>
          <w:lang w:val="fr-FR"/>
        </w:rPr>
      </w:pPr>
      <w:r w:rsidRPr="00751128">
        <w:rPr>
          <w:lang w:val="fr-FR"/>
        </w:rPr>
        <w:t>•</w:t>
      </w:r>
      <w:r w:rsidRPr="00751128">
        <w:rPr>
          <w:lang w:val="fr-FR"/>
        </w:rPr>
        <w:tab/>
        <w:t>Évolution et innovation technologiques dans le domaine des services financiers numériques.</w:t>
      </w:r>
    </w:p>
    <w:p w14:paraId="3DBEF62F" w14:textId="63DC2AFD" w:rsidR="00DC42BA" w:rsidRPr="00751128" w:rsidRDefault="00DC42BA" w:rsidP="00E31B2B">
      <w:pPr>
        <w:pStyle w:val="enumlev1"/>
        <w:rPr>
          <w:lang w:val="fr-FR"/>
        </w:rPr>
      </w:pPr>
      <w:r w:rsidRPr="00751128">
        <w:rPr>
          <w:lang w:val="fr-FR"/>
        </w:rPr>
        <w:t>•</w:t>
      </w:r>
      <w:r w:rsidRPr="00751128">
        <w:rPr>
          <w:lang w:val="fr-FR"/>
        </w:rPr>
        <w:tab/>
        <w:t>Recommandations sur la technologie, l</w:t>
      </w:r>
      <w:r w:rsidR="00E31B2B">
        <w:rPr>
          <w:lang w:val="fr-FR"/>
        </w:rPr>
        <w:t>'</w:t>
      </w:r>
      <w:r w:rsidRPr="00751128">
        <w:rPr>
          <w:lang w:val="fr-FR"/>
        </w:rPr>
        <w:t>innovation et la concurrence figurant dans le rapport "</w:t>
      </w:r>
      <w:r w:rsidRPr="00751128">
        <w:rPr>
          <w:i/>
          <w:iCs/>
          <w:lang w:val="fr-FR"/>
        </w:rPr>
        <w:t>Main recommandations</w:t>
      </w:r>
      <w:r w:rsidRPr="00751128">
        <w:rPr>
          <w:lang w:val="fr-FR"/>
        </w:rPr>
        <w:t>" (Principales recommandations) du Groupe FG-DFS.</w:t>
      </w:r>
    </w:p>
    <w:p w14:paraId="61F74CCE" w14:textId="538FED31" w:rsidR="00DC42BA" w:rsidRPr="00751128" w:rsidRDefault="00DC42BA" w:rsidP="00E31B2B">
      <w:pPr>
        <w:pStyle w:val="enumlev1"/>
        <w:rPr>
          <w:lang w:val="fr-FR"/>
        </w:rPr>
      </w:pPr>
      <w:r w:rsidRPr="00751128">
        <w:rPr>
          <w:lang w:val="fr-FR"/>
        </w:rPr>
        <w:t>•</w:t>
      </w:r>
      <w:r w:rsidRPr="00751128">
        <w:rPr>
          <w:lang w:val="fr-FR"/>
        </w:rPr>
        <w:tab/>
        <w:t>Cadres de coopération entre les autorités, les utilisateurs et les fournisseurs pour la mise au point d</w:t>
      </w:r>
      <w:r w:rsidR="00E31B2B">
        <w:rPr>
          <w:lang w:val="fr-FR"/>
        </w:rPr>
        <w:t>'</w:t>
      </w:r>
      <w:r w:rsidRPr="00751128">
        <w:rPr>
          <w:lang w:val="fr-FR"/>
        </w:rPr>
        <w:t>un système national de paiements.</w:t>
      </w:r>
    </w:p>
    <w:p w14:paraId="674A629C" w14:textId="1B2FFAE8" w:rsidR="00DC42BA" w:rsidRPr="00751128" w:rsidRDefault="00DC42BA" w:rsidP="00E31B2B">
      <w:pPr>
        <w:pStyle w:val="enumlev1"/>
        <w:rPr>
          <w:lang w:val="fr-FR"/>
        </w:rPr>
      </w:pPr>
      <w:r w:rsidRPr="00751128">
        <w:rPr>
          <w:lang w:val="fr-FR"/>
        </w:rPr>
        <w:t>•</w:t>
      </w:r>
      <w:r w:rsidRPr="00751128">
        <w:rPr>
          <w:lang w:val="fr-FR"/>
        </w:rPr>
        <w:tab/>
        <w:t>Point de vue du régulateur sur l</w:t>
      </w:r>
      <w:r w:rsidR="00E31B2B">
        <w:rPr>
          <w:lang w:val="fr-FR"/>
        </w:rPr>
        <w:t>'</w:t>
      </w:r>
      <w:r w:rsidRPr="00751128">
        <w:rPr>
          <w:lang w:val="fr-FR"/>
        </w:rPr>
        <w:t>opportunité de l</w:t>
      </w:r>
      <w:r w:rsidR="00E31B2B">
        <w:rPr>
          <w:lang w:val="fr-FR"/>
        </w:rPr>
        <w:t>'</w:t>
      </w:r>
      <w:r w:rsidRPr="00751128">
        <w:rPr>
          <w:lang w:val="fr-FR"/>
        </w:rPr>
        <w:t>interopérabilité.</w:t>
      </w:r>
    </w:p>
    <w:p w14:paraId="2BB5EA77" w14:textId="77777777" w:rsidR="00DC42BA" w:rsidRPr="00751128" w:rsidRDefault="00DC42BA" w:rsidP="00E31B2B">
      <w:pPr>
        <w:pStyle w:val="enumlev1"/>
        <w:rPr>
          <w:lang w:val="fr-FR"/>
        </w:rPr>
      </w:pPr>
      <w:r w:rsidRPr="00751128">
        <w:rPr>
          <w:lang w:val="fr-FR"/>
        </w:rPr>
        <w:t>•</w:t>
      </w:r>
      <w:r w:rsidRPr="00751128">
        <w:rPr>
          <w:lang w:val="fr-FR"/>
        </w:rPr>
        <w:tab/>
        <w:t>Interopérabilité et supervision des systèmes de paiement.</w:t>
      </w:r>
    </w:p>
    <w:p w14:paraId="7CF0B15E" w14:textId="77777777" w:rsidR="00DC42BA" w:rsidRPr="00751128" w:rsidRDefault="00DC42BA" w:rsidP="00E31B2B">
      <w:pPr>
        <w:pStyle w:val="enumlev1"/>
        <w:rPr>
          <w:lang w:val="fr-FR"/>
        </w:rPr>
      </w:pPr>
      <w:r w:rsidRPr="00751128">
        <w:rPr>
          <w:lang w:val="fr-FR"/>
        </w:rPr>
        <w:t>•</w:t>
      </w:r>
      <w:r w:rsidRPr="00751128">
        <w:rPr>
          <w:lang w:val="fr-FR"/>
        </w:rPr>
        <w:tab/>
        <w:t>Interopérabilité et supervision des systèmes de paiement: la dimension internationale.</w:t>
      </w:r>
    </w:p>
    <w:p w14:paraId="38D150B2" w14:textId="77777777" w:rsidR="00DC42BA" w:rsidRPr="00751128" w:rsidRDefault="00DC42BA" w:rsidP="00E31B2B">
      <w:pPr>
        <w:pStyle w:val="enumlev1"/>
        <w:rPr>
          <w:lang w:val="fr-FR"/>
        </w:rPr>
      </w:pPr>
      <w:r w:rsidRPr="00751128">
        <w:rPr>
          <w:lang w:val="fr-FR"/>
        </w:rPr>
        <w:t>•</w:t>
      </w:r>
      <w:r w:rsidRPr="00751128">
        <w:rPr>
          <w:lang w:val="fr-FR"/>
        </w:rPr>
        <w:tab/>
        <w:t>Accès aux infrastructures de paiement.</w:t>
      </w:r>
    </w:p>
    <w:p w14:paraId="511185B8" w14:textId="547444F0" w:rsidR="00DC42BA" w:rsidRPr="00751128" w:rsidRDefault="00DC42BA" w:rsidP="00E31B2B">
      <w:pPr>
        <w:pStyle w:val="enumlev1"/>
        <w:rPr>
          <w:lang w:val="fr-FR"/>
        </w:rPr>
      </w:pPr>
      <w:r w:rsidRPr="00751128">
        <w:rPr>
          <w:lang w:val="fr-FR"/>
        </w:rPr>
        <w:t>•</w:t>
      </w:r>
      <w:r w:rsidRPr="00751128">
        <w:rPr>
          <w:lang w:val="fr-FR"/>
        </w:rPr>
        <w:tab/>
        <w:t>Recommandations en matière d</w:t>
      </w:r>
      <w:r w:rsidR="00E31B2B">
        <w:rPr>
          <w:lang w:val="fr-FR"/>
        </w:rPr>
        <w:t>'</w:t>
      </w:r>
      <w:r w:rsidRPr="00751128">
        <w:rPr>
          <w:lang w:val="fr-FR"/>
        </w:rPr>
        <w:t>interopérabilité figurant dans le rapport "</w:t>
      </w:r>
      <w:r w:rsidRPr="00751128">
        <w:rPr>
          <w:i/>
          <w:iCs/>
          <w:lang w:val="fr-FR"/>
        </w:rPr>
        <w:t>Main recommandations</w:t>
      </w:r>
      <w:r w:rsidRPr="00751128">
        <w:rPr>
          <w:lang w:val="fr-FR"/>
        </w:rPr>
        <w:t>" (Principales recommandations) du Groupe FG-DFS.</w:t>
      </w:r>
    </w:p>
    <w:p w14:paraId="2843C182" w14:textId="1BC8F52B" w:rsidR="00DC42BA" w:rsidRPr="00751128" w:rsidRDefault="00DC42BA" w:rsidP="00E31B2B">
      <w:pPr>
        <w:pStyle w:val="enumlev1"/>
        <w:rPr>
          <w:lang w:val="fr-FR"/>
        </w:rPr>
      </w:pPr>
      <w:r w:rsidRPr="00751128">
        <w:rPr>
          <w:lang w:val="fr-FR"/>
        </w:rPr>
        <w:t>•</w:t>
      </w:r>
      <w:r w:rsidRPr="00751128">
        <w:rPr>
          <w:lang w:val="fr-FR"/>
        </w:rPr>
        <w:tab/>
        <w:t>Examen des accords conclus avec les utilisateurs de services financiers numériques en Afrique sous l</w:t>
      </w:r>
      <w:r w:rsidR="00E31B2B">
        <w:rPr>
          <w:lang w:val="fr-FR"/>
        </w:rPr>
        <w:t>'</w:t>
      </w:r>
      <w:r w:rsidRPr="00751128">
        <w:rPr>
          <w:lang w:val="fr-FR"/>
        </w:rPr>
        <w:t>angle de la protection des consommateurs.</w:t>
      </w:r>
    </w:p>
    <w:p w14:paraId="4A634DA6" w14:textId="40C4E369" w:rsidR="00DC42BA" w:rsidRPr="00751128" w:rsidRDefault="00DC42BA" w:rsidP="00E31B2B">
      <w:pPr>
        <w:pStyle w:val="enumlev1"/>
        <w:rPr>
          <w:lang w:val="fr-FR"/>
        </w:rPr>
      </w:pPr>
      <w:r w:rsidRPr="00751128">
        <w:rPr>
          <w:lang w:val="fr-FR"/>
        </w:rPr>
        <w:t>•</w:t>
      </w:r>
      <w:r w:rsidRPr="00751128">
        <w:rPr>
          <w:lang w:val="fr-FR"/>
        </w:rPr>
        <w:tab/>
        <w:t>Qualité de service et qualité d</w:t>
      </w:r>
      <w:r w:rsidR="00E31B2B">
        <w:rPr>
          <w:lang w:val="fr-FR"/>
        </w:rPr>
        <w:t>'</w:t>
      </w:r>
      <w:r w:rsidRPr="00751128">
        <w:rPr>
          <w:lang w:val="fr-FR"/>
        </w:rPr>
        <w:t>expérience dans les services financiers numériques.</w:t>
      </w:r>
    </w:p>
    <w:p w14:paraId="5EA6C6B3" w14:textId="77777777" w:rsidR="00DC42BA" w:rsidRPr="00751128" w:rsidRDefault="00DC42BA" w:rsidP="00E31B2B">
      <w:pPr>
        <w:pStyle w:val="enumlev1"/>
        <w:rPr>
          <w:lang w:val="fr-FR"/>
        </w:rPr>
      </w:pPr>
      <w:r w:rsidRPr="00751128">
        <w:rPr>
          <w:lang w:val="fr-FR"/>
        </w:rPr>
        <w:t>•</w:t>
      </w:r>
      <w:r w:rsidRPr="00751128">
        <w:rPr>
          <w:lang w:val="fr-FR"/>
        </w:rPr>
        <w:tab/>
        <w:t>Thèmes les plus courants en rapport avec la protection des consommateurs pour les services financiers numériques.</w:t>
      </w:r>
    </w:p>
    <w:p w14:paraId="3F21A25C" w14:textId="450B3ACA" w:rsidR="00DC42BA" w:rsidRPr="00751128" w:rsidRDefault="00DC42BA" w:rsidP="00E31B2B">
      <w:pPr>
        <w:pStyle w:val="enumlev1"/>
        <w:rPr>
          <w:lang w:val="fr-FR"/>
        </w:rPr>
      </w:pPr>
      <w:r w:rsidRPr="00751128">
        <w:rPr>
          <w:lang w:val="fr-FR"/>
        </w:rPr>
        <w:t>•</w:t>
      </w:r>
      <w:r w:rsidRPr="00751128">
        <w:rPr>
          <w:lang w:val="fr-FR"/>
        </w:rPr>
        <w:tab/>
        <w:t>Recommandations sur l</w:t>
      </w:r>
      <w:r w:rsidR="00E31B2B">
        <w:rPr>
          <w:lang w:val="fr-FR"/>
        </w:rPr>
        <w:t>'</w:t>
      </w:r>
      <w:r w:rsidRPr="00751128">
        <w:rPr>
          <w:lang w:val="fr-FR"/>
        </w:rPr>
        <w:t>expérience et la protection des consommateurs figurant dans le rapport "</w:t>
      </w:r>
      <w:r w:rsidRPr="00751128">
        <w:rPr>
          <w:i/>
          <w:iCs/>
          <w:lang w:val="fr-FR"/>
        </w:rPr>
        <w:t>Main recommandations</w:t>
      </w:r>
      <w:r w:rsidRPr="00751128">
        <w:rPr>
          <w:lang w:val="fr-FR"/>
        </w:rPr>
        <w:t>" (Principales recommandations) du Groupe FG-DFS.</w:t>
      </w:r>
    </w:p>
    <w:p w14:paraId="085E7B64" w14:textId="2F5AB33A" w:rsidR="00DC42BA" w:rsidRPr="00751128" w:rsidRDefault="00DC42BA" w:rsidP="00E31B2B">
      <w:pPr>
        <w:rPr>
          <w:lang w:val="fr-FR"/>
        </w:rPr>
      </w:pPr>
      <w:r w:rsidRPr="00751128">
        <w:rPr>
          <w:lang w:val="fr-FR"/>
        </w:rPr>
        <w:t>Le GCNT a transmis</w:t>
      </w:r>
      <w:r w:rsidRPr="00751128">
        <w:rPr>
          <w:szCs w:val="24"/>
          <w:lang w:val="fr-FR"/>
        </w:rPr>
        <w:t xml:space="preserve"> </w:t>
      </w:r>
      <w:r w:rsidRPr="00751128">
        <w:rPr>
          <w:rFonts w:eastAsiaTheme="minorEastAsia"/>
          <w:szCs w:val="24"/>
          <w:lang w:val="fr-FR" w:eastAsia="ja-JP"/>
        </w:rPr>
        <w:t xml:space="preserve">dans la </w:t>
      </w:r>
      <w:hyperlink r:id="rId138" w:history="1">
        <w:r w:rsidRPr="00751128">
          <w:rPr>
            <w:rStyle w:val="Hyperlink"/>
            <w:rFonts w:eastAsiaTheme="minorEastAsia"/>
            <w:szCs w:val="24"/>
            <w:lang w:val="fr-FR" w:eastAsia="ja-JP"/>
          </w:rPr>
          <w:t xml:space="preserve">Note de liaison 5 du </w:t>
        </w:r>
        <w:r w:rsidRPr="00751128">
          <w:rPr>
            <w:rStyle w:val="Hyperlink"/>
            <w:lang w:val="fr-FR"/>
          </w:rPr>
          <w:t>GCNT</w:t>
        </w:r>
      </w:hyperlink>
      <w:r w:rsidRPr="00751128">
        <w:rPr>
          <w:rFonts w:eastAsiaTheme="minorEastAsia"/>
          <w:szCs w:val="24"/>
          <w:lang w:val="fr-FR" w:eastAsia="ja-JP"/>
        </w:rPr>
        <w:t xml:space="preserve"> </w:t>
      </w:r>
      <w:r w:rsidRPr="00751128">
        <w:rPr>
          <w:szCs w:val="24"/>
          <w:lang w:val="fr-FR"/>
        </w:rPr>
        <w:t xml:space="preserve">les </w:t>
      </w:r>
      <w:r w:rsidRPr="00751128">
        <w:rPr>
          <w:lang w:val="fr-FR"/>
        </w:rPr>
        <w:t>28 rapports techniques et les</w:t>
      </w:r>
      <w:r>
        <w:rPr>
          <w:lang w:val="fr-FR"/>
        </w:rPr>
        <w:t> </w:t>
      </w:r>
      <w:r w:rsidRPr="00751128">
        <w:rPr>
          <w:lang w:val="fr-FR"/>
        </w:rPr>
        <w:t xml:space="preserve">85 recommandations du Groupe </w:t>
      </w:r>
      <w:r w:rsidRPr="00751128">
        <w:rPr>
          <w:rFonts w:eastAsiaTheme="minorEastAsia"/>
          <w:szCs w:val="24"/>
          <w:lang w:val="fr-FR" w:eastAsia="ja-JP"/>
        </w:rPr>
        <w:t>FG-DFS de l</w:t>
      </w:r>
      <w:r w:rsidR="00E31B2B">
        <w:rPr>
          <w:rFonts w:eastAsiaTheme="minorEastAsia"/>
          <w:szCs w:val="24"/>
          <w:lang w:val="fr-FR" w:eastAsia="ja-JP"/>
        </w:rPr>
        <w:t>'</w:t>
      </w:r>
      <w:r w:rsidRPr="00751128">
        <w:rPr>
          <w:rFonts w:eastAsiaTheme="minorEastAsia"/>
          <w:szCs w:val="24"/>
          <w:lang w:val="fr-FR" w:eastAsia="ja-JP"/>
        </w:rPr>
        <w:t xml:space="preserve">UIT-T sur les services financiers numériques </w:t>
      </w:r>
      <w:r w:rsidRPr="00751128">
        <w:rPr>
          <w:lang w:val="fr-FR"/>
        </w:rPr>
        <w:t>aux</w:t>
      </w:r>
      <w:r>
        <w:rPr>
          <w:lang w:val="fr-FR"/>
        </w:rPr>
        <w:t> </w:t>
      </w:r>
      <w:r w:rsidRPr="00751128">
        <w:rPr>
          <w:lang w:val="fr-FR"/>
        </w:rPr>
        <w:t>CE 2, 3, 12, 16 et 17 de l</w:t>
      </w:r>
      <w:r w:rsidR="00E31B2B">
        <w:rPr>
          <w:lang w:val="fr-FR"/>
        </w:rPr>
        <w:t>'</w:t>
      </w:r>
      <w:r w:rsidRPr="00751128">
        <w:rPr>
          <w:lang w:val="fr-FR"/>
        </w:rPr>
        <w:t>UIT-T</w:t>
      </w:r>
      <w:r w:rsidRPr="00751128">
        <w:rPr>
          <w:rFonts w:eastAsiaTheme="minorEastAsia"/>
          <w:szCs w:val="24"/>
          <w:lang w:val="fr-FR" w:eastAsia="ja-JP"/>
        </w:rPr>
        <w:t xml:space="preserve"> pour suite à donner</w:t>
      </w:r>
      <w:r w:rsidRPr="00751128">
        <w:rPr>
          <w:lang w:val="fr-FR"/>
        </w:rPr>
        <w:t>.</w:t>
      </w:r>
    </w:p>
    <w:p w14:paraId="2BB0683F" w14:textId="4DA6308B" w:rsidR="00DC42BA" w:rsidRPr="00751128" w:rsidRDefault="00DC42BA" w:rsidP="00E31B2B">
      <w:pPr>
        <w:pStyle w:val="Heading3"/>
        <w:rPr>
          <w:lang w:val="fr-FR"/>
        </w:rPr>
      </w:pPr>
      <w:r w:rsidRPr="00751128">
        <w:rPr>
          <w:lang w:val="fr-FR"/>
        </w:rPr>
        <w:t>3.3.4</w:t>
      </w:r>
      <w:r w:rsidRPr="00751128">
        <w:rPr>
          <w:lang w:val="fr-FR"/>
        </w:rPr>
        <w:tab/>
      </w:r>
      <w:bookmarkStart w:id="43" w:name="lt_pId075"/>
      <w:r w:rsidRPr="00751128">
        <w:rPr>
          <w:lang w:val="fr-FR"/>
        </w:rPr>
        <w:t>Groupe spécialisé de l</w:t>
      </w:r>
      <w:r w:rsidR="00E31B2B">
        <w:rPr>
          <w:lang w:val="fr-FR"/>
        </w:rPr>
        <w:t>'</w:t>
      </w:r>
      <w:r w:rsidRPr="00751128">
        <w:rPr>
          <w:lang w:val="fr-FR"/>
        </w:rPr>
        <w:t>UIT-T sur l</w:t>
      </w:r>
      <w:r w:rsidR="00E31B2B">
        <w:rPr>
          <w:lang w:val="fr-FR"/>
        </w:rPr>
        <w:t>'</w:t>
      </w:r>
      <w:r w:rsidRPr="00751128">
        <w:rPr>
          <w:lang w:val="fr-FR"/>
        </w:rPr>
        <w:t>informatique quantique pour les réseaux (FG</w:t>
      </w:r>
      <w:r w:rsidRPr="00751128">
        <w:rPr>
          <w:lang w:val="fr-FR"/>
        </w:rPr>
        <w:noBreakHyphen/>
        <w:t>QIT4N)</w:t>
      </w:r>
      <w:bookmarkEnd w:id="43"/>
    </w:p>
    <w:p w14:paraId="299C0637" w14:textId="71910047" w:rsidR="00DC42BA" w:rsidRPr="00751128" w:rsidRDefault="00DC42BA" w:rsidP="00E31B2B">
      <w:pPr>
        <w:rPr>
          <w:bCs/>
          <w:lang w:val="fr-FR"/>
        </w:rPr>
      </w:pPr>
      <w:r w:rsidRPr="00751128">
        <w:rPr>
          <w:szCs w:val="24"/>
          <w:lang w:val="fr-FR"/>
        </w:rPr>
        <w:t>À l</w:t>
      </w:r>
      <w:r w:rsidR="00E31B2B">
        <w:rPr>
          <w:szCs w:val="24"/>
          <w:lang w:val="fr-FR"/>
        </w:rPr>
        <w:t>'</w:t>
      </w:r>
      <w:r w:rsidRPr="00751128">
        <w:rPr>
          <w:szCs w:val="24"/>
          <w:lang w:val="fr-FR"/>
        </w:rPr>
        <w:t>issue de longs débats, le GCNT a créé, à sa 4ème réunion, un nouveau Groupe spécialisé de l</w:t>
      </w:r>
      <w:r w:rsidR="00E31B2B">
        <w:rPr>
          <w:szCs w:val="24"/>
          <w:lang w:val="fr-FR"/>
        </w:rPr>
        <w:t>'</w:t>
      </w:r>
      <w:r w:rsidRPr="00751128">
        <w:rPr>
          <w:szCs w:val="24"/>
          <w:lang w:val="fr-FR"/>
        </w:rPr>
        <w:t>UIT-T sur l</w:t>
      </w:r>
      <w:r w:rsidR="00E31B2B">
        <w:rPr>
          <w:szCs w:val="24"/>
          <w:lang w:val="fr-FR"/>
        </w:rPr>
        <w:t>'</w:t>
      </w:r>
      <w:r w:rsidRPr="00751128">
        <w:rPr>
          <w:szCs w:val="24"/>
          <w:lang w:val="fr-FR"/>
        </w:rPr>
        <w:t>informatique quantique pour les réseaux (FG-QIT4N) qui lui est rattaché, dont le mandat est défini dans l</w:t>
      </w:r>
      <w:r w:rsidR="00E31B2B">
        <w:rPr>
          <w:szCs w:val="24"/>
          <w:lang w:val="fr-FR"/>
        </w:rPr>
        <w:t>'</w:t>
      </w:r>
      <w:hyperlink r:id="rId139" w:history="1">
        <w:r w:rsidRPr="00751128">
          <w:rPr>
            <w:rStyle w:val="Hyperlink"/>
            <w:szCs w:val="24"/>
            <w:lang w:val="fr-FR"/>
          </w:rPr>
          <w:t>Annexe C du Document TSAG-R8</w:t>
        </w:r>
      </w:hyperlink>
      <w:r w:rsidRPr="00751128">
        <w:rPr>
          <w:szCs w:val="24"/>
          <w:lang w:val="fr-FR"/>
        </w:rPr>
        <w:t xml:space="preserve">. Le GCNT a examiné le rapport final du Groupe FG-QIT4N, qui figure dans le Document </w:t>
      </w:r>
      <w:hyperlink r:id="rId140" w:history="1">
        <w:r w:rsidRPr="00751128">
          <w:rPr>
            <w:rStyle w:val="Hyperlink"/>
            <w:szCs w:val="24"/>
            <w:lang w:val="fr-FR" w:eastAsia="zh-CN"/>
          </w:rPr>
          <w:t>TD1192</w:t>
        </w:r>
      </w:hyperlink>
      <w:r w:rsidRPr="00751128">
        <w:rPr>
          <w:szCs w:val="24"/>
          <w:lang w:val="fr-FR"/>
        </w:rPr>
        <w:t xml:space="preserve"> et comporte neuf produits finals</w:t>
      </w:r>
      <w:r w:rsidRPr="00751128">
        <w:rPr>
          <w:bCs/>
          <w:lang w:val="fr-FR"/>
        </w:rPr>
        <w:t>:</w:t>
      </w:r>
    </w:p>
    <w:p w14:paraId="61A730D6" w14:textId="2AF1551D" w:rsidR="00DC42BA" w:rsidRPr="00751128" w:rsidRDefault="00DC42BA" w:rsidP="00E31B2B">
      <w:pPr>
        <w:pStyle w:val="enumlev1"/>
        <w:rPr>
          <w:lang w:val="fr-FR"/>
        </w:rPr>
      </w:pPr>
      <w:r w:rsidRPr="00751128">
        <w:rPr>
          <w:lang w:val="fr-FR"/>
        </w:rPr>
        <w:t>•</w:t>
      </w:r>
      <w:r w:rsidRPr="00751128">
        <w:rPr>
          <w:lang w:val="fr-FR"/>
        </w:rPr>
        <w:tab/>
        <w:t>Terminologie QIT4N: aspects relatifs aux réseaux des technologies d</w:t>
      </w:r>
      <w:r w:rsidR="00E31B2B">
        <w:rPr>
          <w:lang w:val="fr-FR"/>
        </w:rPr>
        <w:t>'</w:t>
      </w:r>
      <w:r w:rsidRPr="00751128">
        <w:rPr>
          <w:lang w:val="fr-FR"/>
        </w:rPr>
        <w:t>informatique quantique.</w:t>
      </w:r>
    </w:p>
    <w:p w14:paraId="66097F2C" w14:textId="6FADFB2A" w:rsidR="00DC42BA" w:rsidRPr="00751128" w:rsidRDefault="00DC42BA" w:rsidP="00E31B2B">
      <w:pPr>
        <w:pStyle w:val="enumlev1"/>
        <w:rPr>
          <w:lang w:val="fr-FR"/>
        </w:rPr>
      </w:pPr>
      <w:r w:rsidRPr="00751128">
        <w:rPr>
          <w:lang w:val="fr-FR"/>
        </w:rPr>
        <w:lastRenderedPageBreak/>
        <w:t>•</w:t>
      </w:r>
      <w:r w:rsidRPr="00751128">
        <w:rPr>
          <w:lang w:val="fr-FR"/>
        </w:rPr>
        <w:tab/>
        <w:t>Cas d</w:t>
      </w:r>
      <w:r w:rsidR="00E31B2B">
        <w:rPr>
          <w:lang w:val="fr-FR"/>
        </w:rPr>
        <w:t>'</w:t>
      </w:r>
      <w:r w:rsidRPr="00751128">
        <w:rPr>
          <w:lang w:val="fr-FR"/>
        </w:rPr>
        <w:t>utilisation QIT4N: aspects relatifs aux réseaux des technologies d</w:t>
      </w:r>
      <w:r w:rsidR="00E31B2B">
        <w:rPr>
          <w:lang w:val="fr-FR"/>
        </w:rPr>
        <w:t>'</w:t>
      </w:r>
      <w:r w:rsidRPr="00751128">
        <w:rPr>
          <w:lang w:val="fr-FR"/>
        </w:rPr>
        <w:t>informatique quantique.</w:t>
      </w:r>
    </w:p>
    <w:p w14:paraId="15609760" w14:textId="31FB7758" w:rsidR="00DC42BA" w:rsidRPr="00751128" w:rsidRDefault="00DC42BA" w:rsidP="00E31B2B">
      <w:pPr>
        <w:pStyle w:val="enumlev1"/>
        <w:rPr>
          <w:lang w:val="fr-FR"/>
        </w:rPr>
      </w:pPr>
      <w:r w:rsidRPr="00751128">
        <w:rPr>
          <w:lang w:val="fr-FR"/>
        </w:rPr>
        <w:t>•</w:t>
      </w:r>
      <w:r w:rsidRPr="00751128">
        <w:rPr>
          <w:lang w:val="fr-FR"/>
        </w:rPr>
        <w:tab/>
        <w:t>Perspectives en matière de normalisation et maturité des technologies: aspects relatifs aux réseaux des technologies d</w:t>
      </w:r>
      <w:r w:rsidR="00E31B2B">
        <w:rPr>
          <w:lang w:val="fr-FR"/>
        </w:rPr>
        <w:t>'</w:t>
      </w:r>
      <w:r w:rsidRPr="00751128">
        <w:rPr>
          <w:lang w:val="fr-FR"/>
        </w:rPr>
        <w:t>informatique quantique.</w:t>
      </w:r>
    </w:p>
    <w:p w14:paraId="359BEFEE" w14:textId="77777777" w:rsidR="00DC42BA" w:rsidRPr="00751128" w:rsidRDefault="00DC42BA" w:rsidP="00E31B2B">
      <w:pPr>
        <w:pStyle w:val="enumlev1"/>
        <w:rPr>
          <w:lang w:val="fr-FR"/>
        </w:rPr>
      </w:pPr>
      <w:r w:rsidRPr="00751128">
        <w:rPr>
          <w:lang w:val="fr-FR"/>
        </w:rPr>
        <w:t>•</w:t>
      </w:r>
      <w:r w:rsidRPr="00751128">
        <w:rPr>
          <w:lang w:val="fr-FR"/>
        </w:rPr>
        <w:tab/>
        <w:t>Terminologie QIT4N: réseau de distribution de clés quantiques.</w:t>
      </w:r>
    </w:p>
    <w:p w14:paraId="3A503DD3" w14:textId="7D684BB5" w:rsidR="00DC42BA" w:rsidRPr="00751128" w:rsidRDefault="00DC42BA" w:rsidP="00E31B2B">
      <w:pPr>
        <w:pStyle w:val="enumlev1"/>
        <w:rPr>
          <w:lang w:val="fr-FR"/>
        </w:rPr>
      </w:pPr>
      <w:r w:rsidRPr="00751128">
        <w:rPr>
          <w:lang w:val="fr-FR"/>
        </w:rPr>
        <w:t>•</w:t>
      </w:r>
      <w:r w:rsidRPr="00751128">
        <w:rPr>
          <w:lang w:val="fr-FR"/>
        </w:rPr>
        <w:tab/>
        <w:t>Cas d</w:t>
      </w:r>
      <w:r w:rsidR="00E31B2B">
        <w:rPr>
          <w:lang w:val="fr-FR"/>
        </w:rPr>
        <w:t>'</w:t>
      </w:r>
      <w:r w:rsidRPr="00751128">
        <w:rPr>
          <w:lang w:val="fr-FR"/>
        </w:rPr>
        <w:t>utilisation QIT4N: réseau de distribution de clés quantiques.</w:t>
      </w:r>
    </w:p>
    <w:p w14:paraId="3360A29E" w14:textId="77777777" w:rsidR="00DC42BA" w:rsidRPr="00751128" w:rsidRDefault="00DC42BA" w:rsidP="00E31B2B">
      <w:pPr>
        <w:pStyle w:val="enumlev1"/>
        <w:rPr>
          <w:lang w:val="fr-FR"/>
        </w:rPr>
      </w:pPr>
      <w:r w:rsidRPr="00751128">
        <w:rPr>
          <w:lang w:val="fr-FR"/>
        </w:rPr>
        <w:t>•</w:t>
      </w:r>
      <w:r w:rsidRPr="00751128">
        <w:rPr>
          <w:lang w:val="fr-FR"/>
        </w:rPr>
        <w:tab/>
        <w:t>Protocoles des réseaux de distribution de clés quantiques: couche quantique.</w:t>
      </w:r>
    </w:p>
    <w:p w14:paraId="1D4B4E82" w14:textId="77777777" w:rsidR="00DC42BA" w:rsidRPr="00751128" w:rsidRDefault="00DC42BA" w:rsidP="00E31B2B">
      <w:pPr>
        <w:pStyle w:val="enumlev1"/>
        <w:rPr>
          <w:lang w:val="fr-FR"/>
        </w:rPr>
      </w:pPr>
      <w:r w:rsidRPr="00751128">
        <w:rPr>
          <w:lang w:val="fr-FR"/>
        </w:rPr>
        <w:t>•</w:t>
      </w:r>
      <w:r w:rsidRPr="00751128">
        <w:rPr>
          <w:lang w:val="fr-FR"/>
        </w:rPr>
        <w:tab/>
        <w:t>Protocoles des réseaux de distribution de clés quantiques: couche de gestion des clés, couche de commande du réseau QKDN et couche de gestion du réseau QKDN.</w:t>
      </w:r>
    </w:p>
    <w:p w14:paraId="6D0F9329" w14:textId="77777777" w:rsidR="00DC42BA" w:rsidRPr="00751128" w:rsidRDefault="00DC42BA" w:rsidP="00E31B2B">
      <w:pPr>
        <w:pStyle w:val="enumlev1"/>
        <w:rPr>
          <w:lang w:val="fr-FR"/>
        </w:rPr>
      </w:pPr>
      <w:r w:rsidRPr="00751128">
        <w:rPr>
          <w:lang w:val="fr-FR"/>
        </w:rPr>
        <w:t>•</w:t>
      </w:r>
      <w:r w:rsidRPr="00751128">
        <w:rPr>
          <w:lang w:val="fr-FR"/>
        </w:rPr>
        <w:tab/>
        <w:t>Technologies de transport des réseaux de distribution de clés quantiques.</w:t>
      </w:r>
    </w:p>
    <w:p w14:paraId="098D861B" w14:textId="77777777" w:rsidR="00DC42BA" w:rsidRPr="00751128" w:rsidRDefault="00DC42BA" w:rsidP="00E31B2B">
      <w:pPr>
        <w:pStyle w:val="enumlev1"/>
        <w:rPr>
          <w:lang w:val="fr-FR"/>
        </w:rPr>
      </w:pPr>
      <w:r w:rsidRPr="00751128">
        <w:rPr>
          <w:lang w:val="fr-FR"/>
        </w:rPr>
        <w:t>•</w:t>
      </w:r>
      <w:r w:rsidRPr="00751128">
        <w:rPr>
          <w:lang w:val="fr-FR"/>
        </w:rPr>
        <w:tab/>
        <w:t>Perspectives en matière de normalisation et maturité des technologies: réseau de distribution de clés quantiques.</w:t>
      </w:r>
    </w:p>
    <w:p w14:paraId="155E772E" w14:textId="3640DA43" w:rsidR="00DC42BA" w:rsidRPr="00751128" w:rsidRDefault="00DC42BA" w:rsidP="00E31B2B">
      <w:pPr>
        <w:rPr>
          <w:lang w:val="fr-FR"/>
        </w:rPr>
      </w:pPr>
      <w:r w:rsidRPr="00751128">
        <w:rPr>
          <w:lang w:val="fr-FR"/>
        </w:rPr>
        <w:t xml:space="preserve">Le GCNT a transmis </w:t>
      </w:r>
      <w:r w:rsidRPr="00751128">
        <w:rPr>
          <w:szCs w:val="24"/>
          <w:lang w:val="fr-FR"/>
        </w:rPr>
        <w:t xml:space="preserve">les </w:t>
      </w:r>
      <w:r w:rsidRPr="00751128">
        <w:rPr>
          <w:lang w:val="fr-FR"/>
        </w:rPr>
        <w:t xml:space="preserve">produits finals du Groupe </w:t>
      </w:r>
      <w:r w:rsidRPr="00751128">
        <w:rPr>
          <w:rFonts w:eastAsiaTheme="minorEastAsia"/>
          <w:szCs w:val="24"/>
          <w:lang w:val="fr-FR" w:eastAsia="ja-JP"/>
        </w:rPr>
        <w:t>FG-QIT4N de l</w:t>
      </w:r>
      <w:r w:rsidR="00E31B2B">
        <w:rPr>
          <w:rFonts w:eastAsiaTheme="minorEastAsia"/>
          <w:szCs w:val="24"/>
          <w:lang w:val="fr-FR" w:eastAsia="ja-JP"/>
        </w:rPr>
        <w:t>'</w:t>
      </w:r>
      <w:r w:rsidRPr="00751128">
        <w:rPr>
          <w:rFonts w:eastAsiaTheme="minorEastAsia"/>
          <w:szCs w:val="24"/>
          <w:lang w:val="fr-FR" w:eastAsia="ja-JP"/>
        </w:rPr>
        <w:t>UIT-T (</w:t>
      </w:r>
      <w:hyperlink r:id="rId141" w:history="1">
        <w:r w:rsidRPr="00751128">
          <w:rPr>
            <w:rStyle w:val="Hyperlink"/>
            <w:rFonts w:eastAsiaTheme="minorEastAsia"/>
            <w:szCs w:val="24"/>
            <w:lang w:val="fr-FR" w:eastAsia="ja-JP"/>
          </w:rPr>
          <w:t>Note de liaison 46 du</w:t>
        </w:r>
        <w:r>
          <w:rPr>
            <w:rStyle w:val="Hyperlink"/>
            <w:rFonts w:eastAsiaTheme="minorEastAsia"/>
            <w:szCs w:val="24"/>
            <w:lang w:val="fr-FR" w:eastAsia="ja-JP"/>
          </w:rPr>
          <w:t> </w:t>
        </w:r>
        <w:r w:rsidRPr="00751128">
          <w:rPr>
            <w:rStyle w:val="Hyperlink"/>
            <w:lang w:val="fr-FR"/>
          </w:rPr>
          <w:t>GCNT</w:t>
        </w:r>
      </w:hyperlink>
      <w:r w:rsidRPr="00751128">
        <w:rPr>
          <w:lang w:val="fr-FR"/>
        </w:rPr>
        <w:t>) aux CE 11, 13, 15 et 17 de l</w:t>
      </w:r>
      <w:r w:rsidR="00E31B2B">
        <w:rPr>
          <w:lang w:val="fr-FR"/>
        </w:rPr>
        <w:t>'</w:t>
      </w:r>
      <w:r w:rsidRPr="00751128">
        <w:rPr>
          <w:lang w:val="fr-FR"/>
        </w:rPr>
        <w:t>UIT-T</w:t>
      </w:r>
      <w:r w:rsidRPr="00751128">
        <w:rPr>
          <w:rFonts w:eastAsiaTheme="minorEastAsia"/>
          <w:szCs w:val="24"/>
          <w:lang w:val="fr-FR" w:eastAsia="ja-JP"/>
        </w:rPr>
        <w:t xml:space="preserve"> ainsi qu</w:t>
      </w:r>
      <w:r w:rsidR="00E31B2B">
        <w:rPr>
          <w:rFonts w:eastAsiaTheme="minorEastAsia"/>
          <w:szCs w:val="24"/>
          <w:lang w:val="fr-FR" w:eastAsia="ja-JP"/>
        </w:rPr>
        <w:t>'</w:t>
      </w:r>
      <w:r w:rsidRPr="00751128">
        <w:rPr>
          <w:rFonts w:eastAsiaTheme="minorEastAsia"/>
          <w:szCs w:val="24"/>
          <w:lang w:val="fr-FR" w:eastAsia="ja-JP"/>
        </w:rPr>
        <w:t>à d</w:t>
      </w:r>
      <w:r w:rsidR="00E31B2B">
        <w:rPr>
          <w:rFonts w:eastAsiaTheme="minorEastAsia"/>
          <w:szCs w:val="24"/>
          <w:lang w:val="fr-FR" w:eastAsia="ja-JP"/>
        </w:rPr>
        <w:t>'</w:t>
      </w:r>
      <w:r w:rsidRPr="00751128">
        <w:rPr>
          <w:rFonts w:eastAsiaTheme="minorEastAsia"/>
          <w:szCs w:val="24"/>
          <w:lang w:val="fr-FR" w:eastAsia="ja-JP"/>
        </w:rPr>
        <w:t>autres commissions d</w:t>
      </w:r>
      <w:r w:rsidR="00E31B2B">
        <w:rPr>
          <w:rFonts w:eastAsiaTheme="minorEastAsia"/>
          <w:szCs w:val="24"/>
          <w:lang w:val="fr-FR" w:eastAsia="ja-JP"/>
        </w:rPr>
        <w:t>'</w:t>
      </w:r>
      <w:r w:rsidRPr="00751128">
        <w:rPr>
          <w:rFonts w:eastAsiaTheme="minorEastAsia"/>
          <w:szCs w:val="24"/>
          <w:lang w:val="fr-FR" w:eastAsia="ja-JP"/>
        </w:rPr>
        <w:t>études, pour suite à donner</w:t>
      </w:r>
      <w:r w:rsidRPr="00751128">
        <w:rPr>
          <w:lang w:val="fr-FR"/>
        </w:rPr>
        <w:t>.</w:t>
      </w:r>
    </w:p>
    <w:p w14:paraId="640ECA1E" w14:textId="77142026" w:rsidR="00DC42BA" w:rsidRPr="00751128" w:rsidRDefault="00DC42BA" w:rsidP="00E31B2B">
      <w:pPr>
        <w:pStyle w:val="Heading3"/>
        <w:rPr>
          <w:lang w:val="fr-FR"/>
        </w:rPr>
      </w:pPr>
      <w:r w:rsidRPr="00751128">
        <w:rPr>
          <w:lang w:val="fr-FR"/>
        </w:rPr>
        <w:t>3.3.5</w:t>
      </w:r>
      <w:r w:rsidRPr="00751128">
        <w:rPr>
          <w:lang w:val="fr-FR"/>
        </w:rPr>
        <w:tab/>
        <w:t>Autres Groupes spécialisés de l</w:t>
      </w:r>
      <w:r w:rsidR="00E31B2B">
        <w:rPr>
          <w:lang w:val="fr-FR"/>
        </w:rPr>
        <w:t>'</w:t>
      </w:r>
      <w:r w:rsidRPr="00751128">
        <w:rPr>
          <w:lang w:val="fr-FR"/>
        </w:rPr>
        <w:t>UIT-T</w:t>
      </w:r>
    </w:p>
    <w:p w14:paraId="266CD9C2" w14:textId="77777777" w:rsidR="00DC42BA" w:rsidRPr="00751128" w:rsidRDefault="00DC42BA" w:rsidP="00E31B2B">
      <w:pPr>
        <w:rPr>
          <w:lang w:val="fr-FR"/>
        </w:rPr>
      </w:pPr>
      <w:r w:rsidRPr="00751128">
        <w:rPr>
          <w:lang w:val="fr-FR"/>
        </w:rPr>
        <w:t>Le GCNT a pris note des activités menées par:</w:t>
      </w:r>
    </w:p>
    <w:p w14:paraId="38EAC0CB" w14:textId="35F8872E" w:rsidR="00DC42BA" w:rsidRPr="00751128" w:rsidRDefault="00DC42BA" w:rsidP="00E31B2B">
      <w:pPr>
        <w:pStyle w:val="enumlev1"/>
        <w:rPr>
          <w:lang w:val="fr-FR"/>
        </w:rPr>
      </w:pPr>
      <w:r w:rsidRPr="00751128">
        <w:rPr>
          <w:lang w:val="fr-FR"/>
        </w:rPr>
        <w:t>•</w:t>
      </w:r>
      <w:r w:rsidRPr="00751128">
        <w:rPr>
          <w:lang w:val="fr-FR"/>
        </w:rPr>
        <w:tab/>
        <w:t>le Groupe spécialisé de l</w:t>
      </w:r>
      <w:r w:rsidR="00E31B2B">
        <w:rPr>
          <w:lang w:val="fr-FR"/>
        </w:rPr>
        <w:t>'</w:t>
      </w:r>
      <w:r w:rsidRPr="00751128">
        <w:rPr>
          <w:lang w:val="fr-FR"/>
        </w:rPr>
        <w:t>UIT-T sur l</w:t>
      </w:r>
      <w:r w:rsidR="00E31B2B">
        <w:rPr>
          <w:lang w:val="fr-FR"/>
        </w:rPr>
        <w:t>'</w:t>
      </w:r>
      <w:r w:rsidRPr="00751128">
        <w:rPr>
          <w:lang w:val="fr-FR"/>
        </w:rPr>
        <w:t>apprentissage automatique pour les réseaux futurs, y compris les réseaux 5G (FG</w:t>
      </w:r>
      <w:r w:rsidRPr="00751128">
        <w:rPr>
          <w:lang w:val="fr-FR"/>
        </w:rPr>
        <w:noBreakHyphen/>
        <w:t>ML5G) et le Groupe spécialisé de l</w:t>
      </w:r>
      <w:r w:rsidR="00E31B2B">
        <w:rPr>
          <w:lang w:val="fr-FR"/>
        </w:rPr>
        <w:t>'</w:t>
      </w:r>
      <w:r w:rsidRPr="00751128">
        <w:rPr>
          <w:lang w:val="fr-FR"/>
        </w:rPr>
        <w:t>UIT-T sur les IMT</w:t>
      </w:r>
      <w:r w:rsidRPr="00751128">
        <w:rPr>
          <w:lang w:val="fr-FR"/>
        </w:rPr>
        <w:noBreakHyphen/>
        <w:t>2020 (FG IMT-2020) – qui a achevé ses travaux –, tous deux rattachés à la CE 13;</w:t>
      </w:r>
    </w:p>
    <w:p w14:paraId="20F2F301" w14:textId="5500273F" w:rsidR="00DC42BA" w:rsidRPr="00751128" w:rsidRDefault="00DC42BA" w:rsidP="00E31B2B">
      <w:pPr>
        <w:pStyle w:val="enumlev1"/>
        <w:rPr>
          <w:lang w:val="fr-FR"/>
        </w:rPr>
      </w:pPr>
      <w:r w:rsidRPr="00751128">
        <w:rPr>
          <w:lang w:val="fr-FR"/>
        </w:rPr>
        <w:t>•</w:t>
      </w:r>
      <w:r w:rsidRPr="00751128">
        <w:rPr>
          <w:lang w:val="fr-FR"/>
        </w:rPr>
        <w:tab/>
        <w:t xml:space="preserve">le </w:t>
      </w:r>
      <w:r w:rsidRPr="00751128">
        <w:rPr>
          <w:bCs/>
          <w:lang w:val="fr-FR"/>
        </w:rPr>
        <w:t xml:space="preserve">Groupe spécialisé </w:t>
      </w:r>
      <w:r w:rsidRPr="00751128">
        <w:rPr>
          <w:lang w:val="fr-FR"/>
        </w:rPr>
        <w:t>de l</w:t>
      </w:r>
      <w:r w:rsidR="00E31B2B">
        <w:rPr>
          <w:lang w:val="fr-FR"/>
        </w:rPr>
        <w:t>'</w:t>
      </w:r>
      <w:r w:rsidRPr="00751128">
        <w:rPr>
          <w:lang w:val="fr-FR"/>
        </w:rPr>
        <w:t xml:space="preserve">UIT-T </w:t>
      </w:r>
      <w:r w:rsidRPr="00751128">
        <w:rPr>
          <w:bCs/>
          <w:lang w:val="fr-FR"/>
        </w:rPr>
        <w:t>sur le traitement et la gestion des données à l</w:t>
      </w:r>
      <w:r w:rsidR="00E31B2B">
        <w:rPr>
          <w:bCs/>
          <w:lang w:val="fr-FR"/>
        </w:rPr>
        <w:t>'</w:t>
      </w:r>
      <w:r w:rsidRPr="00751128">
        <w:rPr>
          <w:bCs/>
          <w:lang w:val="fr-FR"/>
        </w:rPr>
        <w:t>appui de l</w:t>
      </w:r>
      <w:r w:rsidR="00E31B2B">
        <w:rPr>
          <w:bCs/>
          <w:lang w:val="fr-FR"/>
        </w:rPr>
        <w:t>'</w:t>
      </w:r>
      <w:r w:rsidRPr="00751128">
        <w:rPr>
          <w:bCs/>
          <w:lang w:val="fr-FR"/>
        </w:rPr>
        <w:t xml:space="preserve">Internet des objets et des villes et communautés intelligentes (FG-DPM), </w:t>
      </w:r>
      <w:r w:rsidRPr="00751128">
        <w:rPr>
          <w:lang w:val="fr-FR"/>
        </w:rPr>
        <w:t>rattaché à la</w:t>
      </w:r>
      <w:r>
        <w:rPr>
          <w:lang w:val="fr-FR"/>
        </w:rPr>
        <w:t> </w:t>
      </w:r>
      <w:r w:rsidRPr="00751128">
        <w:rPr>
          <w:lang w:val="fr-FR"/>
        </w:rPr>
        <w:t>CE 20</w:t>
      </w:r>
      <w:r w:rsidRPr="00751128">
        <w:rPr>
          <w:bCs/>
          <w:lang w:val="fr-FR"/>
        </w:rPr>
        <w:t>;</w:t>
      </w:r>
    </w:p>
    <w:p w14:paraId="23613D3D" w14:textId="7C246EF1" w:rsidR="00DC42BA" w:rsidRPr="00751128" w:rsidRDefault="00DC42BA" w:rsidP="00E31B2B">
      <w:pPr>
        <w:pStyle w:val="enumlev1"/>
        <w:rPr>
          <w:lang w:val="fr-FR"/>
        </w:rPr>
      </w:pPr>
      <w:bookmarkStart w:id="44" w:name="_Toc23859148"/>
      <w:r w:rsidRPr="00751128">
        <w:rPr>
          <w:lang w:val="fr-FR"/>
        </w:rPr>
        <w:t>•</w:t>
      </w:r>
      <w:r w:rsidRPr="00751128">
        <w:rPr>
          <w:lang w:val="fr-FR"/>
        </w:rPr>
        <w:tab/>
      </w:r>
      <w:bookmarkStart w:id="45" w:name="lt_pId151"/>
      <w:bookmarkEnd w:id="44"/>
      <w:r w:rsidRPr="00751128">
        <w:rPr>
          <w:lang w:val="fr-FR"/>
        </w:rPr>
        <w:t>le Groupe spécialisé de l</w:t>
      </w:r>
      <w:r w:rsidR="00E31B2B">
        <w:rPr>
          <w:lang w:val="fr-FR"/>
        </w:rPr>
        <w:t>'</w:t>
      </w:r>
      <w:r w:rsidRPr="00751128">
        <w:rPr>
          <w:lang w:val="fr-FR"/>
        </w:rPr>
        <w:t>UIT-T sur l</w:t>
      </w:r>
      <w:r w:rsidR="00E31B2B">
        <w:rPr>
          <w:lang w:val="fr-FR"/>
        </w:rPr>
        <w:t>'</w:t>
      </w:r>
      <w:r w:rsidRPr="00751128">
        <w:rPr>
          <w:lang w:val="fr-FR"/>
        </w:rPr>
        <w:t>efficacité environnementale de l</w:t>
      </w:r>
      <w:r w:rsidR="00E31B2B">
        <w:rPr>
          <w:lang w:val="fr-FR"/>
        </w:rPr>
        <w:t>'</w:t>
      </w:r>
      <w:r w:rsidRPr="00751128">
        <w:rPr>
          <w:lang w:val="fr-FR"/>
        </w:rPr>
        <w:t>intelligence artificielle et d</w:t>
      </w:r>
      <w:r w:rsidR="00E31B2B">
        <w:rPr>
          <w:lang w:val="fr-FR"/>
        </w:rPr>
        <w:t>'</w:t>
      </w:r>
      <w:r w:rsidRPr="00751128">
        <w:rPr>
          <w:lang w:val="fr-FR"/>
        </w:rPr>
        <w:t>autres technologies émergentes (FG-AI4EE)</w:t>
      </w:r>
      <w:bookmarkStart w:id="46" w:name="_Toc454290058"/>
      <w:bookmarkStart w:id="47" w:name="_Toc454290061"/>
      <w:bookmarkStart w:id="48" w:name="_Toc454290062"/>
      <w:bookmarkEnd w:id="45"/>
      <w:bookmarkEnd w:id="46"/>
      <w:bookmarkEnd w:id="47"/>
      <w:bookmarkEnd w:id="48"/>
      <w:r w:rsidRPr="00751128">
        <w:rPr>
          <w:lang w:val="fr-FR"/>
        </w:rPr>
        <w:t>, rattaché à la CE 5, et a formulé des commentaires concernant la portée de ses travaux;</w:t>
      </w:r>
    </w:p>
    <w:p w14:paraId="647718C3" w14:textId="5022C4F1" w:rsidR="00DC42BA" w:rsidRPr="00751128" w:rsidRDefault="00DC42BA" w:rsidP="00E31B2B">
      <w:pPr>
        <w:pStyle w:val="enumlev1"/>
        <w:rPr>
          <w:lang w:val="fr-FR"/>
        </w:rPr>
      </w:pPr>
      <w:r w:rsidRPr="00751128">
        <w:rPr>
          <w:lang w:val="fr-FR"/>
        </w:rPr>
        <w:t>•</w:t>
      </w:r>
      <w:r w:rsidRPr="00751128">
        <w:rPr>
          <w:lang w:val="fr-FR"/>
        </w:rPr>
        <w:tab/>
        <w:t>le GCNT a organisé une séance d</w:t>
      </w:r>
      <w:r w:rsidR="00E31B2B">
        <w:rPr>
          <w:lang w:val="fr-FR"/>
        </w:rPr>
        <w:t>'</w:t>
      </w:r>
      <w:r w:rsidRPr="00751128">
        <w:rPr>
          <w:lang w:val="fr-FR"/>
        </w:rPr>
        <w:t>information sur les activités du Groupe spécialisé de l</w:t>
      </w:r>
      <w:r w:rsidR="00E31B2B">
        <w:rPr>
          <w:lang w:val="fr-FR"/>
        </w:rPr>
        <w:t>'</w:t>
      </w:r>
      <w:r w:rsidRPr="00751128">
        <w:rPr>
          <w:lang w:val="fr-FR"/>
        </w:rPr>
        <w:t>UIT-T sur les technologies pour le réseau 2030 (FG-NET2030) et les futurs protocoles et réseaux de communication verticaux (FVCN);</w:t>
      </w:r>
    </w:p>
    <w:p w14:paraId="47FDD53E" w14:textId="77B3018C" w:rsidR="00DC42BA" w:rsidRPr="00751128" w:rsidRDefault="00DC42BA" w:rsidP="00E31B2B">
      <w:pPr>
        <w:pStyle w:val="enumlev1"/>
        <w:rPr>
          <w:lang w:val="fr-FR"/>
        </w:rPr>
      </w:pPr>
      <w:r w:rsidRPr="00751128">
        <w:rPr>
          <w:lang w:val="fr-FR"/>
        </w:rPr>
        <w:t>•</w:t>
      </w:r>
      <w:r w:rsidRPr="00751128">
        <w:rPr>
          <w:lang w:val="fr-FR"/>
        </w:rPr>
        <w:tab/>
        <w:t>le Groupe spécialisé de l</w:t>
      </w:r>
      <w:r w:rsidR="00E31B2B">
        <w:rPr>
          <w:lang w:val="fr-FR"/>
        </w:rPr>
        <w:t>'</w:t>
      </w:r>
      <w:r w:rsidRPr="00751128">
        <w:rPr>
          <w:lang w:val="fr-FR"/>
        </w:rPr>
        <w:t>UIT-T sur l</w:t>
      </w:r>
      <w:r w:rsidR="00E31B2B">
        <w:rPr>
          <w:lang w:val="fr-FR"/>
        </w:rPr>
        <w:t>'</w:t>
      </w:r>
      <w:r w:rsidRPr="00751128">
        <w:rPr>
          <w:lang w:val="fr-FR"/>
        </w:rPr>
        <w:t>intelligence artificielle au service de la gestion des catastrophes naturelles (FG-AI4NDM), rattaché à la CE 2;</w:t>
      </w:r>
    </w:p>
    <w:p w14:paraId="6FEA94A5" w14:textId="611AF05A" w:rsidR="00DC42BA" w:rsidRPr="00751128" w:rsidRDefault="00DC42BA" w:rsidP="00E31B2B">
      <w:pPr>
        <w:pStyle w:val="enumlev1"/>
        <w:rPr>
          <w:lang w:val="fr-FR"/>
        </w:rPr>
      </w:pPr>
      <w:r w:rsidRPr="00751128">
        <w:rPr>
          <w:lang w:val="fr-FR"/>
        </w:rPr>
        <w:t>•</w:t>
      </w:r>
      <w:r w:rsidRPr="00751128">
        <w:rPr>
          <w:lang w:val="fr-FR"/>
        </w:rPr>
        <w:tab/>
        <w:t>le Groupe spécialisé de l</w:t>
      </w:r>
      <w:r w:rsidR="00E31B2B">
        <w:rPr>
          <w:lang w:val="fr-FR"/>
        </w:rPr>
        <w:t>'</w:t>
      </w:r>
      <w:r w:rsidRPr="00751128">
        <w:rPr>
          <w:lang w:val="fr-FR"/>
        </w:rPr>
        <w:t>UIT-T sur les réseaux autonomes (FG-AN), rattaché à la</w:t>
      </w:r>
      <w:r>
        <w:rPr>
          <w:lang w:val="fr-FR"/>
        </w:rPr>
        <w:t> </w:t>
      </w:r>
      <w:r w:rsidRPr="00751128">
        <w:rPr>
          <w:lang w:val="fr-FR"/>
        </w:rPr>
        <w:t>CE 13;</w:t>
      </w:r>
    </w:p>
    <w:p w14:paraId="15557814" w14:textId="1B568BCF" w:rsidR="00DC42BA" w:rsidRPr="00751128" w:rsidRDefault="00DC42BA" w:rsidP="00E31B2B">
      <w:pPr>
        <w:pStyle w:val="enumlev1"/>
        <w:rPr>
          <w:lang w:val="fr-FR"/>
        </w:rPr>
      </w:pPr>
      <w:r w:rsidRPr="00751128">
        <w:rPr>
          <w:lang w:val="fr-FR"/>
        </w:rPr>
        <w:t>•</w:t>
      </w:r>
      <w:r w:rsidRPr="00751128">
        <w:rPr>
          <w:lang w:val="fr-FR"/>
        </w:rPr>
        <w:tab/>
        <w:t>le Groupe spécialisé de l</w:t>
      </w:r>
      <w:r w:rsidR="00E31B2B">
        <w:rPr>
          <w:lang w:val="fr-FR"/>
        </w:rPr>
        <w:t>'</w:t>
      </w:r>
      <w:r w:rsidRPr="00751128">
        <w:rPr>
          <w:lang w:val="fr-FR"/>
        </w:rPr>
        <w:t>UIT-T sur l</w:t>
      </w:r>
      <w:r w:rsidR="00E31B2B">
        <w:rPr>
          <w:lang w:val="fr-FR"/>
        </w:rPr>
        <w:t>'</w:t>
      </w:r>
      <w:r w:rsidRPr="00751128">
        <w:rPr>
          <w:lang w:val="fr-FR"/>
        </w:rPr>
        <w:t>intelligence artificielle (IA) et l</w:t>
      </w:r>
      <w:r w:rsidR="00E31B2B">
        <w:rPr>
          <w:lang w:val="fr-FR"/>
        </w:rPr>
        <w:t>'</w:t>
      </w:r>
      <w:r w:rsidRPr="00751128">
        <w:rPr>
          <w:lang w:val="fr-FR"/>
        </w:rPr>
        <w:t>Internet des objets (IoT) au service de l</w:t>
      </w:r>
      <w:r w:rsidR="00E31B2B">
        <w:rPr>
          <w:lang w:val="fr-FR"/>
        </w:rPr>
        <w:t>'</w:t>
      </w:r>
      <w:r w:rsidRPr="00751128">
        <w:rPr>
          <w:lang w:val="fr-FR"/>
        </w:rPr>
        <w:t>agriculture numérique (FG-AI4A), rattaché à la CE 20.</w:t>
      </w:r>
    </w:p>
    <w:p w14:paraId="0AEC4DBE" w14:textId="77777777" w:rsidR="00DC42BA" w:rsidRPr="00751128" w:rsidRDefault="00DC42BA" w:rsidP="00E31B2B">
      <w:pPr>
        <w:pStyle w:val="Heading2"/>
        <w:rPr>
          <w:lang w:val="fr-FR"/>
        </w:rPr>
      </w:pPr>
      <w:bookmarkStart w:id="49" w:name="_Toc93408226"/>
      <w:bookmarkStart w:id="50" w:name="_Toc94876344"/>
      <w:r w:rsidRPr="00751128">
        <w:rPr>
          <w:lang w:val="fr-FR"/>
        </w:rPr>
        <w:t>3.4</w:t>
      </w:r>
      <w:r w:rsidRPr="00751128">
        <w:rPr>
          <w:lang w:val="fr-FR"/>
        </w:rPr>
        <w:tab/>
        <w:t>Autres résultats des travaux du GCNT</w:t>
      </w:r>
      <w:bookmarkEnd w:id="49"/>
      <w:bookmarkEnd w:id="50"/>
    </w:p>
    <w:p w14:paraId="266F2786" w14:textId="088BB248" w:rsidR="00DC42BA" w:rsidRPr="00751128" w:rsidRDefault="00DC42BA" w:rsidP="00E31B2B">
      <w:pPr>
        <w:pStyle w:val="Heading3"/>
        <w:rPr>
          <w:lang w:val="fr-FR"/>
        </w:rPr>
      </w:pPr>
      <w:r w:rsidRPr="00751128">
        <w:rPr>
          <w:lang w:val="fr-FR"/>
        </w:rPr>
        <w:t>3.4.1</w:t>
      </w:r>
      <w:r w:rsidRPr="00751128">
        <w:rPr>
          <w:lang w:val="fr-FR"/>
        </w:rPr>
        <w:tab/>
        <w:t>Comité de normalisation pour le vocabulaire de l</w:t>
      </w:r>
      <w:r w:rsidR="00E31B2B">
        <w:rPr>
          <w:lang w:val="fr-FR"/>
        </w:rPr>
        <w:t>'</w:t>
      </w:r>
      <w:r w:rsidRPr="00751128">
        <w:rPr>
          <w:lang w:val="fr-FR"/>
        </w:rPr>
        <w:t>UIT-T (SCV)</w:t>
      </w:r>
    </w:p>
    <w:p w14:paraId="114C0DAF" w14:textId="5CC5ADB6" w:rsidR="0026213A" w:rsidRDefault="00DC42BA" w:rsidP="00E31B2B">
      <w:pPr>
        <w:rPr>
          <w:lang w:val="fr-FR"/>
        </w:rPr>
      </w:pPr>
      <w:r w:rsidRPr="00751128">
        <w:rPr>
          <w:lang w:val="fr-FR"/>
        </w:rPr>
        <w:t>Conformément aux dispositions de la Résolution 67 (Rév. Hammamet, 2016) de l</w:t>
      </w:r>
      <w:r w:rsidR="00E31B2B">
        <w:rPr>
          <w:lang w:val="fr-FR"/>
        </w:rPr>
        <w:t>'</w:t>
      </w:r>
      <w:r w:rsidRPr="00751128">
        <w:rPr>
          <w:lang w:val="fr-FR"/>
        </w:rPr>
        <w:t>AMNT, le Comité de normalisation pour le vocabulaire de l</w:t>
      </w:r>
      <w:r w:rsidR="00E31B2B">
        <w:rPr>
          <w:lang w:val="fr-FR"/>
        </w:rPr>
        <w:t>'</w:t>
      </w:r>
      <w:r w:rsidRPr="00751128">
        <w:rPr>
          <w:lang w:val="fr-FR"/>
        </w:rPr>
        <w:t>UIT-T (SCV) est chargé de veiller à ce que les travaux sur le vocabulaire de normalisation à l</w:t>
      </w:r>
      <w:r w:rsidR="00E31B2B">
        <w:rPr>
          <w:lang w:val="fr-FR"/>
        </w:rPr>
        <w:t>'</w:t>
      </w:r>
      <w:r w:rsidRPr="00751128">
        <w:rPr>
          <w:lang w:val="fr-FR"/>
        </w:rPr>
        <w:t>UIT-T soient fondés sur les propositions soumises par les commissions d</w:t>
      </w:r>
      <w:r w:rsidR="00E31B2B">
        <w:rPr>
          <w:lang w:val="fr-FR"/>
        </w:rPr>
        <w:t>'</w:t>
      </w:r>
      <w:r w:rsidRPr="00751128">
        <w:rPr>
          <w:lang w:val="fr-FR"/>
        </w:rPr>
        <w:t>études en anglais et s</w:t>
      </w:r>
      <w:r w:rsidR="00E31B2B">
        <w:rPr>
          <w:lang w:val="fr-FR"/>
        </w:rPr>
        <w:t>'</w:t>
      </w:r>
      <w:r w:rsidRPr="00751128">
        <w:rPr>
          <w:lang w:val="fr-FR"/>
        </w:rPr>
        <w:t>attache plus particulièrement à élaborer une approche unifiée pour l</w:t>
      </w:r>
      <w:r w:rsidR="00E31B2B">
        <w:rPr>
          <w:lang w:val="fr-FR"/>
        </w:rPr>
        <w:t>'</w:t>
      </w:r>
      <w:r w:rsidRPr="00751128">
        <w:rPr>
          <w:lang w:val="fr-FR"/>
        </w:rPr>
        <w:t>harmonisation de la terminologie dans l</w:t>
      </w:r>
      <w:r w:rsidR="00E31B2B">
        <w:rPr>
          <w:lang w:val="fr-FR"/>
        </w:rPr>
        <w:t>'</w:t>
      </w:r>
      <w:r w:rsidRPr="00751128">
        <w:rPr>
          <w:lang w:val="fr-FR"/>
        </w:rPr>
        <w:t>ensemble de l</w:t>
      </w:r>
      <w:r w:rsidR="00E31B2B">
        <w:rPr>
          <w:lang w:val="fr-FR"/>
        </w:rPr>
        <w:t>'</w:t>
      </w:r>
      <w:r w:rsidRPr="00751128">
        <w:rPr>
          <w:lang w:val="fr-FR"/>
        </w:rPr>
        <w:t xml:space="preserve">UIT. Le SCV est composé de spécialistes dans les différentes langues officielles ainsi que de membres désignés par les </w:t>
      </w:r>
      <w:r w:rsidR="0026213A">
        <w:rPr>
          <w:lang w:val="fr-FR"/>
        </w:rPr>
        <w:br w:type="page"/>
      </w:r>
    </w:p>
    <w:p w14:paraId="2DB5A96C" w14:textId="1AAD7AAB" w:rsidR="00DC42BA" w:rsidRPr="00751128" w:rsidRDefault="00DC42BA" w:rsidP="00E31B2B">
      <w:pPr>
        <w:rPr>
          <w:lang w:val="fr-FR"/>
        </w:rPr>
      </w:pPr>
      <w:r w:rsidRPr="00751128">
        <w:rPr>
          <w:lang w:val="fr-FR"/>
        </w:rPr>
        <w:lastRenderedPageBreak/>
        <w:t>administrations et autres participants aux travaux de l</w:t>
      </w:r>
      <w:r w:rsidR="00E31B2B">
        <w:rPr>
          <w:lang w:val="fr-FR"/>
        </w:rPr>
        <w:t>'</w:t>
      </w:r>
      <w:r w:rsidRPr="00751128">
        <w:rPr>
          <w:lang w:val="fr-FR"/>
        </w:rPr>
        <w:t>UIT-T qui souhaitent participer, avec la participation des Rapporteurs pour le vocabulaire désignés par les Commissions d</w:t>
      </w:r>
      <w:r w:rsidR="00E31B2B">
        <w:rPr>
          <w:lang w:val="fr-FR"/>
        </w:rPr>
        <w:t>'</w:t>
      </w:r>
      <w:r w:rsidRPr="00751128">
        <w:rPr>
          <w:lang w:val="fr-FR"/>
        </w:rPr>
        <w:t>études de l</w:t>
      </w:r>
      <w:r w:rsidR="00E31B2B">
        <w:rPr>
          <w:lang w:val="fr-FR"/>
        </w:rPr>
        <w:t>'</w:t>
      </w:r>
      <w:r w:rsidRPr="00751128">
        <w:rPr>
          <w:lang w:val="fr-FR"/>
        </w:rPr>
        <w:t>UIT</w:t>
      </w:r>
      <w:r w:rsidRPr="00751128">
        <w:rPr>
          <w:lang w:val="fr-FR"/>
        </w:rPr>
        <w:noBreakHyphen/>
        <w:t>T, ainsi que du personnel de l</w:t>
      </w:r>
      <w:r w:rsidR="00E31B2B">
        <w:rPr>
          <w:lang w:val="fr-FR"/>
        </w:rPr>
        <w:t>'</w:t>
      </w:r>
      <w:r w:rsidRPr="00751128">
        <w:rPr>
          <w:lang w:val="fr-FR"/>
        </w:rPr>
        <w:t>UIT y ayant un intérêt.</w:t>
      </w:r>
    </w:p>
    <w:p w14:paraId="2D316C94" w14:textId="7F560522" w:rsidR="00DC42BA" w:rsidRPr="00751128" w:rsidRDefault="00DC42BA" w:rsidP="00E31B2B">
      <w:pPr>
        <w:rPr>
          <w:bCs/>
          <w:lang w:val="fr-FR"/>
        </w:rPr>
      </w:pPr>
      <w:r w:rsidRPr="00751128">
        <w:rPr>
          <w:bCs/>
          <w:lang w:val="fr-FR"/>
        </w:rPr>
        <w:t>Le GCNT a nommé Mme Rim Belhaj (Tunisie) en tant que Présidente du Comité de normalisation pour le vocabulaire de l</w:t>
      </w:r>
      <w:r w:rsidR="00E31B2B">
        <w:rPr>
          <w:bCs/>
          <w:lang w:val="fr-FR"/>
        </w:rPr>
        <w:t>'</w:t>
      </w:r>
      <w:r w:rsidRPr="00751128">
        <w:rPr>
          <w:bCs/>
          <w:lang w:val="fr-FR"/>
        </w:rPr>
        <w:t>UIT-T. La Présidente du SCV a présenté au GCNT des rapports périodiques sur les progrès réalisés par ce groupe au titre de la Résolution 67. Le SCV a fait savoir au GCNT qu</w:t>
      </w:r>
      <w:r w:rsidR="00E31B2B">
        <w:rPr>
          <w:bCs/>
          <w:lang w:val="fr-FR"/>
        </w:rPr>
        <w:t>'</w:t>
      </w:r>
      <w:r w:rsidRPr="00751128">
        <w:rPr>
          <w:bCs/>
          <w:lang w:val="fr-FR"/>
        </w:rPr>
        <w:t>il avait décidé de s</w:t>
      </w:r>
      <w:r w:rsidR="00E31B2B">
        <w:rPr>
          <w:bCs/>
          <w:lang w:val="fr-FR"/>
        </w:rPr>
        <w:t>'</w:t>
      </w:r>
      <w:r w:rsidRPr="00751128">
        <w:rPr>
          <w:bCs/>
          <w:lang w:val="fr-FR"/>
        </w:rPr>
        <w:t>adresser à toutes les Commissions d</w:t>
      </w:r>
      <w:r w:rsidR="00E31B2B">
        <w:rPr>
          <w:bCs/>
          <w:lang w:val="fr-FR"/>
        </w:rPr>
        <w:t>'</w:t>
      </w:r>
      <w:r w:rsidRPr="00751128">
        <w:rPr>
          <w:bCs/>
          <w:lang w:val="fr-FR"/>
        </w:rPr>
        <w:t>études de l</w:t>
      </w:r>
      <w:r w:rsidR="00E31B2B">
        <w:rPr>
          <w:bCs/>
          <w:lang w:val="fr-FR"/>
        </w:rPr>
        <w:t>'</w:t>
      </w:r>
      <w:r w:rsidRPr="00751128">
        <w:rPr>
          <w:bCs/>
          <w:lang w:val="fr-FR"/>
        </w:rPr>
        <w:t>UIT-T pour leur demander de soumettre toutes les nouvelles définitions au Comité avant leur approbation.</w:t>
      </w:r>
    </w:p>
    <w:p w14:paraId="5C1F2329" w14:textId="1890F220" w:rsidR="00DC42BA" w:rsidRPr="00751128" w:rsidRDefault="00DC42BA" w:rsidP="00E31B2B">
      <w:pPr>
        <w:rPr>
          <w:bCs/>
          <w:lang w:val="fr-FR"/>
        </w:rPr>
      </w:pPr>
      <w:r w:rsidRPr="00751128">
        <w:rPr>
          <w:bCs/>
          <w:lang w:val="fr-FR"/>
        </w:rPr>
        <w:t>À sa session de 2017, le Conseil de l</w:t>
      </w:r>
      <w:r w:rsidR="00E31B2B">
        <w:rPr>
          <w:bCs/>
          <w:lang w:val="fr-FR"/>
        </w:rPr>
        <w:t>'</w:t>
      </w:r>
      <w:r w:rsidRPr="00751128">
        <w:rPr>
          <w:bCs/>
          <w:lang w:val="fr-FR"/>
        </w:rPr>
        <w:t xml:space="preserve">UIT a approuvé la </w:t>
      </w:r>
      <w:hyperlink r:id="rId142" w:history="1">
        <w:r w:rsidRPr="00751128">
          <w:rPr>
            <w:rStyle w:val="Hyperlink"/>
            <w:bCs/>
            <w:lang w:val="fr-FR"/>
          </w:rPr>
          <w:t>Résolution 1386</w:t>
        </w:r>
      </w:hyperlink>
      <w:r w:rsidRPr="00751128">
        <w:rPr>
          <w:bCs/>
          <w:lang w:val="fr-FR"/>
        </w:rPr>
        <w:t xml:space="preserve"> en date du 26 mai 2017, qui porte création du Comité de coordination de l</w:t>
      </w:r>
      <w:r w:rsidR="00E31B2B">
        <w:rPr>
          <w:bCs/>
          <w:lang w:val="fr-FR"/>
        </w:rPr>
        <w:t>'</w:t>
      </w:r>
      <w:r w:rsidRPr="00751128">
        <w:rPr>
          <w:bCs/>
          <w:lang w:val="fr-FR"/>
        </w:rPr>
        <w:t>UIT pour la terminologie (CCT), coprésidé par la Présidente du SCV et le Président du Comité de coordination pour le vocabulaire (CCV) de l</w:t>
      </w:r>
      <w:r w:rsidR="00E31B2B">
        <w:rPr>
          <w:bCs/>
          <w:lang w:val="fr-FR"/>
        </w:rPr>
        <w:t>'</w:t>
      </w:r>
      <w:r w:rsidRPr="00751128">
        <w:rPr>
          <w:bCs/>
          <w:lang w:val="fr-FR"/>
        </w:rPr>
        <w:t>UIT</w:t>
      </w:r>
      <w:r w:rsidRPr="00751128">
        <w:rPr>
          <w:bCs/>
          <w:lang w:val="fr-FR"/>
        </w:rPr>
        <w:noBreakHyphen/>
        <w:t>R. Le CCT est composé du SCV, du CCV de l</w:t>
      </w:r>
      <w:r w:rsidR="00E31B2B">
        <w:rPr>
          <w:bCs/>
          <w:lang w:val="fr-FR"/>
        </w:rPr>
        <w:t>'</w:t>
      </w:r>
      <w:r w:rsidRPr="00751128">
        <w:rPr>
          <w:bCs/>
          <w:lang w:val="fr-FR"/>
        </w:rPr>
        <w:t>UIT-R et de deux représentants de l</w:t>
      </w:r>
      <w:r w:rsidR="00E31B2B">
        <w:rPr>
          <w:bCs/>
          <w:lang w:val="fr-FR"/>
        </w:rPr>
        <w:t>'</w:t>
      </w:r>
      <w:r w:rsidRPr="00751128">
        <w:rPr>
          <w:bCs/>
          <w:lang w:val="fr-FR"/>
        </w:rPr>
        <w:t>UIT-D.</w:t>
      </w:r>
    </w:p>
    <w:p w14:paraId="3194BAFB" w14:textId="19A271ED" w:rsidR="00DC42BA" w:rsidRPr="00751128" w:rsidRDefault="00DC42BA" w:rsidP="00E31B2B">
      <w:pPr>
        <w:rPr>
          <w:lang w:val="fr-FR"/>
        </w:rPr>
      </w:pPr>
      <w:r w:rsidRPr="00751128">
        <w:rPr>
          <w:rFonts w:asciiTheme="majorBidi" w:hAnsiTheme="majorBidi" w:cstheme="majorBidi"/>
          <w:bCs/>
          <w:lang w:val="fr-FR"/>
        </w:rPr>
        <w:t>Le SCV tient ses réunions conjointement avec le CCV, et désormais avec la participation de l</w:t>
      </w:r>
      <w:r w:rsidR="00E31B2B">
        <w:rPr>
          <w:rFonts w:asciiTheme="majorBidi" w:hAnsiTheme="majorBidi" w:cstheme="majorBidi"/>
          <w:bCs/>
          <w:lang w:val="fr-FR"/>
        </w:rPr>
        <w:t>'</w:t>
      </w:r>
      <w:r w:rsidRPr="00751128">
        <w:rPr>
          <w:rFonts w:asciiTheme="majorBidi" w:hAnsiTheme="majorBidi" w:cstheme="majorBidi"/>
          <w:bCs/>
          <w:lang w:val="fr-FR"/>
        </w:rPr>
        <w:t>UIT</w:t>
      </w:r>
      <w:r w:rsidRPr="00751128">
        <w:rPr>
          <w:rFonts w:asciiTheme="majorBidi" w:hAnsiTheme="majorBidi" w:cstheme="majorBidi"/>
          <w:bCs/>
          <w:lang w:val="fr-FR"/>
        </w:rPr>
        <w:noBreakHyphen/>
        <w:t>D, sous les auspices du Comité de coordination pour la terminologie, ce qui permet de favoriser la collaboration entre les trois Secteurs et d</w:t>
      </w:r>
      <w:r w:rsidR="00E31B2B">
        <w:rPr>
          <w:rFonts w:asciiTheme="majorBidi" w:hAnsiTheme="majorBidi" w:cstheme="majorBidi"/>
          <w:bCs/>
          <w:lang w:val="fr-FR"/>
        </w:rPr>
        <w:t>'</w:t>
      </w:r>
      <w:r w:rsidRPr="00751128">
        <w:rPr>
          <w:rFonts w:asciiTheme="majorBidi" w:hAnsiTheme="majorBidi" w:cstheme="majorBidi"/>
          <w:bCs/>
          <w:lang w:val="fr-FR"/>
        </w:rPr>
        <w:t>accroître l</w:t>
      </w:r>
      <w:r w:rsidR="00E31B2B">
        <w:rPr>
          <w:rFonts w:asciiTheme="majorBidi" w:hAnsiTheme="majorBidi" w:cstheme="majorBidi"/>
          <w:bCs/>
          <w:lang w:val="fr-FR"/>
        </w:rPr>
        <w:t>'</w:t>
      </w:r>
      <w:r w:rsidRPr="00751128">
        <w:rPr>
          <w:rFonts w:asciiTheme="majorBidi" w:hAnsiTheme="majorBidi" w:cstheme="majorBidi"/>
          <w:bCs/>
          <w:lang w:val="fr-FR"/>
        </w:rPr>
        <w:t>efficacité de l</w:t>
      </w:r>
      <w:r w:rsidR="00E31B2B">
        <w:rPr>
          <w:rFonts w:asciiTheme="majorBidi" w:hAnsiTheme="majorBidi" w:cstheme="majorBidi"/>
          <w:bCs/>
          <w:lang w:val="fr-FR"/>
        </w:rPr>
        <w:t>'</w:t>
      </w:r>
      <w:r w:rsidRPr="00751128">
        <w:rPr>
          <w:rFonts w:asciiTheme="majorBidi" w:hAnsiTheme="majorBidi" w:cstheme="majorBidi"/>
          <w:bCs/>
          <w:lang w:val="fr-FR"/>
        </w:rPr>
        <w:t>harmonisation des termes et de leurs définitions.</w:t>
      </w:r>
    </w:p>
    <w:p w14:paraId="31D5F5EB" w14:textId="018B732F" w:rsidR="00DC42BA" w:rsidRPr="00751128" w:rsidRDefault="00DC42BA" w:rsidP="00E31B2B">
      <w:pPr>
        <w:rPr>
          <w:lang w:val="fr-FR"/>
        </w:rPr>
      </w:pPr>
      <w:r w:rsidRPr="00751128">
        <w:rPr>
          <w:lang w:val="fr-FR"/>
        </w:rPr>
        <w:t>Le GCNT et le SCV ont collaboré pour élaborer un libellé plus neutre et inclusif, et il a été reconnu que l</w:t>
      </w:r>
      <w:r w:rsidR="00E31B2B">
        <w:rPr>
          <w:lang w:val="fr-FR"/>
        </w:rPr>
        <w:t>'</w:t>
      </w:r>
      <w:r w:rsidRPr="00751128">
        <w:rPr>
          <w:lang w:val="fr-FR"/>
        </w:rPr>
        <w:t>utilisation d</w:t>
      </w:r>
      <w:r w:rsidR="00E31B2B">
        <w:rPr>
          <w:lang w:val="fr-FR"/>
        </w:rPr>
        <w:t>'</w:t>
      </w:r>
      <w:r w:rsidRPr="00751128">
        <w:rPr>
          <w:lang w:val="fr-FR"/>
        </w:rPr>
        <w:t>un langage inclusif devrait être uniforme à l</w:t>
      </w:r>
      <w:r w:rsidR="00E31B2B">
        <w:rPr>
          <w:lang w:val="fr-FR"/>
        </w:rPr>
        <w:t>'</w:t>
      </w:r>
      <w:r w:rsidRPr="00751128">
        <w:rPr>
          <w:lang w:val="fr-FR"/>
        </w:rPr>
        <w:t>échelle de l</w:t>
      </w:r>
      <w:r w:rsidR="00E31B2B">
        <w:rPr>
          <w:lang w:val="fr-FR"/>
        </w:rPr>
        <w:t>'</w:t>
      </w:r>
      <w:r w:rsidRPr="00751128">
        <w:rPr>
          <w:lang w:val="fr-FR"/>
        </w:rPr>
        <w:t>Union et examinée au niveau du Conseil.</w:t>
      </w:r>
    </w:p>
    <w:p w14:paraId="7847FDD4" w14:textId="77777777" w:rsidR="00DC42BA" w:rsidRPr="00751128" w:rsidRDefault="00DC42BA" w:rsidP="00E31B2B">
      <w:pPr>
        <w:pStyle w:val="Heading3"/>
        <w:rPr>
          <w:lang w:val="fr-FR"/>
        </w:rPr>
      </w:pPr>
      <w:r w:rsidRPr="00751128">
        <w:rPr>
          <w:lang w:val="fr-FR"/>
        </w:rPr>
        <w:t>3.4.2</w:t>
      </w:r>
      <w:r w:rsidRPr="00751128">
        <w:rPr>
          <w:lang w:val="fr-FR"/>
        </w:rPr>
        <w:tab/>
        <w:t>Droits de propriété intellectuelle</w:t>
      </w:r>
    </w:p>
    <w:p w14:paraId="7CE19676" w14:textId="4E883A37" w:rsidR="00DC42BA" w:rsidRPr="00751128" w:rsidRDefault="00DC42BA" w:rsidP="00E31B2B">
      <w:pPr>
        <w:rPr>
          <w:szCs w:val="24"/>
          <w:lang w:val="fr-FR"/>
        </w:rPr>
      </w:pPr>
      <w:r w:rsidRPr="00751128">
        <w:rPr>
          <w:szCs w:val="24"/>
          <w:lang w:val="fr-FR"/>
        </w:rPr>
        <w:t>Le GCNT a débattu de questions relatives aux droits de propriété intellectuelle concernant les méthodes de travail électroniques, ainsi que des pratiques de l</w:t>
      </w:r>
      <w:r w:rsidR="00E31B2B">
        <w:rPr>
          <w:szCs w:val="24"/>
          <w:lang w:val="fr-FR"/>
        </w:rPr>
        <w:t>'</w:t>
      </w:r>
      <w:r w:rsidRPr="00751128">
        <w:rPr>
          <w:szCs w:val="24"/>
          <w:lang w:val="fr-FR"/>
        </w:rPr>
        <w:t>UIT en matière d</w:t>
      </w:r>
      <w:r w:rsidR="00E31B2B">
        <w:rPr>
          <w:szCs w:val="24"/>
          <w:lang w:val="fr-FR"/>
        </w:rPr>
        <w:t>'</w:t>
      </w:r>
      <w:r w:rsidRPr="00751128">
        <w:rPr>
          <w:szCs w:val="24"/>
          <w:lang w:val="fr-FR"/>
        </w:rPr>
        <w:t>autorisation de reproduction et de la mise en œuvre de la Résolution 66 (Rév. Guadalajara, 2010) de la Conférence de plénipotentiaires. Il a également examiné, dans le cadre d</w:t>
      </w:r>
      <w:r w:rsidR="00E31B2B">
        <w:rPr>
          <w:szCs w:val="24"/>
          <w:lang w:val="fr-FR"/>
        </w:rPr>
        <w:t>'</w:t>
      </w:r>
      <w:r w:rsidRPr="00751128">
        <w:rPr>
          <w:szCs w:val="24"/>
          <w:lang w:val="fr-FR"/>
        </w:rPr>
        <w:t>une séance spéciale, les questions relatives aux droits d</w:t>
      </w:r>
      <w:r w:rsidR="00E31B2B">
        <w:rPr>
          <w:szCs w:val="24"/>
          <w:lang w:val="fr-FR"/>
        </w:rPr>
        <w:t>'</w:t>
      </w:r>
      <w:r w:rsidRPr="00751128">
        <w:rPr>
          <w:szCs w:val="24"/>
          <w:lang w:val="fr-FR"/>
        </w:rPr>
        <w:t>auteur. Le GCNT a pris note des statistiques relatives aux Recommandations de l</w:t>
      </w:r>
      <w:r w:rsidR="00E31B2B">
        <w:rPr>
          <w:szCs w:val="24"/>
          <w:lang w:val="fr-FR"/>
        </w:rPr>
        <w:t>'</w:t>
      </w:r>
      <w:r w:rsidRPr="00751128">
        <w:rPr>
          <w:szCs w:val="24"/>
          <w:lang w:val="fr-FR"/>
        </w:rPr>
        <w:t>UIT-T et des déclarations de brevets.</w:t>
      </w:r>
    </w:p>
    <w:p w14:paraId="75563529" w14:textId="62781241" w:rsidR="00DC42BA" w:rsidRPr="00751128" w:rsidRDefault="00DC42BA" w:rsidP="00E31B2B">
      <w:pPr>
        <w:rPr>
          <w:lang w:val="fr-FR"/>
        </w:rPr>
      </w:pPr>
      <w:r w:rsidRPr="00751128">
        <w:rPr>
          <w:lang w:val="fr-FR"/>
        </w:rPr>
        <w:t>Au cours de la période d</w:t>
      </w:r>
      <w:r w:rsidR="00E31B2B">
        <w:rPr>
          <w:lang w:val="fr-FR"/>
        </w:rPr>
        <w:t>'</w:t>
      </w:r>
      <w:r w:rsidRPr="00751128">
        <w:rPr>
          <w:lang w:val="fr-FR"/>
        </w:rPr>
        <w:t>études, le GCNT a pris l</w:t>
      </w:r>
      <w:r w:rsidR="00E31B2B">
        <w:rPr>
          <w:lang w:val="fr-FR"/>
        </w:rPr>
        <w:t>'</w:t>
      </w:r>
      <w:r w:rsidRPr="00751128">
        <w:rPr>
          <w:lang w:val="fr-FR"/>
        </w:rPr>
        <w:t>avis, par l</w:t>
      </w:r>
      <w:r w:rsidR="00E31B2B">
        <w:rPr>
          <w:lang w:val="fr-FR"/>
        </w:rPr>
        <w:t>'</w:t>
      </w:r>
      <w:r w:rsidRPr="00751128">
        <w:rPr>
          <w:lang w:val="fr-FR"/>
        </w:rPr>
        <w:t>intermédiaire du Directeur du TSB, du Groupe ad hoc du Directeur sur les questions relatives aux droits de propriété intellectuelle liées à la révision des Recommandations UIT-T A.1, A.5 et A.25, ainsi que sur la fourniture de documents d</w:t>
      </w:r>
      <w:r w:rsidR="00E31B2B">
        <w:rPr>
          <w:lang w:val="fr-FR"/>
        </w:rPr>
        <w:t>'</w:t>
      </w:r>
      <w:r w:rsidRPr="00751128">
        <w:rPr>
          <w:lang w:val="fr-FR"/>
        </w:rPr>
        <w:t>information/matériel didactique sur les licences de logiciels à code source ouvert ou, à défaut, de modèles de licences de logiciels.</w:t>
      </w:r>
    </w:p>
    <w:p w14:paraId="07424F53" w14:textId="300DF3A9" w:rsidR="00DC42BA" w:rsidRPr="00751128" w:rsidRDefault="00DC42BA" w:rsidP="00E31B2B">
      <w:pPr>
        <w:rPr>
          <w:rFonts w:asciiTheme="majorBidi" w:hAnsiTheme="majorBidi" w:cstheme="majorBidi"/>
          <w:szCs w:val="24"/>
          <w:lang w:val="fr-FR"/>
        </w:rPr>
      </w:pPr>
      <w:r w:rsidRPr="00751128">
        <w:rPr>
          <w:lang w:val="fr-FR"/>
        </w:rPr>
        <w:t>À la demande du Directeur du TSB, le Groupe ad hoc sur les droits de propriété intellectuelle s</w:t>
      </w:r>
      <w:r w:rsidR="00E31B2B">
        <w:rPr>
          <w:lang w:val="fr-FR"/>
        </w:rPr>
        <w:t>'</w:t>
      </w:r>
      <w:r w:rsidRPr="00751128">
        <w:rPr>
          <w:lang w:val="fr-FR"/>
        </w:rPr>
        <w:t>est réuni à plusieurs reprises pour répondre aux préoccupations du GCNT.</w:t>
      </w:r>
    </w:p>
    <w:p w14:paraId="15E9C626" w14:textId="3D21CF3A"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t xml:space="preserve">La réunion de novembre 2017 du </w:t>
      </w:r>
      <w:r w:rsidRPr="00751128">
        <w:rPr>
          <w:lang w:val="fr-FR"/>
        </w:rPr>
        <w:t xml:space="preserve">Groupe IPR-AHG </w:t>
      </w:r>
      <w:r w:rsidRPr="00751128">
        <w:rPr>
          <w:rFonts w:asciiTheme="majorBidi" w:hAnsiTheme="majorBidi" w:cstheme="majorBidi"/>
          <w:szCs w:val="24"/>
          <w:lang w:val="fr-FR"/>
        </w:rPr>
        <w:t>a été précédée d</w:t>
      </w:r>
      <w:r w:rsidR="00E31B2B">
        <w:rPr>
          <w:rFonts w:asciiTheme="majorBidi" w:hAnsiTheme="majorBidi" w:cstheme="majorBidi"/>
          <w:szCs w:val="24"/>
          <w:lang w:val="fr-FR"/>
        </w:rPr>
        <w:t>'</w:t>
      </w:r>
      <w:r w:rsidRPr="00751128">
        <w:rPr>
          <w:rFonts w:asciiTheme="majorBidi" w:hAnsiTheme="majorBidi" w:cstheme="majorBidi"/>
          <w:szCs w:val="24"/>
          <w:lang w:val="fr-FR"/>
        </w:rPr>
        <w:t>un atelier conjoint UIT</w:t>
      </w:r>
      <w:r w:rsidRPr="00751128">
        <w:rPr>
          <w:rFonts w:asciiTheme="majorBidi" w:hAnsiTheme="majorBidi" w:cstheme="majorBidi"/>
          <w:szCs w:val="24"/>
          <w:lang w:val="fr-FR"/>
        </w:rPr>
        <w:noBreakHyphen/>
        <w:t>T</w:t>
      </w:r>
      <w:r w:rsidRPr="00751128">
        <w:rPr>
          <w:rFonts w:asciiTheme="majorBidi" w:hAnsiTheme="majorBidi" w:cstheme="majorBidi"/>
          <w:szCs w:val="24"/>
          <w:lang w:val="fr-FR"/>
        </w:rPr>
        <w:noBreakHyphen/>
        <w:t>NGMN sur les logiciels à code source ouvert et les normes</w:t>
      </w:r>
      <w:r w:rsidRPr="00751128">
        <w:rPr>
          <w:color w:val="000000"/>
          <w:lang w:val="fr-FR"/>
        </w:rPr>
        <w:t xml:space="preserve"> ouvertes</w:t>
      </w:r>
      <w:r w:rsidRPr="00751128">
        <w:rPr>
          <w:rFonts w:asciiTheme="majorBidi" w:hAnsiTheme="majorBidi" w:cstheme="majorBidi"/>
          <w:szCs w:val="24"/>
          <w:lang w:val="fr-FR"/>
        </w:rPr>
        <w:t>. Les participants ont essentiellement examiné les avantages, les problèmes et la marche à suivre possible concernant l</w:t>
      </w:r>
      <w:r w:rsidR="00E31B2B">
        <w:rPr>
          <w:rFonts w:asciiTheme="majorBidi" w:hAnsiTheme="majorBidi" w:cstheme="majorBidi"/>
          <w:szCs w:val="24"/>
          <w:lang w:val="fr-FR"/>
        </w:rPr>
        <w:t>'</w:t>
      </w:r>
      <w:r w:rsidRPr="00751128">
        <w:rPr>
          <w:rFonts w:asciiTheme="majorBidi" w:hAnsiTheme="majorBidi" w:cstheme="majorBidi"/>
          <w:szCs w:val="24"/>
          <w:lang w:val="fr-FR"/>
        </w:rPr>
        <w:t>interaction entre l</w:t>
      </w:r>
      <w:r w:rsidR="00E31B2B">
        <w:rPr>
          <w:rFonts w:asciiTheme="majorBidi" w:hAnsiTheme="majorBidi" w:cstheme="majorBidi"/>
          <w:szCs w:val="24"/>
          <w:lang w:val="fr-FR"/>
        </w:rPr>
        <w:t>'</w:t>
      </w:r>
      <w:r w:rsidRPr="00751128">
        <w:rPr>
          <w:rFonts w:asciiTheme="majorBidi" w:hAnsiTheme="majorBidi" w:cstheme="majorBidi"/>
          <w:szCs w:val="24"/>
          <w:lang w:val="fr-FR"/>
        </w:rPr>
        <w:t>UIT-T et les communautés d</w:t>
      </w:r>
      <w:r w:rsidR="00E31B2B">
        <w:rPr>
          <w:rFonts w:asciiTheme="majorBidi" w:hAnsiTheme="majorBidi" w:cstheme="majorBidi"/>
          <w:szCs w:val="24"/>
          <w:lang w:val="fr-FR"/>
        </w:rPr>
        <w:t>'</w:t>
      </w:r>
      <w:r w:rsidRPr="00751128">
        <w:rPr>
          <w:rFonts w:asciiTheme="majorBidi" w:hAnsiTheme="majorBidi" w:cstheme="majorBidi"/>
          <w:szCs w:val="24"/>
          <w:lang w:val="fr-FR"/>
        </w:rPr>
        <w:t xml:space="preserve">utilisateurs de logiciels à code source ouvert. Le rapport de la réunion figure dans le Document </w:t>
      </w:r>
      <w:hyperlink r:id="rId143" w:history="1">
        <w:r w:rsidRPr="00751128">
          <w:rPr>
            <w:rStyle w:val="Hyperlink"/>
            <w:rFonts w:asciiTheme="majorBidi" w:hAnsiTheme="majorBidi" w:cstheme="majorBidi"/>
            <w:szCs w:val="24"/>
            <w:lang w:val="fr-FR"/>
          </w:rPr>
          <w:t>IPR-TD254</w:t>
        </w:r>
      </w:hyperlink>
      <w:r w:rsidRPr="00751128">
        <w:rPr>
          <w:rFonts w:asciiTheme="majorBidi" w:hAnsiTheme="majorBidi" w:cstheme="majorBidi"/>
          <w:szCs w:val="24"/>
          <w:lang w:val="fr-FR"/>
        </w:rPr>
        <w:t>.</w:t>
      </w:r>
    </w:p>
    <w:p w14:paraId="44634C9D" w14:textId="4FFBF5DE"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t>Le Groupe s</w:t>
      </w:r>
      <w:r w:rsidR="00E31B2B">
        <w:rPr>
          <w:rFonts w:asciiTheme="majorBidi" w:hAnsiTheme="majorBidi" w:cstheme="majorBidi"/>
          <w:szCs w:val="24"/>
          <w:lang w:val="fr-FR"/>
        </w:rPr>
        <w:t>'</w:t>
      </w:r>
      <w:r w:rsidRPr="00751128">
        <w:rPr>
          <w:rFonts w:asciiTheme="majorBidi" w:hAnsiTheme="majorBidi" w:cstheme="majorBidi"/>
          <w:szCs w:val="24"/>
          <w:lang w:val="fr-FR"/>
        </w:rPr>
        <w:t>est à nouveau réuni à Genève en janvier 2019. À cette occasion, les discussions ont porté sur les questions relatives aux brevets essentiels à l</w:t>
      </w:r>
      <w:r w:rsidR="00E31B2B">
        <w:rPr>
          <w:rFonts w:asciiTheme="majorBidi" w:hAnsiTheme="majorBidi" w:cstheme="majorBidi"/>
          <w:szCs w:val="24"/>
          <w:lang w:val="fr-FR"/>
        </w:rPr>
        <w:t>'</w:t>
      </w:r>
      <w:r w:rsidRPr="00751128">
        <w:rPr>
          <w:rFonts w:asciiTheme="majorBidi" w:hAnsiTheme="majorBidi" w:cstheme="majorBidi"/>
          <w:szCs w:val="24"/>
          <w:lang w:val="fr-FR"/>
        </w:rPr>
        <w:t>application d</w:t>
      </w:r>
      <w:r w:rsidR="00E31B2B">
        <w:rPr>
          <w:rFonts w:asciiTheme="majorBidi" w:hAnsiTheme="majorBidi" w:cstheme="majorBidi"/>
          <w:szCs w:val="24"/>
          <w:lang w:val="fr-FR"/>
        </w:rPr>
        <w:t>'</w:t>
      </w:r>
      <w:r w:rsidRPr="00751128">
        <w:rPr>
          <w:rFonts w:asciiTheme="majorBidi" w:hAnsiTheme="majorBidi" w:cstheme="majorBidi"/>
          <w:szCs w:val="24"/>
          <w:lang w:val="fr-FR"/>
        </w:rPr>
        <w:t xml:space="preserve">une norme, aux logiciels à code source ouvert et aux questions liées aux droits de propriété intellectuelle se rapportant aux Recommandations UIT-T A.1, A.5 et en particulier à la Recommandation UIT-T A.25. Le rapport de la réunion figure dans le Document </w:t>
      </w:r>
      <w:hyperlink r:id="rId144" w:history="1">
        <w:r w:rsidRPr="00751128">
          <w:rPr>
            <w:rStyle w:val="Hyperlink"/>
            <w:rFonts w:asciiTheme="majorBidi" w:hAnsiTheme="majorBidi" w:cstheme="majorBidi"/>
            <w:szCs w:val="24"/>
            <w:lang w:val="fr-FR"/>
          </w:rPr>
          <w:t>IPR-TD262</w:t>
        </w:r>
      </w:hyperlink>
      <w:r w:rsidRPr="00751128">
        <w:rPr>
          <w:rFonts w:asciiTheme="majorBidi" w:hAnsiTheme="majorBidi" w:cstheme="majorBidi"/>
          <w:szCs w:val="24"/>
          <w:lang w:val="fr-FR"/>
        </w:rPr>
        <w:t>.</w:t>
      </w:r>
    </w:p>
    <w:p w14:paraId="307EEE57" w14:textId="065E4EDF"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t>La question des Recommandations de la série A a fait l</w:t>
      </w:r>
      <w:r w:rsidR="00E31B2B">
        <w:rPr>
          <w:rFonts w:asciiTheme="majorBidi" w:hAnsiTheme="majorBidi" w:cstheme="majorBidi"/>
          <w:szCs w:val="24"/>
          <w:lang w:val="fr-FR"/>
        </w:rPr>
        <w:t>'</w:t>
      </w:r>
      <w:r w:rsidRPr="00751128">
        <w:rPr>
          <w:rFonts w:asciiTheme="majorBidi" w:hAnsiTheme="majorBidi" w:cstheme="majorBidi"/>
          <w:szCs w:val="24"/>
          <w:lang w:val="fr-FR"/>
        </w:rPr>
        <w:t xml:space="preserve">objet de plusieurs réunions virtuelles du </w:t>
      </w:r>
      <w:r w:rsidRPr="00751128">
        <w:rPr>
          <w:lang w:val="fr-FR"/>
        </w:rPr>
        <w:t>Groupe IPR-AHG, dont les</w:t>
      </w:r>
      <w:r w:rsidRPr="00751128">
        <w:rPr>
          <w:rFonts w:asciiTheme="majorBidi" w:hAnsiTheme="majorBidi" w:cstheme="majorBidi"/>
          <w:szCs w:val="24"/>
          <w:lang w:val="fr-FR"/>
        </w:rPr>
        <w:t xml:space="preserve"> résultats figurent dans le rapport d</w:t>
      </w:r>
      <w:r w:rsidR="00E31B2B">
        <w:rPr>
          <w:rFonts w:asciiTheme="majorBidi" w:hAnsiTheme="majorBidi" w:cstheme="majorBidi"/>
          <w:szCs w:val="24"/>
          <w:lang w:val="fr-FR"/>
        </w:rPr>
        <w:t>'</w:t>
      </w:r>
      <w:r w:rsidRPr="00751128">
        <w:rPr>
          <w:rFonts w:asciiTheme="majorBidi" w:hAnsiTheme="majorBidi" w:cstheme="majorBidi"/>
          <w:szCs w:val="24"/>
          <w:lang w:val="fr-FR"/>
        </w:rPr>
        <w:t xml:space="preserve">activité </w:t>
      </w:r>
      <w:hyperlink r:id="rId145" w:history="1">
        <w:r w:rsidRPr="00751128">
          <w:rPr>
            <w:rStyle w:val="Hyperlink"/>
            <w:rFonts w:asciiTheme="majorBidi" w:hAnsiTheme="majorBidi" w:cstheme="majorBidi"/>
            <w:szCs w:val="24"/>
            <w:lang w:val="fr-FR"/>
          </w:rPr>
          <w:t>IPR-TD263</w:t>
        </w:r>
      </w:hyperlink>
      <w:r w:rsidRPr="00751128">
        <w:rPr>
          <w:rFonts w:asciiTheme="majorBidi" w:hAnsiTheme="majorBidi" w:cstheme="majorBidi"/>
          <w:szCs w:val="24"/>
          <w:lang w:val="fr-FR"/>
        </w:rPr>
        <w:t xml:space="preserve">. Voir également le Document </w:t>
      </w:r>
      <w:hyperlink r:id="rId146" w:history="1">
        <w:r w:rsidRPr="00751128">
          <w:rPr>
            <w:rStyle w:val="Hyperlink"/>
            <w:rFonts w:asciiTheme="majorBidi" w:hAnsiTheme="majorBidi" w:cstheme="majorBidi"/>
            <w:szCs w:val="24"/>
            <w:lang w:val="fr-FR"/>
          </w:rPr>
          <w:t>IPR-TD263R2</w:t>
        </w:r>
      </w:hyperlink>
      <w:r w:rsidRPr="00751128">
        <w:rPr>
          <w:rFonts w:asciiTheme="majorBidi" w:hAnsiTheme="majorBidi" w:cstheme="majorBidi"/>
          <w:szCs w:val="24"/>
          <w:lang w:val="fr-FR"/>
        </w:rPr>
        <w:t xml:space="preserve"> sur le site web du Groupe (accès réservé aux utilisateurs de TIES).</w:t>
      </w:r>
    </w:p>
    <w:p w14:paraId="108A4824" w14:textId="2568ABE9"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lastRenderedPageBreak/>
        <w:t xml:space="preserve">La réunion suivante du Groupe, tenue le 7 décembre 2021, visait à répondre aux préoccupations concernant le texte type sur les </w:t>
      </w:r>
      <w:r w:rsidRPr="00751128">
        <w:rPr>
          <w:lang w:val="fr-FR"/>
        </w:rPr>
        <w:t>droits de propriété intellectuelle</w:t>
      </w:r>
      <w:r w:rsidRPr="00751128">
        <w:rPr>
          <w:rFonts w:asciiTheme="majorBidi" w:hAnsiTheme="majorBidi" w:cstheme="majorBidi"/>
          <w:szCs w:val="24"/>
          <w:lang w:val="fr-FR"/>
        </w:rPr>
        <w:t xml:space="preserve"> figurant sur les pages de couverture des Recommandations de la série A, et à examiner une proposition de modification des lignes directrices relatives aux marques. Le rapport de la réunion fait l</w:t>
      </w:r>
      <w:r w:rsidR="00E31B2B">
        <w:rPr>
          <w:rFonts w:asciiTheme="majorBidi" w:hAnsiTheme="majorBidi" w:cstheme="majorBidi"/>
          <w:szCs w:val="24"/>
          <w:lang w:val="fr-FR"/>
        </w:rPr>
        <w:t>'</w:t>
      </w:r>
      <w:r w:rsidRPr="00751128">
        <w:rPr>
          <w:rFonts w:asciiTheme="majorBidi" w:hAnsiTheme="majorBidi" w:cstheme="majorBidi"/>
          <w:szCs w:val="24"/>
          <w:lang w:val="fr-FR"/>
        </w:rPr>
        <w:t xml:space="preserve">objet du Document </w:t>
      </w:r>
      <w:hyperlink r:id="rId147" w:history="1">
        <w:r w:rsidRPr="00751128">
          <w:rPr>
            <w:rStyle w:val="Hyperlink"/>
            <w:szCs w:val="24"/>
            <w:lang w:val="fr-FR"/>
          </w:rPr>
          <w:t>TSAG-TD1251</w:t>
        </w:r>
      </w:hyperlink>
      <w:r w:rsidRPr="00751128">
        <w:rPr>
          <w:rFonts w:asciiTheme="majorBidi" w:hAnsiTheme="majorBidi" w:cstheme="majorBidi"/>
          <w:szCs w:val="24"/>
          <w:lang w:val="fr-FR"/>
        </w:rPr>
        <w:t>.</w:t>
      </w:r>
    </w:p>
    <w:p w14:paraId="23FE39F6" w14:textId="0FFFD97A" w:rsidR="00DC42BA" w:rsidRPr="00751128" w:rsidRDefault="00DC42BA" w:rsidP="00E31B2B">
      <w:pPr>
        <w:pStyle w:val="Heading3"/>
        <w:rPr>
          <w:lang w:val="fr-FR"/>
        </w:rPr>
      </w:pPr>
      <w:bookmarkStart w:id="51" w:name="_Toc454290003"/>
      <w:bookmarkStart w:id="52" w:name="_Toc454290005"/>
      <w:bookmarkStart w:id="53" w:name="_Toc454290010"/>
      <w:bookmarkStart w:id="54" w:name="_Toc454290019"/>
      <w:bookmarkStart w:id="55" w:name="_Toc454290023"/>
      <w:bookmarkStart w:id="56" w:name="_Toc454290027"/>
      <w:bookmarkStart w:id="57" w:name="_Toc454290029"/>
      <w:bookmarkStart w:id="58" w:name="_Toc454290031"/>
      <w:bookmarkStart w:id="59" w:name="_Toc454290033"/>
      <w:bookmarkStart w:id="60" w:name="_Toc454290034"/>
      <w:bookmarkStart w:id="61" w:name="_Toc454290035"/>
      <w:bookmarkStart w:id="62" w:name="_Toc454290036"/>
      <w:bookmarkStart w:id="63" w:name="_Toc454290039"/>
      <w:bookmarkStart w:id="64" w:name="_Toc454290043"/>
      <w:bookmarkStart w:id="65" w:name="_Toc454290047"/>
      <w:bookmarkStart w:id="66" w:name="_Toc454290050"/>
      <w:bookmarkStart w:id="67" w:name="_Toc454290051"/>
      <w:bookmarkStart w:id="68" w:name="_Toc454290052"/>
      <w:bookmarkStart w:id="69" w:name="_Toc454290053"/>
      <w:bookmarkStart w:id="70" w:name="_Toc45429005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751128">
        <w:rPr>
          <w:lang w:val="fr-FR"/>
        </w:rPr>
        <w:t>3.4.3</w:t>
      </w:r>
      <w:r w:rsidRPr="00751128">
        <w:rPr>
          <w:lang w:val="fr-FR"/>
        </w:rPr>
        <w:tab/>
        <w:t>Plan d</w:t>
      </w:r>
      <w:r w:rsidR="00E31B2B">
        <w:rPr>
          <w:lang w:val="fr-FR"/>
        </w:rPr>
        <w:t>'</w:t>
      </w:r>
      <w:r w:rsidRPr="00751128">
        <w:rPr>
          <w:lang w:val="fr-FR"/>
        </w:rPr>
        <w:t>action de l</w:t>
      </w:r>
      <w:r w:rsidR="00E31B2B">
        <w:rPr>
          <w:lang w:val="fr-FR"/>
        </w:rPr>
        <w:t>'</w:t>
      </w:r>
      <w:r w:rsidRPr="00751128">
        <w:rPr>
          <w:lang w:val="fr-FR"/>
        </w:rPr>
        <w:t>AMNT et Plan d</w:t>
      </w:r>
      <w:r w:rsidR="00E31B2B">
        <w:rPr>
          <w:lang w:val="fr-FR"/>
        </w:rPr>
        <w:t>'</w:t>
      </w:r>
      <w:r w:rsidRPr="00751128">
        <w:rPr>
          <w:lang w:val="fr-FR"/>
        </w:rPr>
        <w:t>action de la PP</w:t>
      </w:r>
    </w:p>
    <w:p w14:paraId="6B0264A3" w14:textId="632562E3" w:rsidR="00DC42BA" w:rsidRPr="00751128" w:rsidRDefault="00DC42BA" w:rsidP="00E31B2B">
      <w:pPr>
        <w:rPr>
          <w:lang w:val="fr-FR" w:eastAsia="zh-CN"/>
        </w:rPr>
      </w:pPr>
      <w:r w:rsidRPr="00751128">
        <w:rPr>
          <w:lang w:val="fr-FR" w:eastAsia="zh-CN"/>
        </w:rPr>
        <w:t>Le GCNT a pris note, à chacune de ses réunions, du "Plan d</w:t>
      </w:r>
      <w:r w:rsidR="00E31B2B">
        <w:rPr>
          <w:lang w:val="fr-FR" w:eastAsia="zh-CN"/>
        </w:rPr>
        <w:t>'</w:t>
      </w:r>
      <w:r w:rsidRPr="00751128">
        <w:rPr>
          <w:lang w:val="fr-FR" w:eastAsia="zh-CN"/>
        </w:rPr>
        <w:t>action de l</w:t>
      </w:r>
      <w:r w:rsidR="00E31B2B">
        <w:rPr>
          <w:lang w:val="fr-FR" w:eastAsia="zh-CN"/>
        </w:rPr>
        <w:t>'</w:t>
      </w:r>
      <w:r w:rsidRPr="00751128">
        <w:rPr>
          <w:lang w:val="fr-FR" w:eastAsia="zh-CN"/>
        </w:rPr>
        <w:t>AMNT-16" du TSB,</w:t>
      </w:r>
      <w:r w:rsidRPr="00751128">
        <w:rPr>
          <w:lang w:val="fr-FR"/>
        </w:rPr>
        <w:t xml:space="preserve"> </w:t>
      </w:r>
      <w:r w:rsidRPr="00751128">
        <w:rPr>
          <w:lang w:val="fr-FR" w:eastAsia="zh-CN"/>
        </w:rPr>
        <w:t>qui constitue un outil de suivi et de notification permettant de suivre la mise en œuvre des Résolutions de l</w:t>
      </w:r>
      <w:r w:rsidR="00E31B2B">
        <w:rPr>
          <w:lang w:val="fr-FR" w:eastAsia="zh-CN"/>
        </w:rPr>
        <w:t>'</w:t>
      </w:r>
      <w:r w:rsidRPr="00751128">
        <w:rPr>
          <w:lang w:val="fr-FR" w:eastAsia="zh-CN"/>
        </w:rPr>
        <w:t>AMNT. Dans le même ordre d</w:t>
      </w:r>
      <w:r w:rsidR="00E31B2B">
        <w:rPr>
          <w:lang w:val="fr-FR" w:eastAsia="zh-CN"/>
        </w:rPr>
        <w:t>'</w:t>
      </w:r>
      <w:r w:rsidRPr="00751128">
        <w:rPr>
          <w:lang w:val="fr-FR" w:eastAsia="zh-CN"/>
        </w:rPr>
        <w:t>idées, le GCNT a pris note d</w:t>
      </w:r>
      <w:r w:rsidR="00E31B2B">
        <w:rPr>
          <w:lang w:val="fr-FR" w:eastAsia="zh-CN"/>
        </w:rPr>
        <w:t>'</w:t>
      </w:r>
      <w:r w:rsidRPr="00751128">
        <w:rPr>
          <w:lang w:val="fr-FR" w:eastAsia="zh-CN"/>
        </w:rPr>
        <w:t>un plan d</w:t>
      </w:r>
      <w:r w:rsidR="00E31B2B">
        <w:rPr>
          <w:lang w:val="fr-FR" w:eastAsia="zh-CN"/>
        </w:rPr>
        <w:t>'</w:t>
      </w:r>
      <w:r w:rsidRPr="00751128">
        <w:rPr>
          <w:lang w:val="fr-FR" w:eastAsia="zh-CN"/>
        </w:rPr>
        <w:t xml:space="preserve">action élaboré récemment qui permet de suivre les </w:t>
      </w:r>
      <w:r w:rsidRPr="00751128">
        <w:rPr>
          <w:color w:val="000000"/>
          <w:lang w:val="fr-FR"/>
        </w:rPr>
        <w:t xml:space="preserve">progrès accomplis dans </w:t>
      </w:r>
      <w:r w:rsidRPr="00751128">
        <w:rPr>
          <w:lang w:val="fr-FR" w:eastAsia="zh-CN"/>
        </w:rPr>
        <w:t>l</w:t>
      </w:r>
      <w:r w:rsidR="00E31B2B">
        <w:rPr>
          <w:lang w:val="fr-FR" w:eastAsia="zh-CN"/>
        </w:rPr>
        <w:t>'</w:t>
      </w:r>
      <w:r w:rsidRPr="00751128">
        <w:rPr>
          <w:lang w:val="fr-FR" w:eastAsia="zh-CN"/>
        </w:rPr>
        <w:t>application des Résolutions de la Conférence de plénipotentiaires de 2018.</w:t>
      </w:r>
    </w:p>
    <w:p w14:paraId="55DBABFD" w14:textId="5493B834" w:rsidR="00DC42BA" w:rsidRPr="00751128" w:rsidRDefault="00DC42BA" w:rsidP="00E31B2B">
      <w:pPr>
        <w:pStyle w:val="Heading3"/>
        <w:rPr>
          <w:lang w:val="fr-FR"/>
        </w:rPr>
      </w:pPr>
      <w:bookmarkStart w:id="71" w:name="_Toc454290071"/>
      <w:bookmarkStart w:id="72" w:name="_Toc454290072"/>
      <w:bookmarkEnd w:id="71"/>
      <w:bookmarkEnd w:id="72"/>
      <w:r w:rsidRPr="00751128">
        <w:rPr>
          <w:lang w:val="fr-FR"/>
        </w:rPr>
        <w:t>3.4.4</w:t>
      </w:r>
      <w:r w:rsidRPr="00751128">
        <w:rPr>
          <w:lang w:val="fr-FR"/>
        </w:rPr>
        <w:tab/>
        <w:t>Réduction de l</w:t>
      </w:r>
      <w:r w:rsidR="00E31B2B">
        <w:rPr>
          <w:lang w:val="fr-FR"/>
        </w:rPr>
        <w:t>'</w:t>
      </w:r>
      <w:r w:rsidRPr="00751128">
        <w:rPr>
          <w:lang w:val="fr-FR"/>
        </w:rPr>
        <w:t>écart en matière de normalisation, coopération avec les bureaux régionaux de l</w:t>
      </w:r>
      <w:r w:rsidR="00E31B2B">
        <w:rPr>
          <w:lang w:val="fr-FR"/>
        </w:rPr>
        <w:t>'</w:t>
      </w:r>
      <w:r w:rsidRPr="00751128">
        <w:rPr>
          <w:lang w:val="fr-FR"/>
        </w:rPr>
        <w:t>UIT et Objectifs de développement durable (ODD)</w:t>
      </w:r>
    </w:p>
    <w:p w14:paraId="6761DC9A" w14:textId="42D94C54" w:rsidR="00DC42BA" w:rsidRPr="00751128" w:rsidRDefault="00DC42BA" w:rsidP="00E31B2B">
      <w:pPr>
        <w:rPr>
          <w:rFonts w:asciiTheme="majorBidi" w:hAnsiTheme="majorBidi" w:cstheme="majorBidi"/>
          <w:lang w:val="fr-FR"/>
        </w:rPr>
      </w:pPr>
      <w:r w:rsidRPr="00751128">
        <w:rPr>
          <w:szCs w:val="24"/>
          <w:lang w:val="fr-FR"/>
        </w:rPr>
        <w:t>Le GCNT a pris note, à chacune de ses réunions, des rapports du TSB intitulés "Réduction de l</w:t>
      </w:r>
      <w:r w:rsidR="00E31B2B">
        <w:rPr>
          <w:szCs w:val="24"/>
          <w:lang w:val="fr-FR"/>
        </w:rPr>
        <w:t>'</w:t>
      </w:r>
      <w:r w:rsidRPr="00751128">
        <w:rPr>
          <w:szCs w:val="24"/>
          <w:lang w:val="fr-FR"/>
        </w:rPr>
        <w:t>écart en matière de normalisation – résultats et activités programmées", et a reçu un bilan des activités menées au titre de la</w:t>
      </w:r>
      <w:r w:rsidRPr="00751128">
        <w:rPr>
          <w:rFonts w:asciiTheme="majorBidi" w:hAnsiTheme="majorBidi" w:cstheme="majorBidi"/>
          <w:lang w:val="fr-FR"/>
        </w:rPr>
        <w:t xml:space="preserve"> Résolution 44 (Rév. Hammamet, 2016) présenté par le TSB.</w:t>
      </w:r>
    </w:p>
    <w:p w14:paraId="3058FC07" w14:textId="782C4EF8" w:rsidR="00DC42BA" w:rsidRPr="00751128" w:rsidRDefault="00DC42BA" w:rsidP="00E31B2B">
      <w:pPr>
        <w:rPr>
          <w:lang w:val="fr-FR"/>
        </w:rPr>
      </w:pPr>
      <w:r w:rsidRPr="00751128">
        <w:rPr>
          <w:lang w:val="fr-FR"/>
        </w:rPr>
        <w:t>Le GCNT a reconnu l</w:t>
      </w:r>
      <w:r w:rsidR="00E31B2B">
        <w:rPr>
          <w:lang w:val="fr-FR"/>
        </w:rPr>
        <w:t>'</w:t>
      </w:r>
      <w:r w:rsidRPr="00751128">
        <w:rPr>
          <w:lang w:val="fr-FR"/>
        </w:rPr>
        <w:t>importance des groupes régionaux constitués conformément à la Résolution 54 (Rév. Hammamet, 2016) ainsi que le rôle qu</w:t>
      </w:r>
      <w:r w:rsidR="00E31B2B">
        <w:rPr>
          <w:lang w:val="fr-FR"/>
        </w:rPr>
        <w:t>'</w:t>
      </w:r>
      <w:r w:rsidRPr="00751128">
        <w:rPr>
          <w:lang w:val="fr-FR"/>
        </w:rPr>
        <w:t>ils jouent dans la mise en œuvre de la Résolution 44 (Rév. Hammamet, 2016) relative à la réduction de l</w:t>
      </w:r>
      <w:r w:rsidR="00E31B2B">
        <w:rPr>
          <w:lang w:val="fr-FR"/>
        </w:rPr>
        <w:t>'</w:t>
      </w:r>
      <w:r w:rsidRPr="00751128">
        <w:rPr>
          <w:lang w:val="fr-FR"/>
        </w:rPr>
        <w:t>écart en matière de normalisation. Il a également reconnu qu</w:t>
      </w:r>
      <w:r w:rsidR="00E31B2B">
        <w:rPr>
          <w:lang w:val="fr-FR"/>
        </w:rPr>
        <w:t>'</w:t>
      </w:r>
      <w:r w:rsidRPr="00751128">
        <w:rPr>
          <w:lang w:val="fr-FR"/>
        </w:rPr>
        <w:t>il était important d</w:t>
      </w:r>
      <w:r w:rsidR="00E31B2B">
        <w:rPr>
          <w:lang w:val="fr-FR"/>
        </w:rPr>
        <w:t>'</w:t>
      </w:r>
      <w:r w:rsidRPr="00751128">
        <w:rPr>
          <w:lang w:val="fr-FR"/>
        </w:rPr>
        <w:t>assurer une interaction et une coopération étroites entre les groupes régionaux et les organisations régionales, et d</w:t>
      </w:r>
      <w:r w:rsidR="00E31B2B">
        <w:rPr>
          <w:lang w:val="fr-FR"/>
        </w:rPr>
        <w:t>'</w:t>
      </w:r>
      <w:r w:rsidRPr="00751128">
        <w:rPr>
          <w:lang w:val="fr-FR"/>
        </w:rPr>
        <w:t>instaurer une coopération étroite avec les bureaux régionaux et les bureaux de zone de l</w:t>
      </w:r>
      <w:r w:rsidR="00E31B2B">
        <w:rPr>
          <w:lang w:val="fr-FR"/>
        </w:rPr>
        <w:t>'</w:t>
      </w:r>
      <w:r w:rsidRPr="00751128">
        <w:rPr>
          <w:lang w:val="fr-FR"/>
        </w:rPr>
        <w:t>UIT. Le TSB, en collaboration avec le BDT, organise périodiquement des conférences téléphoniques avec les bureaux régionaux de l</w:t>
      </w:r>
      <w:r w:rsidR="00E31B2B">
        <w:rPr>
          <w:lang w:val="fr-FR"/>
        </w:rPr>
        <w:t>'</w:t>
      </w:r>
      <w:r w:rsidRPr="00751128">
        <w:rPr>
          <w:lang w:val="fr-FR"/>
        </w:rPr>
        <w:t>UIT, afin de coordonner les manifestations et les activités et d</w:t>
      </w:r>
      <w:r w:rsidR="00E31B2B">
        <w:rPr>
          <w:lang w:val="fr-FR"/>
        </w:rPr>
        <w:t>'</w:t>
      </w:r>
      <w:r w:rsidRPr="00751128">
        <w:rPr>
          <w:lang w:val="fr-FR"/>
        </w:rPr>
        <w:t>éviter ainsi toute redondance des tâches.</w:t>
      </w:r>
    </w:p>
    <w:p w14:paraId="60C96A96" w14:textId="392CC26A" w:rsidR="00DC42BA" w:rsidRPr="00751128" w:rsidRDefault="00DC42BA" w:rsidP="00E31B2B">
      <w:pPr>
        <w:rPr>
          <w:lang w:val="fr-FR"/>
        </w:rPr>
      </w:pPr>
      <w:r w:rsidRPr="00751128">
        <w:rPr>
          <w:rFonts w:asciiTheme="majorBidi" w:hAnsiTheme="majorBidi" w:cstheme="majorBidi"/>
          <w:lang w:val="fr-FR"/>
        </w:rPr>
        <w:t>Le GCNT a reçu la contribution des bureaux régionaux de l</w:t>
      </w:r>
      <w:r w:rsidR="00E31B2B">
        <w:rPr>
          <w:rFonts w:asciiTheme="majorBidi" w:hAnsiTheme="majorBidi" w:cstheme="majorBidi"/>
          <w:lang w:val="fr-FR"/>
        </w:rPr>
        <w:t>'</w:t>
      </w:r>
      <w:r w:rsidRPr="00751128">
        <w:rPr>
          <w:rFonts w:asciiTheme="majorBidi" w:hAnsiTheme="majorBidi" w:cstheme="majorBidi"/>
          <w:lang w:val="fr-FR"/>
        </w:rPr>
        <w:t>UIT à la mise en œuvre du plan opérationnel quadriennal glissant de l</w:t>
      </w:r>
      <w:r w:rsidR="00E31B2B">
        <w:rPr>
          <w:rFonts w:asciiTheme="majorBidi" w:hAnsiTheme="majorBidi" w:cstheme="majorBidi"/>
          <w:lang w:val="fr-FR"/>
        </w:rPr>
        <w:t>'</w:t>
      </w:r>
      <w:r w:rsidRPr="00751128">
        <w:rPr>
          <w:rFonts w:asciiTheme="majorBidi" w:hAnsiTheme="majorBidi" w:cstheme="majorBidi"/>
          <w:lang w:val="fr-FR"/>
        </w:rPr>
        <w:t>UIT-T, conformément à la Résolution 25 (Rév. Dubaï, 2018) de la Conférence de plénipotentiaires de l</w:t>
      </w:r>
      <w:r w:rsidR="00E31B2B">
        <w:rPr>
          <w:rFonts w:asciiTheme="majorBidi" w:hAnsiTheme="majorBidi" w:cstheme="majorBidi"/>
          <w:lang w:val="fr-FR"/>
        </w:rPr>
        <w:t>'</w:t>
      </w:r>
      <w:r w:rsidRPr="00751128">
        <w:rPr>
          <w:rFonts w:asciiTheme="majorBidi" w:hAnsiTheme="majorBidi" w:cstheme="majorBidi"/>
          <w:lang w:val="fr-FR"/>
        </w:rPr>
        <w:t>UIT.</w:t>
      </w:r>
    </w:p>
    <w:p w14:paraId="2A0AF8BA" w14:textId="61FC921A" w:rsidR="00DC42BA" w:rsidRPr="00751128" w:rsidRDefault="00DC42BA" w:rsidP="00E31B2B">
      <w:pPr>
        <w:overflowPunct/>
        <w:autoSpaceDE/>
        <w:autoSpaceDN/>
        <w:adjustRightInd/>
        <w:ind w:right="1151"/>
        <w:textAlignment w:val="auto"/>
        <w:rPr>
          <w:lang w:val="fr-FR"/>
        </w:rPr>
      </w:pPr>
      <w:r w:rsidRPr="00751128">
        <w:rPr>
          <w:rFonts w:asciiTheme="majorBidi" w:hAnsiTheme="majorBidi" w:cstheme="majorBidi"/>
          <w:lang w:val="fr-FR"/>
        </w:rPr>
        <w:t>Le GCNT a examiné plusieurs</w:t>
      </w:r>
      <w:r w:rsidRPr="00751128">
        <w:rPr>
          <w:lang w:val="fr-FR"/>
        </w:rPr>
        <w:t xml:space="preserve"> contributions relatives à la réduction de l</w:t>
      </w:r>
      <w:r w:rsidR="00E31B2B">
        <w:rPr>
          <w:lang w:val="fr-FR"/>
        </w:rPr>
        <w:t>'</w:t>
      </w:r>
      <w:r w:rsidRPr="00751128">
        <w:rPr>
          <w:lang w:val="fr-FR"/>
        </w:rPr>
        <w:t>écart en matière de normalisation et aux questions linguistiques.</w:t>
      </w:r>
    </w:p>
    <w:p w14:paraId="01F4B132" w14:textId="74FC72AD" w:rsidR="00DC42BA" w:rsidRPr="00751128" w:rsidRDefault="00DC42BA" w:rsidP="00E31B2B">
      <w:pPr>
        <w:rPr>
          <w:lang w:val="fr-FR"/>
        </w:rPr>
      </w:pPr>
      <w:r w:rsidRPr="00751128">
        <w:rPr>
          <w:lang w:val="fr-FR"/>
        </w:rPr>
        <w:t>Le GCNT a pris note des feuilles de route actualisées de l</w:t>
      </w:r>
      <w:r w:rsidR="00E31B2B">
        <w:rPr>
          <w:lang w:val="fr-FR"/>
        </w:rPr>
        <w:t>'</w:t>
      </w:r>
      <w:r w:rsidRPr="00751128">
        <w:rPr>
          <w:lang w:val="fr-FR"/>
        </w:rPr>
        <w:t>UIT pour les grandes orientations C2, C5 et C6 du SMSI. Par l</w:t>
      </w:r>
      <w:r w:rsidR="00E31B2B">
        <w:rPr>
          <w:lang w:val="fr-FR"/>
        </w:rPr>
        <w:t>'</w:t>
      </w:r>
      <w:r w:rsidRPr="00751128">
        <w:rPr>
          <w:lang w:val="fr-FR"/>
        </w:rPr>
        <w:t>intermédiaire du Groupe du Rapporteur sur la stratégie en matière de normalisation (RG-StdsStrat), le GCNT envisage d</w:t>
      </w:r>
      <w:r w:rsidR="00E31B2B">
        <w:rPr>
          <w:lang w:val="fr-FR"/>
        </w:rPr>
        <w:t>'</w:t>
      </w:r>
      <w:r w:rsidRPr="00751128">
        <w:rPr>
          <w:lang w:val="fr-FR"/>
        </w:rPr>
        <w:t>utiliser les Objectifs de développement durable (ODD) dans le cadre des travaux du Secteur menés par les commissions d</w:t>
      </w:r>
      <w:r w:rsidR="00E31B2B">
        <w:rPr>
          <w:lang w:val="fr-FR"/>
        </w:rPr>
        <w:t>'</w:t>
      </w:r>
      <w:r w:rsidRPr="00751128">
        <w:rPr>
          <w:lang w:val="fr-FR"/>
        </w:rPr>
        <w:t>études et les groupes chargés de l</w:t>
      </w:r>
      <w:r w:rsidR="00E31B2B">
        <w:rPr>
          <w:lang w:val="fr-FR"/>
        </w:rPr>
        <w:t>'</w:t>
      </w:r>
      <w:r w:rsidRPr="00751128">
        <w:rPr>
          <w:lang w:val="fr-FR"/>
        </w:rPr>
        <w:t>étude d</w:t>
      </w:r>
      <w:r w:rsidR="00E31B2B">
        <w:rPr>
          <w:lang w:val="fr-FR"/>
        </w:rPr>
        <w:t>'</w:t>
      </w:r>
      <w:r w:rsidRPr="00751128">
        <w:rPr>
          <w:lang w:val="fr-FR"/>
        </w:rPr>
        <w:t>une Question.</w:t>
      </w:r>
    </w:p>
    <w:p w14:paraId="233E726E" w14:textId="06A3CC34" w:rsidR="00DC42BA" w:rsidRPr="00751128" w:rsidRDefault="00DC42BA" w:rsidP="00E31B2B">
      <w:pPr>
        <w:pStyle w:val="Heading3"/>
        <w:rPr>
          <w:lang w:val="fr-FR"/>
        </w:rPr>
      </w:pPr>
      <w:r w:rsidRPr="00751128">
        <w:rPr>
          <w:lang w:val="fr-FR"/>
        </w:rPr>
        <w:t>3.4.5</w:t>
      </w:r>
      <w:r w:rsidRPr="00751128">
        <w:rPr>
          <w:lang w:val="fr-FR"/>
        </w:rPr>
        <w:tab/>
        <w:t>Établissements universitaires, manifestation pluridisciplinaire "Kaléidoscope" et Journal de l</w:t>
      </w:r>
      <w:r w:rsidR="00E31B2B">
        <w:rPr>
          <w:lang w:val="fr-FR"/>
        </w:rPr>
        <w:t>'</w:t>
      </w:r>
      <w:r w:rsidRPr="00751128">
        <w:rPr>
          <w:lang w:val="fr-FR"/>
        </w:rPr>
        <w:t>UIT-T</w:t>
      </w:r>
    </w:p>
    <w:p w14:paraId="2DB8A055" w14:textId="460C384D" w:rsidR="00DC42BA" w:rsidRPr="00751128" w:rsidRDefault="00DC42BA" w:rsidP="00E31B2B">
      <w:pPr>
        <w:keepNext/>
        <w:keepLines/>
        <w:rPr>
          <w:rFonts w:asciiTheme="majorBidi" w:hAnsiTheme="majorBidi" w:cstheme="majorBidi"/>
          <w:lang w:val="fr-FR"/>
        </w:rPr>
      </w:pPr>
      <w:r w:rsidRPr="00751128">
        <w:rPr>
          <w:color w:val="000000"/>
          <w:szCs w:val="24"/>
          <w:lang w:val="fr-FR" w:eastAsia="zh-CN"/>
        </w:rPr>
        <w:t>Le GCNT a pris note des rapports des manifestations annuelles Kaléidoscope de l</w:t>
      </w:r>
      <w:r w:rsidR="00E31B2B">
        <w:rPr>
          <w:color w:val="000000"/>
          <w:szCs w:val="24"/>
          <w:lang w:val="fr-FR" w:eastAsia="zh-CN"/>
        </w:rPr>
        <w:t>'</w:t>
      </w:r>
      <w:r w:rsidRPr="00751128">
        <w:rPr>
          <w:color w:val="000000"/>
          <w:szCs w:val="24"/>
          <w:lang w:val="fr-FR" w:eastAsia="zh-CN"/>
        </w:rPr>
        <w:t xml:space="preserve">UIT; le </w:t>
      </w:r>
      <w:r w:rsidRPr="00751128">
        <w:rPr>
          <w:rFonts w:asciiTheme="majorBidi" w:hAnsiTheme="majorBidi" w:cstheme="majorBidi"/>
          <w:lang w:val="fr-FR"/>
        </w:rPr>
        <w:t>TSB a fourni une évaluation des documents présentés dans le cadre des manifestations Kaléidoscope du point de vue de leur pertinence pour les activités de l</w:t>
      </w:r>
      <w:r w:rsidR="00E31B2B">
        <w:rPr>
          <w:rFonts w:asciiTheme="majorBidi" w:hAnsiTheme="majorBidi" w:cstheme="majorBidi"/>
          <w:lang w:val="fr-FR"/>
        </w:rPr>
        <w:t>'</w:t>
      </w:r>
      <w:r w:rsidRPr="00751128">
        <w:rPr>
          <w:rFonts w:asciiTheme="majorBidi" w:hAnsiTheme="majorBidi" w:cstheme="majorBidi"/>
          <w:lang w:val="fr-FR"/>
        </w:rPr>
        <w:t>UIT.</w:t>
      </w:r>
    </w:p>
    <w:p w14:paraId="1EEBBA77" w14:textId="60AF54F4" w:rsidR="00DC42BA" w:rsidRPr="00751128" w:rsidRDefault="00DC42BA" w:rsidP="00E31B2B">
      <w:pPr>
        <w:rPr>
          <w:rFonts w:asciiTheme="majorBidi" w:hAnsiTheme="majorBidi" w:cstheme="majorBidi"/>
          <w:lang w:val="fr-FR"/>
        </w:rPr>
      </w:pPr>
      <w:r w:rsidRPr="00751128">
        <w:rPr>
          <w:color w:val="000000"/>
          <w:szCs w:val="24"/>
          <w:lang w:val="fr-FR" w:eastAsia="zh-CN"/>
        </w:rPr>
        <w:t xml:space="preserve">Le GCNT a pris note des prochains numéros du </w:t>
      </w:r>
      <w:r w:rsidRPr="00751128">
        <w:rPr>
          <w:i/>
          <w:iCs/>
          <w:color w:val="000000"/>
          <w:szCs w:val="24"/>
          <w:lang w:val="fr-FR" w:eastAsia="zh-CN"/>
        </w:rPr>
        <w:t>Journal de l</w:t>
      </w:r>
      <w:r w:rsidR="00E31B2B">
        <w:rPr>
          <w:i/>
          <w:iCs/>
          <w:color w:val="000000"/>
          <w:szCs w:val="24"/>
          <w:lang w:val="fr-FR" w:eastAsia="zh-CN"/>
        </w:rPr>
        <w:t>'</w:t>
      </w:r>
      <w:r w:rsidRPr="00751128">
        <w:rPr>
          <w:i/>
          <w:iCs/>
          <w:color w:val="000000"/>
          <w:szCs w:val="24"/>
          <w:lang w:val="fr-FR" w:eastAsia="zh-CN"/>
        </w:rPr>
        <w:t>UIT "À la découverte des TIC"</w:t>
      </w:r>
      <w:r w:rsidRPr="00751128">
        <w:rPr>
          <w:rFonts w:asciiTheme="majorBidi" w:hAnsiTheme="majorBidi" w:cstheme="majorBidi"/>
          <w:i/>
          <w:lang w:val="fr-FR"/>
        </w:rPr>
        <w:t>.</w:t>
      </w:r>
    </w:p>
    <w:p w14:paraId="545D3C0C" w14:textId="77777777" w:rsidR="00DC42BA" w:rsidRPr="00751128" w:rsidRDefault="00DC42BA" w:rsidP="00E31B2B">
      <w:pPr>
        <w:pStyle w:val="Heading3"/>
        <w:rPr>
          <w:lang w:val="fr-FR"/>
        </w:rPr>
      </w:pPr>
      <w:r w:rsidRPr="00751128">
        <w:rPr>
          <w:lang w:val="fr-FR"/>
        </w:rPr>
        <w:t>3.4.6</w:t>
      </w:r>
      <w:r w:rsidRPr="00751128">
        <w:rPr>
          <w:lang w:val="fr-FR"/>
        </w:rPr>
        <w:tab/>
        <w:t>Calendrier des réunions</w:t>
      </w:r>
    </w:p>
    <w:p w14:paraId="17D589E1" w14:textId="5C3BCB29" w:rsidR="00DC42BA" w:rsidRPr="00751128" w:rsidRDefault="00DC42BA" w:rsidP="00E31B2B">
      <w:pPr>
        <w:rPr>
          <w:lang w:val="fr-FR"/>
        </w:rPr>
      </w:pPr>
      <w:r w:rsidRPr="00751128">
        <w:rPr>
          <w:lang w:val="fr-FR"/>
        </w:rPr>
        <w:t>À chaque réunion, le GCNT a examiné et approuvé le calendrier des réunions des commissions d</w:t>
      </w:r>
      <w:r w:rsidR="00E31B2B">
        <w:rPr>
          <w:lang w:val="fr-FR"/>
        </w:rPr>
        <w:t>'</w:t>
      </w:r>
      <w:r w:rsidRPr="00751128">
        <w:rPr>
          <w:lang w:val="fr-FR"/>
        </w:rPr>
        <w:t>études et des groupes de travail pour les années suivantes.</w:t>
      </w:r>
    </w:p>
    <w:p w14:paraId="76173754" w14:textId="77777777" w:rsidR="00DC42BA" w:rsidRPr="00751128" w:rsidRDefault="00DC42BA" w:rsidP="00E31B2B">
      <w:pPr>
        <w:pStyle w:val="Heading3"/>
        <w:rPr>
          <w:lang w:val="fr-FR"/>
        </w:rPr>
      </w:pPr>
      <w:r w:rsidRPr="00751128">
        <w:rPr>
          <w:lang w:val="fr-FR"/>
        </w:rPr>
        <w:lastRenderedPageBreak/>
        <w:t>3.4.7</w:t>
      </w:r>
      <w:r w:rsidRPr="00751128">
        <w:rPr>
          <w:lang w:val="fr-FR"/>
        </w:rPr>
        <w:tab/>
      </w:r>
      <w:bookmarkStart w:id="73" w:name="_Toc508133723"/>
      <w:r w:rsidRPr="00751128">
        <w:rPr>
          <w:lang w:val="fr-FR"/>
        </w:rPr>
        <w:t>Règlement des télécommunications internationales (RTI)</w:t>
      </w:r>
      <w:bookmarkEnd w:id="73"/>
    </w:p>
    <w:p w14:paraId="73B2935D" w14:textId="1BC48550" w:rsidR="00DC42BA" w:rsidRPr="00751128" w:rsidRDefault="00DC42BA" w:rsidP="00E31B2B">
      <w:pPr>
        <w:rPr>
          <w:szCs w:val="24"/>
          <w:lang w:val="fr-FR"/>
        </w:rPr>
      </w:pPr>
      <w:r w:rsidRPr="00751128">
        <w:rPr>
          <w:szCs w:val="24"/>
          <w:lang w:val="fr-FR"/>
        </w:rPr>
        <w:t>Le GCNT a recueilli les contributions des commissions d</w:t>
      </w:r>
      <w:r w:rsidR="00E31B2B">
        <w:rPr>
          <w:szCs w:val="24"/>
          <w:lang w:val="fr-FR"/>
        </w:rPr>
        <w:t>'</w:t>
      </w:r>
      <w:r w:rsidRPr="00751128">
        <w:rPr>
          <w:szCs w:val="24"/>
          <w:lang w:val="fr-FR"/>
        </w:rPr>
        <w:t>études sur leurs activités et les informations générales pertinentes sur l</w:t>
      </w:r>
      <w:r w:rsidR="00E31B2B">
        <w:rPr>
          <w:szCs w:val="24"/>
          <w:lang w:val="fr-FR"/>
        </w:rPr>
        <w:t>'</w:t>
      </w:r>
      <w:r w:rsidRPr="00751128">
        <w:rPr>
          <w:szCs w:val="24"/>
          <w:lang w:val="fr-FR"/>
        </w:rPr>
        <w:t>application de la version de 2012 du Règlement des télécommunications internationales (RTI) et les a transmis au Groupe d</w:t>
      </w:r>
      <w:r w:rsidR="00E31B2B">
        <w:rPr>
          <w:szCs w:val="24"/>
          <w:lang w:val="fr-FR"/>
        </w:rPr>
        <w:t>'</w:t>
      </w:r>
      <w:r w:rsidRPr="00751128">
        <w:rPr>
          <w:szCs w:val="24"/>
          <w:lang w:val="fr-FR"/>
        </w:rPr>
        <w:t>experts du Conseil de l</w:t>
      </w:r>
      <w:r w:rsidR="00E31B2B">
        <w:rPr>
          <w:szCs w:val="24"/>
          <w:lang w:val="fr-FR"/>
        </w:rPr>
        <w:t>'</w:t>
      </w:r>
      <w:r w:rsidRPr="00751128">
        <w:rPr>
          <w:szCs w:val="24"/>
          <w:lang w:val="fr-FR"/>
        </w:rPr>
        <w:t>UIT sur le RTI (EG-ITR) par l</w:t>
      </w:r>
      <w:r w:rsidR="00E31B2B">
        <w:rPr>
          <w:szCs w:val="24"/>
          <w:lang w:val="fr-FR"/>
        </w:rPr>
        <w:t>'</w:t>
      </w:r>
      <w:r w:rsidRPr="00751128">
        <w:rPr>
          <w:szCs w:val="24"/>
          <w:lang w:val="fr-FR"/>
        </w:rPr>
        <w:t>intermédiaire du Directeur du TSB.</w:t>
      </w:r>
    </w:p>
    <w:p w14:paraId="24CC4EBF" w14:textId="77777777" w:rsidR="00DC42BA" w:rsidRPr="00751128" w:rsidRDefault="00DC42BA" w:rsidP="00E31B2B">
      <w:pPr>
        <w:pStyle w:val="Heading3"/>
        <w:rPr>
          <w:lang w:val="fr-FR"/>
        </w:rPr>
      </w:pPr>
      <w:r w:rsidRPr="00751128">
        <w:rPr>
          <w:lang w:val="fr-FR"/>
        </w:rPr>
        <w:t>3.4.8</w:t>
      </w:r>
      <w:r w:rsidRPr="00751128">
        <w:rPr>
          <w:lang w:val="fr-FR"/>
        </w:rPr>
        <w:tab/>
        <w:t>Accessibilité</w:t>
      </w:r>
    </w:p>
    <w:p w14:paraId="4CF5C7E2" w14:textId="495B4701"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t>Outre les activités du Groupe JCA-AHF qui lui est rattaché (voir le § 2.1.4), le GCNT a reconnu l</w:t>
      </w:r>
      <w:r w:rsidR="00E31B2B">
        <w:rPr>
          <w:rFonts w:asciiTheme="majorBidi" w:hAnsiTheme="majorBidi" w:cstheme="majorBidi"/>
          <w:szCs w:val="24"/>
          <w:lang w:val="fr-FR"/>
        </w:rPr>
        <w:t>'</w:t>
      </w:r>
      <w:r w:rsidRPr="00751128">
        <w:rPr>
          <w:rFonts w:asciiTheme="majorBidi" w:hAnsiTheme="majorBidi" w:cstheme="majorBidi"/>
          <w:szCs w:val="24"/>
          <w:lang w:val="fr-FR"/>
        </w:rPr>
        <w:t>importance stratégique de l</w:t>
      </w:r>
      <w:r w:rsidR="00E31B2B">
        <w:rPr>
          <w:rFonts w:asciiTheme="majorBidi" w:hAnsiTheme="majorBidi" w:cstheme="majorBidi"/>
          <w:szCs w:val="24"/>
          <w:lang w:val="fr-FR"/>
        </w:rPr>
        <w:t>'</w:t>
      </w:r>
      <w:r w:rsidRPr="00751128">
        <w:rPr>
          <w:rFonts w:asciiTheme="majorBidi" w:hAnsiTheme="majorBidi" w:cstheme="majorBidi"/>
          <w:szCs w:val="24"/>
          <w:lang w:val="fr-FR"/>
        </w:rPr>
        <w:t xml:space="preserve">accessibilité </w:t>
      </w:r>
      <w:r w:rsidRPr="00751128">
        <w:rPr>
          <w:lang w:val="fr-FR"/>
        </w:rPr>
        <w:t>et recommandé au Directeur du TSB, d</w:t>
      </w:r>
      <w:r w:rsidR="00E31B2B">
        <w:rPr>
          <w:lang w:val="fr-FR"/>
        </w:rPr>
        <w:t>'</w:t>
      </w:r>
      <w:r w:rsidRPr="00751128">
        <w:rPr>
          <w:lang w:val="fr-FR"/>
        </w:rPr>
        <w:t xml:space="preserve">une part, de prendre les mesures nécessaires décrites dans le Document </w:t>
      </w:r>
      <w:hyperlink r:id="rId148" w:history="1">
        <w:r w:rsidRPr="00751128">
          <w:rPr>
            <w:rStyle w:val="Hyperlink"/>
            <w:lang w:val="fr-FR"/>
          </w:rPr>
          <w:t>TSAG-TD1014</w:t>
        </w:r>
      </w:hyperlink>
      <w:r w:rsidRPr="00751128">
        <w:rPr>
          <w:color w:val="000000"/>
          <w:lang w:val="fr-FR"/>
        </w:rPr>
        <w:t xml:space="preserve"> </w:t>
      </w:r>
      <w:r w:rsidRPr="00751128">
        <w:rPr>
          <w:lang w:val="fr-FR"/>
        </w:rPr>
        <w:t>"Mieux faire connaître la question de l</w:t>
      </w:r>
      <w:r w:rsidR="00E31B2B">
        <w:rPr>
          <w:lang w:val="fr-FR"/>
        </w:rPr>
        <w:t>'</w:t>
      </w:r>
      <w:r w:rsidRPr="00751128">
        <w:rPr>
          <w:lang w:val="fr-FR"/>
        </w:rPr>
        <w:t>accessibilité à l</w:t>
      </w:r>
      <w:r w:rsidR="00E31B2B">
        <w:rPr>
          <w:lang w:val="fr-FR"/>
        </w:rPr>
        <w:t>'</w:t>
      </w:r>
      <w:r w:rsidRPr="00751128">
        <w:rPr>
          <w:lang w:val="fr-FR"/>
        </w:rPr>
        <w:t>UIT", qui décrit une stratégie pour mieux faire connaître la question de l</w:t>
      </w:r>
      <w:r w:rsidR="00E31B2B">
        <w:rPr>
          <w:lang w:val="fr-FR"/>
        </w:rPr>
        <w:t>'</w:t>
      </w:r>
      <w:r w:rsidRPr="00751128">
        <w:rPr>
          <w:lang w:val="fr-FR"/>
        </w:rPr>
        <w:t>accessibilité et renforcer la coordination au sein de l</w:t>
      </w:r>
      <w:r w:rsidR="00E31B2B">
        <w:rPr>
          <w:lang w:val="fr-FR"/>
        </w:rPr>
        <w:t>'</w:t>
      </w:r>
      <w:r w:rsidRPr="00751128">
        <w:rPr>
          <w:lang w:val="fr-FR"/>
        </w:rPr>
        <w:t>UIT et, d</w:t>
      </w:r>
      <w:r w:rsidR="00E31B2B">
        <w:rPr>
          <w:lang w:val="fr-FR"/>
        </w:rPr>
        <w:t>'</w:t>
      </w:r>
      <w:r w:rsidRPr="00751128">
        <w:rPr>
          <w:lang w:val="fr-FR"/>
        </w:rPr>
        <w:t>autre part, d</w:t>
      </w:r>
      <w:r w:rsidR="00E31B2B">
        <w:rPr>
          <w:lang w:val="fr-FR"/>
        </w:rPr>
        <w:t>'</w:t>
      </w:r>
      <w:r w:rsidRPr="00751128">
        <w:rPr>
          <w:lang w:val="fr-FR"/>
        </w:rPr>
        <w:t>attirer l</w:t>
      </w:r>
      <w:r w:rsidR="00E31B2B">
        <w:rPr>
          <w:lang w:val="fr-FR"/>
        </w:rPr>
        <w:t>'</w:t>
      </w:r>
      <w:r w:rsidRPr="00751128">
        <w:rPr>
          <w:lang w:val="fr-FR"/>
        </w:rPr>
        <w:t>attention du Conseil, du Groupe de coordination intersectorielle des membres sur des questions d</w:t>
      </w:r>
      <w:r w:rsidR="00E31B2B">
        <w:rPr>
          <w:lang w:val="fr-FR"/>
        </w:rPr>
        <w:t>'</w:t>
      </w:r>
      <w:r w:rsidRPr="00751128">
        <w:rPr>
          <w:lang w:val="fr-FR"/>
        </w:rPr>
        <w:t>intérêt mutuel (ISCG) et du Groupe spécial de coordination intersectorielle (ISC-TF) sur cette question qui est prioritaire</w:t>
      </w:r>
      <w:r w:rsidRPr="00751128">
        <w:rPr>
          <w:rFonts w:asciiTheme="majorBidi" w:hAnsiTheme="majorBidi" w:cstheme="majorBidi"/>
          <w:szCs w:val="24"/>
          <w:lang w:val="fr-FR"/>
        </w:rPr>
        <w:t>.</w:t>
      </w:r>
    </w:p>
    <w:p w14:paraId="0C02026B" w14:textId="1F7B0D4A"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t>La proposition tendant à créer une nouvelle division ou entité sur l</w:t>
      </w:r>
      <w:r w:rsidR="00E31B2B">
        <w:rPr>
          <w:rFonts w:asciiTheme="majorBidi" w:hAnsiTheme="majorBidi" w:cstheme="majorBidi"/>
          <w:szCs w:val="24"/>
          <w:lang w:val="fr-FR"/>
        </w:rPr>
        <w:t>'</w:t>
      </w:r>
      <w:r w:rsidRPr="00751128">
        <w:rPr>
          <w:rFonts w:asciiTheme="majorBidi" w:hAnsiTheme="majorBidi" w:cstheme="majorBidi"/>
          <w:szCs w:val="24"/>
          <w:lang w:val="fr-FR"/>
        </w:rPr>
        <w:t>accessibilité au sein de l</w:t>
      </w:r>
      <w:r w:rsidR="00E31B2B">
        <w:rPr>
          <w:rFonts w:asciiTheme="majorBidi" w:hAnsiTheme="majorBidi" w:cstheme="majorBidi"/>
          <w:szCs w:val="24"/>
          <w:lang w:val="fr-FR"/>
        </w:rPr>
        <w:t>'</w:t>
      </w:r>
      <w:r w:rsidRPr="00751128">
        <w:rPr>
          <w:rFonts w:asciiTheme="majorBidi" w:hAnsiTheme="majorBidi" w:cstheme="majorBidi"/>
          <w:szCs w:val="24"/>
          <w:lang w:val="fr-FR"/>
        </w:rPr>
        <w:t>Union a été appuyée et les participants ont fait savoir qu</w:t>
      </w:r>
      <w:r w:rsidR="00E31B2B">
        <w:rPr>
          <w:rFonts w:asciiTheme="majorBidi" w:hAnsiTheme="majorBidi" w:cstheme="majorBidi"/>
          <w:szCs w:val="24"/>
          <w:lang w:val="fr-FR"/>
        </w:rPr>
        <w:t>'</w:t>
      </w:r>
      <w:r w:rsidRPr="00751128">
        <w:rPr>
          <w:rFonts w:asciiTheme="majorBidi" w:hAnsiTheme="majorBidi" w:cstheme="majorBidi"/>
          <w:szCs w:val="24"/>
          <w:lang w:val="fr-FR"/>
        </w:rPr>
        <w:t>ils souhaitaient collaborer et s</w:t>
      </w:r>
      <w:r w:rsidR="00E31B2B">
        <w:rPr>
          <w:rFonts w:asciiTheme="majorBidi" w:hAnsiTheme="majorBidi" w:cstheme="majorBidi"/>
          <w:szCs w:val="24"/>
          <w:lang w:val="fr-FR"/>
        </w:rPr>
        <w:t>'</w:t>
      </w:r>
      <w:r w:rsidRPr="00751128">
        <w:rPr>
          <w:rFonts w:asciiTheme="majorBidi" w:hAnsiTheme="majorBidi" w:cstheme="majorBidi"/>
          <w:szCs w:val="24"/>
          <w:lang w:val="fr-FR"/>
        </w:rPr>
        <w:t>employer résolument à rechercher les lignes budgétaires nécessaires pour appuyer ces projets.</w:t>
      </w:r>
    </w:p>
    <w:p w14:paraId="44238A21" w14:textId="27F5D445"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t>Le GCNT est convenu d</w:t>
      </w:r>
      <w:r w:rsidR="00E31B2B">
        <w:rPr>
          <w:rFonts w:asciiTheme="majorBidi" w:hAnsiTheme="majorBidi" w:cstheme="majorBidi"/>
          <w:szCs w:val="24"/>
          <w:lang w:val="fr-FR"/>
        </w:rPr>
        <w:t>'</w:t>
      </w:r>
      <w:r w:rsidRPr="00751128">
        <w:rPr>
          <w:rFonts w:asciiTheme="majorBidi" w:hAnsiTheme="majorBidi" w:cstheme="majorBidi"/>
          <w:szCs w:val="24"/>
          <w:lang w:val="fr-FR"/>
        </w:rPr>
        <w:t>encourager la tenue de réunions accessibles (</w:t>
      </w:r>
      <w:hyperlink r:id="rId149" w:history="1">
        <w:r w:rsidRPr="00751128">
          <w:rPr>
            <w:rStyle w:val="Hyperlink"/>
            <w:rFonts w:asciiTheme="majorBidi" w:hAnsiTheme="majorBidi" w:cstheme="majorBidi"/>
            <w:szCs w:val="24"/>
            <w:lang w:val="fr-FR"/>
          </w:rPr>
          <w:t>Note de liaison 50 du GCNT</w:t>
        </w:r>
      </w:hyperlink>
      <w:hyperlink r:id="rId150" w:history="1"/>
      <w:r w:rsidRPr="00751128">
        <w:rPr>
          <w:rFonts w:asciiTheme="majorBidi" w:hAnsiTheme="majorBidi" w:cstheme="majorBidi"/>
          <w:szCs w:val="24"/>
          <w:lang w:val="fr-FR"/>
        </w:rPr>
        <w:t>) et a nommé Mme Andrea Saks (G3ict, États-Unis) en tant que coordinatrice sur l</w:t>
      </w:r>
      <w:r w:rsidR="00E31B2B">
        <w:rPr>
          <w:rFonts w:asciiTheme="majorBidi" w:hAnsiTheme="majorBidi" w:cstheme="majorBidi"/>
          <w:szCs w:val="24"/>
          <w:lang w:val="fr-FR"/>
        </w:rPr>
        <w:t>'</w:t>
      </w:r>
      <w:r w:rsidRPr="00751128">
        <w:rPr>
          <w:rFonts w:asciiTheme="majorBidi" w:hAnsiTheme="majorBidi" w:cstheme="majorBidi"/>
          <w:szCs w:val="24"/>
          <w:lang w:val="fr-FR"/>
        </w:rPr>
        <w:t>accessibilité à l</w:t>
      </w:r>
      <w:r w:rsidR="00E31B2B">
        <w:rPr>
          <w:rFonts w:asciiTheme="majorBidi" w:hAnsiTheme="majorBidi" w:cstheme="majorBidi"/>
          <w:szCs w:val="24"/>
          <w:lang w:val="fr-FR"/>
        </w:rPr>
        <w:t>'</w:t>
      </w:r>
      <w:r w:rsidRPr="00751128">
        <w:rPr>
          <w:rFonts w:asciiTheme="majorBidi" w:hAnsiTheme="majorBidi" w:cstheme="majorBidi"/>
          <w:szCs w:val="24"/>
          <w:lang w:val="fr-FR"/>
        </w:rPr>
        <w:t>échelle de l</w:t>
      </w:r>
      <w:r w:rsidR="00E31B2B">
        <w:rPr>
          <w:rFonts w:asciiTheme="majorBidi" w:hAnsiTheme="majorBidi" w:cstheme="majorBidi"/>
          <w:szCs w:val="24"/>
          <w:lang w:val="fr-FR"/>
        </w:rPr>
        <w:t>'</w:t>
      </w:r>
      <w:r w:rsidRPr="00751128">
        <w:rPr>
          <w:rFonts w:asciiTheme="majorBidi" w:hAnsiTheme="majorBidi" w:cstheme="majorBidi"/>
          <w:szCs w:val="24"/>
          <w:lang w:val="fr-FR"/>
        </w:rPr>
        <w:t>UIT au sein du Groupe ISCG.</w:t>
      </w:r>
    </w:p>
    <w:p w14:paraId="2276E3DD" w14:textId="77777777" w:rsidR="00DC42BA" w:rsidRPr="00751128" w:rsidRDefault="00DC42BA" w:rsidP="00E31B2B">
      <w:pPr>
        <w:rPr>
          <w:rFonts w:asciiTheme="majorBidi" w:hAnsiTheme="majorBidi" w:cstheme="majorBidi"/>
          <w:szCs w:val="24"/>
          <w:lang w:val="fr-FR"/>
        </w:rPr>
      </w:pPr>
      <w:r w:rsidRPr="00751128">
        <w:rPr>
          <w:rFonts w:asciiTheme="majorBidi" w:hAnsiTheme="majorBidi" w:cstheme="majorBidi"/>
          <w:szCs w:val="24"/>
          <w:lang w:val="fr-FR"/>
        </w:rPr>
        <w:br w:type="page"/>
      </w:r>
    </w:p>
    <w:p w14:paraId="461060E3" w14:textId="77777777" w:rsidR="00DC42BA" w:rsidRPr="00751128" w:rsidRDefault="00DC42BA" w:rsidP="00E31B2B">
      <w:pPr>
        <w:pStyle w:val="AnnexNo"/>
        <w:rPr>
          <w:lang w:val="fr-FR"/>
        </w:rPr>
      </w:pPr>
      <w:bookmarkStart w:id="74" w:name="_Toc94876345"/>
      <w:r w:rsidRPr="00751128">
        <w:rPr>
          <w:lang w:val="fr-FR"/>
        </w:rPr>
        <w:lastRenderedPageBreak/>
        <w:t>ANNEXE 1</w:t>
      </w:r>
      <w:bookmarkEnd w:id="74"/>
    </w:p>
    <w:p w14:paraId="7D61C8DE" w14:textId="6AC556A9" w:rsidR="00DC42BA" w:rsidRPr="00751128" w:rsidRDefault="00DC42BA" w:rsidP="00E31B2B">
      <w:pPr>
        <w:pStyle w:val="Annextitle"/>
        <w:rPr>
          <w:lang w:val="fr-FR"/>
        </w:rPr>
      </w:pPr>
      <w:bookmarkStart w:id="75" w:name="_Toc464049291"/>
      <w:bookmarkStart w:id="76" w:name="_Toc94876346"/>
      <w:r w:rsidRPr="00751128">
        <w:rPr>
          <w:lang w:val="fr-FR"/>
        </w:rPr>
        <w:t>Liste des Recommandations, Suppléments et autres documents produits</w:t>
      </w:r>
      <w:r w:rsidRPr="00751128">
        <w:rPr>
          <w:lang w:val="fr-FR"/>
        </w:rPr>
        <w:br/>
        <w:t>ou supprimés pendant la période d</w:t>
      </w:r>
      <w:r w:rsidR="00E31B2B">
        <w:rPr>
          <w:lang w:val="fr-FR"/>
        </w:rPr>
        <w:t>'</w:t>
      </w:r>
      <w:r w:rsidRPr="00751128">
        <w:rPr>
          <w:lang w:val="fr-FR"/>
        </w:rPr>
        <w:t>études</w:t>
      </w:r>
      <w:bookmarkEnd w:id="75"/>
      <w:bookmarkEnd w:id="76"/>
    </w:p>
    <w:p w14:paraId="2B63D5C6" w14:textId="56DEF731" w:rsidR="00DC42BA" w:rsidRPr="00751128" w:rsidRDefault="00DC42BA" w:rsidP="00E31B2B">
      <w:pPr>
        <w:pStyle w:val="Normalaftertitle"/>
        <w:spacing w:before="600"/>
        <w:rPr>
          <w:lang w:val="fr-FR"/>
        </w:rPr>
      </w:pPr>
      <w:r w:rsidRPr="00751128">
        <w:rPr>
          <w:lang w:val="fr-FR"/>
        </w:rPr>
        <w:t>La liste des Recommandations, nouvelles ou révisées, approuvées pendant la période d</w:t>
      </w:r>
      <w:r w:rsidR="00E31B2B">
        <w:rPr>
          <w:lang w:val="fr-FR"/>
        </w:rPr>
        <w:t>'</w:t>
      </w:r>
      <w:r w:rsidRPr="00751128">
        <w:rPr>
          <w:lang w:val="fr-FR"/>
        </w:rPr>
        <w:t>études figure dans le Tableau 7.</w:t>
      </w:r>
    </w:p>
    <w:p w14:paraId="300CE0C7" w14:textId="1BFC5893" w:rsidR="00DC42BA" w:rsidRPr="00751128" w:rsidRDefault="00DC42BA" w:rsidP="00E31B2B">
      <w:pPr>
        <w:rPr>
          <w:lang w:val="fr-FR"/>
        </w:rPr>
      </w:pPr>
      <w:r w:rsidRPr="00751128">
        <w:rPr>
          <w:lang w:val="fr-FR"/>
        </w:rPr>
        <w:t>La liste des Recommandations ayant fait l</w:t>
      </w:r>
      <w:r w:rsidR="00E31B2B">
        <w:rPr>
          <w:lang w:val="fr-FR"/>
        </w:rPr>
        <w:t>'</w:t>
      </w:r>
      <w:r w:rsidRPr="00751128">
        <w:rPr>
          <w:lang w:val="fr-FR"/>
        </w:rPr>
        <w:t>objet d</w:t>
      </w:r>
      <w:r w:rsidR="00E31B2B">
        <w:rPr>
          <w:lang w:val="fr-FR"/>
        </w:rPr>
        <w:t>'</w:t>
      </w:r>
      <w:r w:rsidRPr="00751128">
        <w:rPr>
          <w:lang w:val="fr-FR"/>
        </w:rPr>
        <w:t>une détermination/d</w:t>
      </w:r>
      <w:r w:rsidR="00E31B2B">
        <w:rPr>
          <w:lang w:val="fr-FR"/>
        </w:rPr>
        <w:t>'</w:t>
      </w:r>
      <w:r w:rsidRPr="00751128">
        <w:rPr>
          <w:lang w:val="fr-FR"/>
        </w:rPr>
        <w:t>un consentement à la dernière réunion du GCNT figure dans le Tableau 8.</w:t>
      </w:r>
    </w:p>
    <w:p w14:paraId="7917EF95" w14:textId="0C9B1240" w:rsidR="00DC42BA" w:rsidRPr="00751128" w:rsidRDefault="00DC42BA" w:rsidP="00E31B2B">
      <w:pPr>
        <w:rPr>
          <w:lang w:val="fr-FR"/>
        </w:rPr>
      </w:pPr>
      <w:r w:rsidRPr="00751128">
        <w:rPr>
          <w:lang w:val="fr-FR"/>
        </w:rPr>
        <w:t>La Liste des Recommandations supprimées par le GCNT pendant la période d</w:t>
      </w:r>
      <w:r w:rsidR="00E31B2B">
        <w:rPr>
          <w:lang w:val="fr-FR"/>
        </w:rPr>
        <w:t>'</w:t>
      </w:r>
      <w:r w:rsidRPr="00751128">
        <w:rPr>
          <w:lang w:val="fr-FR"/>
        </w:rPr>
        <w:t>études figure dans le Tableau 9.</w:t>
      </w:r>
    </w:p>
    <w:p w14:paraId="264F174C" w14:textId="116853D3" w:rsidR="00DC42BA" w:rsidRPr="00751128" w:rsidRDefault="00DC42BA" w:rsidP="00E31B2B">
      <w:pPr>
        <w:rPr>
          <w:lang w:val="fr-FR"/>
        </w:rPr>
      </w:pPr>
      <w:r w:rsidRPr="00751128">
        <w:rPr>
          <w:lang w:val="fr-FR"/>
        </w:rPr>
        <w:t>La Liste des Recommandations soumises par le GCNT à l</w:t>
      </w:r>
      <w:r w:rsidR="00E31B2B">
        <w:rPr>
          <w:lang w:val="fr-FR"/>
        </w:rPr>
        <w:t>'</w:t>
      </w:r>
      <w:r w:rsidRPr="00751128">
        <w:rPr>
          <w:lang w:val="fr-FR"/>
        </w:rPr>
        <w:t>AMNT-20 pour approbation figure dans le Tableau 10.</w:t>
      </w:r>
    </w:p>
    <w:p w14:paraId="433D954D" w14:textId="2A6B2577" w:rsidR="00DC42BA" w:rsidRPr="00751128" w:rsidRDefault="00DC42BA" w:rsidP="00E31B2B">
      <w:pPr>
        <w:rPr>
          <w:lang w:val="fr-FR"/>
        </w:rPr>
      </w:pPr>
      <w:r w:rsidRPr="00751128">
        <w:rPr>
          <w:lang w:val="fr-FR"/>
        </w:rPr>
        <w:t>Les Tableaux 11 et suivants présentent la liste des autres publications approuvées ou supprimées par le GCNT pendant la période d</w:t>
      </w:r>
      <w:r w:rsidR="00E31B2B">
        <w:rPr>
          <w:lang w:val="fr-FR"/>
        </w:rPr>
        <w:t>'</w:t>
      </w:r>
      <w:r w:rsidRPr="00751128">
        <w:rPr>
          <w:lang w:val="fr-FR"/>
        </w:rPr>
        <w:t>études.</w:t>
      </w:r>
    </w:p>
    <w:p w14:paraId="2C958AE2" w14:textId="77777777" w:rsidR="00DC42BA" w:rsidRPr="00DC42BA" w:rsidRDefault="00DC42BA" w:rsidP="00E31B2B">
      <w:pPr>
        <w:pStyle w:val="TableNo"/>
        <w:rPr>
          <w:sz w:val="24"/>
          <w:szCs w:val="24"/>
          <w:lang w:val="fr-FR"/>
        </w:rPr>
      </w:pPr>
      <w:r w:rsidRPr="00DC42BA">
        <w:rPr>
          <w:sz w:val="24"/>
          <w:szCs w:val="24"/>
          <w:lang w:val="fr-FR"/>
        </w:rPr>
        <w:t>TABLEau 7</w:t>
      </w:r>
    </w:p>
    <w:p w14:paraId="7FFDC6C1" w14:textId="04755D2D" w:rsidR="00DC42BA" w:rsidRPr="00DC42BA" w:rsidRDefault="00DC42BA" w:rsidP="00E31B2B">
      <w:pPr>
        <w:pStyle w:val="Tabletitle"/>
        <w:rPr>
          <w:sz w:val="24"/>
          <w:szCs w:val="24"/>
          <w:lang w:val="fr-FR"/>
        </w:rPr>
      </w:pPr>
      <w:r w:rsidRPr="00DC42BA">
        <w:rPr>
          <w:sz w:val="24"/>
          <w:szCs w:val="24"/>
          <w:lang w:val="fr-FR"/>
        </w:rPr>
        <w:t>GCNT – Recommandations approuvées pendant la période d</w:t>
      </w:r>
      <w:r w:rsidR="00E31B2B">
        <w:rPr>
          <w:sz w:val="24"/>
          <w:szCs w:val="24"/>
          <w:lang w:val="fr-FR"/>
        </w:rPr>
        <w:t>'</w:t>
      </w:r>
      <w:r w:rsidRPr="00DC42BA">
        <w:rPr>
          <w:sz w:val="24"/>
          <w:szCs w:val="24"/>
          <w:lang w:val="fr-FR"/>
        </w:rPr>
        <w:t>études</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560"/>
        <w:gridCol w:w="992"/>
        <w:gridCol w:w="850"/>
        <w:gridCol w:w="3638"/>
      </w:tblGrid>
      <w:tr w:rsidR="00DC42BA" w:rsidRPr="00751128" w14:paraId="2B67A7FB" w14:textId="77777777" w:rsidTr="008154FC">
        <w:trPr>
          <w:tblHeader/>
          <w:jc w:val="center"/>
        </w:trPr>
        <w:tc>
          <w:tcPr>
            <w:tcW w:w="1937" w:type="dxa"/>
          </w:tcPr>
          <w:p w14:paraId="45BEE554" w14:textId="77777777" w:rsidR="00DC42BA" w:rsidRPr="00751128" w:rsidRDefault="00DC42BA" w:rsidP="00E31B2B">
            <w:pPr>
              <w:pStyle w:val="Tablehead"/>
              <w:rPr>
                <w:lang w:val="fr-FR"/>
              </w:rPr>
            </w:pPr>
            <w:r w:rsidRPr="00751128">
              <w:rPr>
                <w:lang w:val="fr-FR"/>
              </w:rPr>
              <w:t>Recommandation</w:t>
            </w:r>
          </w:p>
        </w:tc>
        <w:tc>
          <w:tcPr>
            <w:tcW w:w="1560" w:type="dxa"/>
          </w:tcPr>
          <w:p w14:paraId="4770B43D" w14:textId="77777777" w:rsidR="00DC42BA" w:rsidRPr="00751128" w:rsidRDefault="00DC42BA" w:rsidP="00E31B2B">
            <w:pPr>
              <w:pStyle w:val="Tablehead"/>
              <w:rPr>
                <w:lang w:val="fr-FR"/>
              </w:rPr>
            </w:pPr>
            <w:r w:rsidRPr="00751128">
              <w:rPr>
                <w:lang w:val="fr-FR"/>
              </w:rPr>
              <w:t>Approbation</w:t>
            </w:r>
          </w:p>
        </w:tc>
        <w:tc>
          <w:tcPr>
            <w:tcW w:w="992" w:type="dxa"/>
          </w:tcPr>
          <w:p w14:paraId="49BF5124" w14:textId="77777777" w:rsidR="00DC42BA" w:rsidRPr="00751128" w:rsidRDefault="00DC42BA" w:rsidP="00E31B2B">
            <w:pPr>
              <w:pStyle w:val="Tablehead"/>
              <w:rPr>
                <w:lang w:val="fr-FR"/>
              </w:rPr>
            </w:pPr>
            <w:r w:rsidRPr="00751128">
              <w:rPr>
                <w:lang w:val="fr-FR"/>
              </w:rPr>
              <w:t>Statut</w:t>
            </w:r>
          </w:p>
        </w:tc>
        <w:tc>
          <w:tcPr>
            <w:tcW w:w="850" w:type="dxa"/>
          </w:tcPr>
          <w:p w14:paraId="4B98A8C5" w14:textId="77777777" w:rsidR="00DC42BA" w:rsidRPr="00751128" w:rsidRDefault="00DC42BA" w:rsidP="00E31B2B">
            <w:pPr>
              <w:pStyle w:val="Tablehead"/>
              <w:rPr>
                <w:lang w:val="fr-FR"/>
              </w:rPr>
            </w:pPr>
            <w:r w:rsidRPr="00751128">
              <w:rPr>
                <w:lang w:val="fr-FR"/>
              </w:rPr>
              <w:t>TAP/</w:t>
            </w:r>
            <w:r w:rsidRPr="00751128">
              <w:rPr>
                <w:lang w:val="fr-FR"/>
              </w:rPr>
              <w:br/>
              <w:t>AAP</w:t>
            </w:r>
          </w:p>
        </w:tc>
        <w:tc>
          <w:tcPr>
            <w:tcW w:w="3638" w:type="dxa"/>
          </w:tcPr>
          <w:p w14:paraId="3A8F6D7A" w14:textId="77777777" w:rsidR="00DC42BA" w:rsidRPr="00751128" w:rsidRDefault="00DC42BA" w:rsidP="00E31B2B">
            <w:pPr>
              <w:pStyle w:val="Tablehead"/>
              <w:rPr>
                <w:lang w:val="fr-FR"/>
              </w:rPr>
            </w:pPr>
            <w:r w:rsidRPr="00751128">
              <w:rPr>
                <w:lang w:val="fr-FR"/>
              </w:rPr>
              <w:t>Titre</w:t>
            </w:r>
          </w:p>
        </w:tc>
      </w:tr>
      <w:tr w:rsidR="00DC42BA" w:rsidRPr="00E31B2B" w14:paraId="049277DD" w14:textId="77777777" w:rsidTr="008154FC">
        <w:trPr>
          <w:jc w:val="center"/>
        </w:trPr>
        <w:tc>
          <w:tcPr>
            <w:tcW w:w="1937" w:type="dxa"/>
          </w:tcPr>
          <w:p w14:paraId="42A406AD" w14:textId="77777777" w:rsidR="00DC42BA" w:rsidRPr="00751128" w:rsidRDefault="00DC42BA" w:rsidP="00E31B2B">
            <w:pPr>
              <w:pStyle w:val="Tabletext"/>
              <w:jc w:val="center"/>
              <w:rPr>
                <w:rFonts w:eastAsia="Arial Unicode MS"/>
                <w:lang w:val="fr-FR"/>
              </w:rPr>
            </w:pPr>
            <w:r w:rsidRPr="00751128">
              <w:rPr>
                <w:lang w:val="fr-FR"/>
              </w:rPr>
              <w:t>UIT-T A.1</w:t>
            </w:r>
          </w:p>
        </w:tc>
        <w:tc>
          <w:tcPr>
            <w:tcW w:w="1560" w:type="dxa"/>
          </w:tcPr>
          <w:p w14:paraId="29A0E10F" w14:textId="77777777" w:rsidR="00DC42BA" w:rsidRPr="00751128" w:rsidRDefault="00DC42BA" w:rsidP="00E31B2B">
            <w:pPr>
              <w:pStyle w:val="Tabletext"/>
              <w:jc w:val="center"/>
              <w:rPr>
                <w:rFonts w:eastAsia="Arial Unicode MS"/>
                <w:lang w:val="fr-FR"/>
              </w:rPr>
            </w:pPr>
            <w:r w:rsidRPr="00751128">
              <w:rPr>
                <w:lang w:val="fr-FR"/>
              </w:rPr>
              <w:t>27-09-2019</w:t>
            </w:r>
          </w:p>
        </w:tc>
        <w:tc>
          <w:tcPr>
            <w:tcW w:w="992" w:type="dxa"/>
          </w:tcPr>
          <w:p w14:paraId="1BE6B77F" w14:textId="77777777" w:rsidR="00DC42BA" w:rsidRPr="00751128" w:rsidRDefault="00DC42BA" w:rsidP="00E31B2B">
            <w:pPr>
              <w:pStyle w:val="Tabletext"/>
              <w:jc w:val="center"/>
              <w:rPr>
                <w:rFonts w:eastAsia="Arial Unicode MS"/>
                <w:lang w:val="fr-FR"/>
              </w:rPr>
            </w:pPr>
            <w:r w:rsidRPr="00751128">
              <w:rPr>
                <w:rFonts w:eastAsia="Arial Unicode MS"/>
                <w:lang w:val="fr-FR"/>
              </w:rPr>
              <w:t>Révisée</w:t>
            </w:r>
          </w:p>
        </w:tc>
        <w:tc>
          <w:tcPr>
            <w:tcW w:w="850" w:type="dxa"/>
          </w:tcPr>
          <w:p w14:paraId="7D1A3BB4" w14:textId="77777777" w:rsidR="00DC42BA" w:rsidRPr="00751128" w:rsidRDefault="00DC42BA" w:rsidP="00E31B2B">
            <w:pPr>
              <w:pStyle w:val="Tabletext"/>
              <w:jc w:val="center"/>
              <w:rPr>
                <w:rFonts w:eastAsia="Arial Unicode MS"/>
                <w:lang w:val="fr-FR"/>
              </w:rPr>
            </w:pPr>
            <w:r w:rsidRPr="00751128">
              <w:rPr>
                <w:lang w:val="fr-FR"/>
              </w:rPr>
              <w:t>TAP</w:t>
            </w:r>
          </w:p>
        </w:tc>
        <w:tc>
          <w:tcPr>
            <w:tcW w:w="3638" w:type="dxa"/>
          </w:tcPr>
          <w:p w14:paraId="72716DE9" w14:textId="6B4BBCED" w:rsidR="00DC42BA" w:rsidRPr="00751128" w:rsidRDefault="00DC42BA" w:rsidP="00E31B2B">
            <w:pPr>
              <w:pStyle w:val="Tabletext"/>
              <w:rPr>
                <w:rFonts w:eastAsia="Arial Unicode MS"/>
                <w:lang w:val="fr-FR"/>
              </w:rPr>
            </w:pPr>
            <w:r w:rsidRPr="00751128">
              <w:rPr>
                <w:lang w:val="fr-FR"/>
              </w:rPr>
              <w:t>Méthodes de travail des Commissions d</w:t>
            </w:r>
            <w:r w:rsidR="00E31B2B">
              <w:rPr>
                <w:lang w:val="fr-FR"/>
              </w:rPr>
              <w:t>'</w:t>
            </w:r>
            <w:r w:rsidRPr="00751128">
              <w:rPr>
                <w:lang w:val="fr-FR"/>
              </w:rPr>
              <w:t>études du Secteur de la normalisation des télécommunications de l</w:t>
            </w:r>
            <w:r w:rsidR="00E31B2B">
              <w:rPr>
                <w:lang w:val="fr-FR"/>
              </w:rPr>
              <w:t>'</w:t>
            </w:r>
            <w:r w:rsidRPr="00751128">
              <w:rPr>
                <w:lang w:val="fr-FR"/>
              </w:rPr>
              <w:t>UIT</w:t>
            </w:r>
          </w:p>
        </w:tc>
      </w:tr>
      <w:tr w:rsidR="00DC42BA" w:rsidRPr="00E31B2B" w14:paraId="2EDE5F37" w14:textId="77777777" w:rsidTr="008154FC">
        <w:trPr>
          <w:jc w:val="center"/>
        </w:trPr>
        <w:tc>
          <w:tcPr>
            <w:tcW w:w="1937" w:type="dxa"/>
          </w:tcPr>
          <w:p w14:paraId="020D0246" w14:textId="77777777" w:rsidR="00DC42BA" w:rsidRPr="00751128" w:rsidRDefault="00DC42BA" w:rsidP="00E31B2B">
            <w:pPr>
              <w:pStyle w:val="Tabletext"/>
              <w:jc w:val="center"/>
              <w:rPr>
                <w:rFonts w:eastAsia="Arial Unicode MS"/>
                <w:lang w:val="fr-FR"/>
              </w:rPr>
            </w:pPr>
            <w:r w:rsidRPr="00751128">
              <w:rPr>
                <w:lang w:val="fr-FR"/>
              </w:rPr>
              <w:t>UIT-T A.5</w:t>
            </w:r>
          </w:p>
        </w:tc>
        <w:tc>
          <w:tcPr>
            <w:tcW w:w="1560" w:type="dxa"/>
          </w:tcPr>
          <w:p w14:paraId="481CF89E" w14:textId="77777777" w:rsidR="00DC42BA" w:rsidRPr="00751128" w:rsidRDefault="00DC42BA" w:rsidP="00E31B2B">
            <w:pPr>
              <w:pStyle w:val="Tabletext"/>
              <w:jc w:val="center"/>
              <w:rPr>
                <w:rFonts w:eastAsia="Arial Unicode MS"/>
                <w:lang w:val="fr-FR"/>
              </w:rPr>
            </w:pPr>
            <w:r w:rsidRPr="00751128">
              <w:rPr>
                <w:lang w:val="fr-FR"/>
              </w:rPr>
              <w:t>27-09-2019</w:t>
            </w:r>
          </w:p>
        </w:tc>
        <w:tc>
          <w:tcPr>
            <w:tcW w:w="992" w:type="dxa"/>
          </w:tcPr>
          <w:p w14:paraId="1A7AA04B" w14:textId="77777777" w:rsidR="00DC42BA" w:rsidRPr="00751128" w:rsidRDefault="00DC42BA" w:rsidP="00E31B2B">
            <w:pPr>
              <w:pStyle w:val="Tabletext"/>
              <w:jc w:val="center"/>
              <w:rPr>
                <w:rFonts w:eastAsia="Arial Unicode MS"/>
                <w:lang w:val="fr-FR"/>
              </w:rPr>
            </w:pPr>
            <w:r w:rsidRPr="00751128">
              <w:rPr>
                <w:rFonts w:eastAsia="Arial Unicode MS"/>
                <w:lang w:val="fr-FR"/>
              </w:rPr>
              <w:t>Révisée</w:t>
            </w:r>
          </w:p>
        </w:tc>
        <w:tc>
          <w:tcPr>
            <w:tcW w:w="850" w:type="dxa"/>
          </w:tcPr>
          <w:p w14:paraId="6D640E06" w14:textId="77777777" w:rsidR="00DC42BA" w:rsidRPr="00751128" w:rsidRDefault="00DC42BA" w:rsidP="00E31B2B">
            <w:pPr>
              <w:pStyle w:val="Tabletext"/>
              <w:jc w:val="center"/>
              <w:rPr>
                <w:rFonts w:eastAsia="Arial Unicode MS"/>
                <w:lang w:val="fr-FR"/>
              </w:rPr>
            </w:pPr>
            <w:r w:rsidRPr="00751128">
              <w:rPr>
                <w:lang w:val="fr-FR"/>
              </w:rPr>
              <w:t>TAP</w:t>
            </w:r>
          </w:p>
        </w:tc>
        <w:tc>
          <w:tcPr>
            <w:tcW w:w="3638" w:type="dxa"/>
          </w:tcPr>
          <w:p w14:paraId="327ADF89" w14:textId="3C049C86" w:rsidR="00DC42BA" w:rsidRPr="00751128" w:rsidRDefault="00DC42BA" w:rsidP="00E31B2B">
            <w:pPr>
              <w:pStyle w:val="Tabletext"/>
              <w:rPr>
                <w:rFonts w:eastAsia="Arial Unicode MS"/>
                <w:lang w:val="fr-FR"/>
              </w:rPr>
            </w:pPr>
            <w:r w:rsidRPr="00751128">
              <w:rPr>
                <w:lang w:val="fr-FR"/>
              </w:rPr>
              <w:t>Procédures génériques applicables à l</w:t>
            </w:r>
            <w:r w:rsidR="00E31B2B">
              <w:rPr>
                <w:lang w:val="fr-FR"/>
              </w:rPr>
              <w:t>'</w:t>
            </w:r>
            <w:r w:rsidRPr="00751128">
              <w:rPr>
                <w:lang w:val="fr-FR"/>
              </w:rPr>
              <w:t>inclusion dans les Recommandations UIT-T de références à des documents émanant d</w:t>
            </w:r>
            <w:r w:rsidR="00E31B2B">
              <w:rPr>
                <w:lang w:val="fr-FR"/>
              </w:rPr>
              <w:t>'</w:t>
            </w:r>
            <w:r w:rsidRPr="00751128">
              <w:rPr>
                <w:lang w:val="fr-FR"/>
              </w:rPr>
              <w:t>autres organisations</w:t>
            </w:r>
          </w:p>
        </w:tc>
      </w:tr>
      <w:tr w:rsidR="00DC42BA" w:rsidRPr="00E31B2B" w14:paraId="687F905C" w14:textId="77777777" w:rsidTr="008154FC">
        <w:trPr>
          <w:jc w:val="center"/>
        </w:trPr>
        <w:tc>
          <w:tcPr>
            <w:tcW w:w="1937" w:type="dxa"/>
          </w:tcPr>
          <w:p w14:paraId="23F78FA8" w14:textId="77777777" w:rsidR="00DC42BA" w:rsidRPr="00751128" w:rsidRDefault="00DC42BA" w:rsidP="00E31B2B">
            <w:pPr>
              <w:pStyle w:val="Tabletext"/>
              <w:jc w:val="center"/>
              <w:rPr>
                <w:rFonts w:eastAsia="Arial Unicode MS"/>
                <w:lang w:val="fr-FR"/>
              </w:rPr>
            </w:pPr>
            <w:r w:rsidRPr="00751128">
              <w:rPr>
                <w:lang w:val="fr-FR"/>
              </w:rPr>
              <w:t>UIT-T A.13</w:t>
            </w:r>
          </w:p>
        </w:tc>
        <w:tc>
          <w:tcPr>
            <w:tcW w:w="1560" w:type="dxa"/>
          </w:tcPr>
          <w:p w14:paraId="6B4EEF3A" w14:textId="77777777" w:rsidR="00DC42BA" w:rsidRPr="00751128" w:rsidRDefault="00DC42BA" w:rsidP="00E31B2B">
            <w:pPr>
              <w:pStyle w:val="Tabletext"/>
              <w:jc w:val="center"/>
              <w:rPr>
                <w:rFonts w:eastAsia="Arial Unicode MS"/>
                <w:lang w:val="fr-FR"/>
              </w:rPr>
            </w:pPr>
            <w:r w:rsidRPr="00751128">
              <w:rPr>
                <w:lang w:val="fr-FR"/>
              </w:rPr>
              <w:t>27-09-2019</w:t>
            </w:r>
          </w:p>
        </w:tc>
        <w:tc>
          <w:tcPr>
            <w:tcW w:w="992" w:type="dxa"/>
          </w:tcPr>
          <w:p w14:paraId="4E3C840C" w14:textId="77777777" w:rsidR="00DC42BA" w:rsidRPr="00751128" w:rsidRDefault="00DC42BA" w:rsidP="00E31B2B">
            <w:pPr>
              <w:pStyle w:val="Tabletext"/>
              <w:jc w:val="center"/>
              <w:rPr>
                <w:rFonts w:eastAsia="Arial Unicode MS"/>
                <w:lang w:val="fr-FR"/>
              </w:rPr>
            </w:pPr>
            <w:r w:rsidRPr="00751128">
              <w:rPr>
                <w:rFonts w:eastAsia="Arial Unicode MS"/>
                <w:lang w:val="fr-FR"/>
              </w:rPr>
              <w:t>Révisée</w:t>
            </w:r>
          </w:p>
        </w:tc>
        <w:tc>
          <w:tcPr>
            <w:tcW w:w="850" w:type="dxa"/>
          </w:tcPr>
          <w:p w14:paraId="02A2A37E" w14:textId="77777777" w:rsidR="00DC42BA" w:rsidRPr="00751128" w:rsidRDefault="00DC42BA" w:rsidP="00E31B2B">
            <w:pPr>
              <w:pStyle w:val="Tabletext"/>
              <w:jc w:val="center"/>
              <w:rPr>
                <w:rFonts w:eastAsia="Arial Unicode MS"/>
                <w:lang w:val="fr-FR"/>
              </w:rPr>
            </w:pPr>
            <w:r w:rsidRPr="00751128">
              <w:rPr>
                <w:lang w:val="fr-FR"/>
              </w:rPr>
              <w:t>TAP</w:t>
            </w:r>
          </w:p>
        </w:tc>
        <w:tc>
          <w:tcPr>
            <w:tcW w:w="3638" w:type="dxa"/>
          </w:tcPr>
          <w:p w14:paraId="3466D82A" w14:textId="45A2C190" w:rsidR="00DC42BA" w:rsidRPr="00751128" w:rsidRDefault="00DC42BA" w:rsidP="00E31B2B">
            <w:pPr>
              <w:pStyle w:val="Tabletext"/>
              <w:rPr>
                <w:rFonts w:eastAsia="Arial Unicode MS"/>
                <w:lang w:val="fr-FR"/>
              </w:rPr>
            </w:pPr>
            <w:r w:rsidRPr="00751128">
              <w:rPr>
                <w:lang w:val="fr-FR"/>
              </w:rPr>
              <w:t>Publications de l</w:t>
            </w:r>
            <w:r w:rsidR="00E31B2B">
              <w:rPr>
                <w:lang w:val="fr-FR"/>
              </w:rPr>
              <w:t>'</w:t>
            </w:r>
            <w:r w:rsidRPr="00751128">
              <w:rPr>
                <w:lang w:val="fr-FR"/>
              </w:rPr>
              <w:t>UIT</w:t>
            </w:r>
            <w:r w:rsidRPr="00751128">
              <w:rPr>
                <w:lang w:val="fr-FR"/>
              </w:rPr>
              <w:noBreakHyphen/>
              <w:t>T à caractère non normatif, y compris les Suppléments aux Recommandations UIT-T</w:t>
            </w:r>
          </w:p>
        </w:tc>
      </w:tr>
      <w:tr w:rsidR="00DC42BA" w:rsidRPr="00E31B2B" w14:paraId="4FFC5FFD" w14:textId="77777777" w:rsidTr="008154FC">
        <w:trPr>
          <w:jc w:val="center"/>
        </w:trPr>
        <w:tc>
          <w:tcPr>
            <w:tcW w:w="1937" w:type="dxa"/>
          </w:tcPr>
          <w:p w14:paraId="00D206BF" w14:textId="77777777" w:rsidR="00DC42BA" w:rsidRPr="00751128" w:rsidRDefault="00DC42BA" w:rsidP="00E31B2B">
            <w:pPr>
              <w:pStyle w:val="Tabletext"/>
              <w:jc w:val="center"/>
              <w:rPr>
                <w:rFonts w:eastAsia="Arial Unicode MS"/>
                <w:lang w:val="fr-FR"/>
              </w:rPr>
            </w:pPr>
            <w:r w:rsidRPr="00751128">
              <w:rPr>
                <w:lang w:val="fr-FR"/>
              </w:rPr>
              <w:t>UIT-T A.25</w:t>
            </w:r>
          </w:p>
        </w:tc>
        <w:tc>
          <w:tcPr>
            <w:tcW w:w="1560" w:type="dxa"/>
          </w:tcPr>
          <w:p w14:paraId="14598164" w14:textId="77777777" w:rsidR="00DC42BA" w:rsidRPr="00751128" w:rsidRDefault="00DC42BA" w:rsidP="00E31B2B">
            <w:pPr>
              <w:pStyle w:val="Tabletext"/>
              <w:jc w:val="center"/>
              <w:rPr>
                <w:rFonts w:eastAsia="Arial Unicode MS"/>
                <w:lang w:val="fr-FR"/>
              </w:rPr>
            </w:pPr>
            <w:r w:rsidRPr="00751128">
              <w:rPr>
                <w:lang w:val="fr-FR"/>
              </w:rPr>
              <w:t>27-09-2019</w:t>
            </w:r>
          </w:p>
        </w:tc>
        <w:tc>
          <w:tcPr>
            <w:tcW w:w="992" w:type="dxa"/>
          </w:tcPr>
          <w:p w14:paraId="48C58F0D" w14:textId="77777777" w:rsidR="00DC42BA" w:rsidRPr="00751128" w:rsidRDefault="00DC42BA" w:rsidP="00E31B2B">
            <w:pPr>
              <w:pStyle w:val="Tabletext"/>
              <w:jc w:val="center"/>
              <w:rPr>
                <w:rFonts w:eastAsia="Arial Unicode MS"/>
                <w:lang w:val="fr-FR"/>
              </w:rPr>
            </w:pPr>
            <w:r w:rsidRPr="00751128">
              <w:rPr>
                <w:rFonts w:eastAsia="Arial Unicode MS"/>
                <w:lang w:val="fr-FR"/>
              </w:rPr>
              <w:t>Révisée</w:t>
            </w:r>
          </w:p>
        </w:tc>
        <w:tc>
          <w:tcPr>
            <w:tcW w:w="850" w:type="dxa"/>
          </w:tcPr>
          <w:p w14:paraId="5E0DD421" w14:textId="77777777" w:rsidR="00DC42BA" w:rsidRPr="00751128" w:rsidRDefault="00DC42BA" w:rsidP="00E31B2B">
            <w:pPr>
              <w:pStyle w:val="Tabletext"/>
              <w:jc w:val="center"/>
              <w:rPr>
                <w:rFonts w:eastAsia="Arial Unicode MS"/>
                <w:lang w:val="fr-FR"/>
              </w:rPr>
            </w:pPr>
            <w:r w:rsidRPr="00751128">
              <w:rPr>
                <w:lang w:val="fr-FR"/>
              </w:rPr>
              <w:t>TAP</w:t>
            </w:r>
          </w:p>
        </w:tc>
        <w:tc>
          <w:tcPr>
            <w:tcW w:w="3638" w:type="dxa"/>
          </w:tcPr>
          <w:p w14:paraId="538FD572" w14:textId="680BAE8C" w:rsidR="00DC42BA" w:rsidRPr="00751128" w:rsidRDefault="00DC42BA" w:rsidP="00E31B2B">
            <w:pPr>
              <w:pStyle w:val="Tabletext"/>
              <w:rPr>
                <w:rFonts w:eastAsia="Arial Unicode MS"/>
                <w:lang w:val="fr-FR"/>
              </w:rPr>
            </w:pPr>
            <w:r w:rsidRPr="00751128">
              <w:rPr>
                <w:lang w:val="fr-FR"/>
              </w:rPr>
              <w:t>Procédures génériques d</w:t>
            </w:r>
            <w:r w:rsidR="00E31B2B">
              <w:rPr>
                <w:lang w:val="fr-FR"/>
              </w:rPr>
              <w:t>'</w:t>
            </w:r>
            <w:r w:rsidRPr="00751128">
              <w:rPr>
                <w:lang w:val="fr-FR"/>
              </w:rPr>
              <w:t>incorporation de texte applicables entre l</w:t>
            </w:r>
            <w:r w:rsidR="00E31B2B">
              <w:rPr>
                <w:lang w:val="fr-FR"/>
              </w:rPr>
              <w:t>'</w:t>
            </w:r>
            <w:r w:rsidRPr="00751128">
              <w:rPr>
                <w:lang w:val="fr-FR"/>
              </w:rPr>
              <w:t>UIT</w:t>
            </w:r>
            <w:r w:rsidRPr="00751128">
              <w:rPr>
                <w:lang w:val="fr-FR"/>
              </w:rPr>
              <w:noBreakHyphen/>
              <w:t>T et d</w:t>
            </w:r>
            <w:r w:rsidR="00E31B2B">
              <w:rPr>
                <w:lang w:val="fr-FR"/>
              </w:rPr>
              <w:t>'</w:t>
            </w:r>
            <w:r w:rsidRPr="00751128">
              <w:rPr>
                <w:lang w:val="fr-FR"/>
              </w:rPr>
              <w:t>autres organisations</w:t>
            </w:r>
          </w:p>
        </w:tc>
      </w:tr>
    </w:tbl>
    <w:p w14:paraId="1FFB4421" w14:textId="77777777" w:rsidR="00DC42BA" w:rsidRPr="00DC42BA" w:rsidRDefault="00DC42BA" w:rsidP="00E31B2B">
      <w:pPr>
        <w:pStyle w:val="TableNo"/>
        <w:rPr>
          <w:sz w:val="24"/>
          <w:szCs w:val="24"/>
          <w:lang w:val="fr-FR"/>
        </w:rPr>
      </w:pPr>
      <w:r w:rsidRPr="00DC42BA">
        <w:rPr>
          <w:sz w:val="24"/>
          <w:szCs w:val="24"/>
          <w:lang w:val="fr-FR"/>
        </w:rPr>
        <w:t>TABLEau 8</w:t>
      </w:r>
    </w:p>
    <w:p w14:paraId="057169F4" w14:textId="0607DE26" w:rsidR="00DC42BA" w:rsidRPr="00DC42BA" w:rsidRDefault="00DC42BA" w:rsidP="00E31B2B">
      <w:pPr>
        <w:pStyle w:val="Tabletitle"/>
        <w:rPr>
          <w:sz w:val="24"/>
          <w:szCs w:val="24"/>
          <w:lang w:val="fr-FR"/>
        </w:rPr>
      </w:pPr>
      <w:r w:rsidRPr="00DC42BA">
        <w:rPr>
          <w:sz w:val="24"/>
          <w:szCs w:val="24"/>
          <w:lang w:val="fr-FR"/>
        </w:rPr>
        <w:t>GCNT – Recommandations ayant fait l</w:t>
      </w:r>
      <w:r w:rsidR="00E31B2B">
        <w:rPr>
          <w:sz w:val="24"/>
          <w:szCs w:val="24"/>
          <w:lang w:val="fr-FR"/>
        </w:rPr>
        <w:t>'</w:t>
      </w:r>
      <w:r w:rsidRPr="00DC42BA">
        <w:rPr>
          <w:sz w:val="24"/>
          <w:szCs w:val="24"/>
          <w:lang w:val="fr-FR"/>
        </w:rPr>
        <w:t>objet d</w:t>
      </w:r>
      <w:r w:rsidR="00E31B2B">
        <w:rPr>
          <w:sz w:val="24"/>
          <w:szCs w:val="24"/>
          <w:lang w:val="fr-FR"/>
        </w:rPr>
        <w:t>'</w:t>
      </w:r>
      <w:r w:rsidRPr="00DC42BA">
        <w:rPr>
          <w:sz w:val="24"/>
          <w:szCs w:val="24"/>
          <w:lang w:val="fr-FR"/>
        </w:rPr>
        <w:t>un consentement/</w:t>
      </w:r>
      <w:r w:rsidRPr="00DC42BA">
        <w:rPr>
          <w:sz w:val="24"/>
          <w:szCs w:val="24"/>
          <w:lang w:val="fr-FR"/>
        </w:rPr>
        <w:br/>
        <w:t>d</w:t>
      </w:r>
      <w:r w:rsidR="00E31B2B">
        <w:rPr>
          <w:sz w:val="24"/>
          <w:szCs w:val="24"/>
          <w:lang w:val="fr-FR"/>
        </w:rPr>
        <w:t>'</w:t>
      </w:r>
      <w:r w:rsidRPr="00DC42BA">
        <w:rPr>
          <w:sz w:val="24"/>
          <w:szCs w:val="24"/>
          <w:lang w:val="fr-FR"/>
        </w:rPr>
        <w:t>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DC42BA" w:rsidRPr="00751128" w14:paraId="5109157B" w14:textId="77777777" w:rsidTr="008154FC">
        <w:trPr>
          <w:jc w:val="center"/>
        </w:trPr>
        <w:tc>
          <w:tcPr>
            <w:tcW w:w="1937" w:type="dxa"/>
          </w:tcPr>
          <w:p w14:paraId="6AFA5F73" w14:textId="77777777" w:rsidR="00DC42BA" w:rsidRPr="00751128" w:rsidRDefault="00DC42BA" w:rsidP="00E31B2B">
            <w:pPr>
              <w:pStyle w:val="Tablehead"/>
              <w:rPr>
                <w:lang w:val="fr-FR"/>
              </w:rPr>
            </w:pPr>
            <w:r w:rsidRPr="00751128">
              <w:rPr>
                <w:lang w:val="fr-FR"/>
              </w:rPr>
              <w:t>Recommandation</w:t>
            </w:r>
          </w:p>
        </w:tc>
        <w:tc>
          <w:tcPr>
            <w:tcW w:w="1772" w:type="dxa"/>
          </w:tcPr>
          <w:p w14:paraId="222CA641" w14:textId="77777777" w:rsidR="00DC42BA" w:rsidRPr="00751128" w:rsidRDefault="00DC42BA" w:rsidP="00E31B2B">
            <w:pPr>
              <w:pStyle w:val="Tablehead"/>
              <w:rPr>
                <w:lang w:val="fr-FR"/>
              </w:rPr>
            </w:pPr>
            <w:r w:rsidRPr="00751128">
              <w:rPr>
                <w:lang w:val="fr-FR"/>
              </w:rPr>
              <w:t>Consentement/</w:t>
            </w:r>
            <w:r w:rsidRPr="00751128">
              <w:rPr>
                <w:lang w:val="fr-FR"/>
              </w:rPr>
              <w:br/>
              <w:t>détermination</w:t>
            </w:r>
          </w:p>
        </w:tc>
        <w:tc>
          <w:tcPr>
            <w:tcW w:w="851" w:type="dxa"/>
          </w:tcPr>
          <w:p w14:paraId="25F2DF9C" w14:textId="77777777" w:rsidR="00DC42BA" w:rsidRPr="00751128" w:rsidRDefault="00DC42BA" w:rsidP="00E31B2B">
            <w:pPr>
              <w:pStyle w:val="Tablehead"/>
              <w:rPr>
                <w:lang w:val="fr-FR"/>
              </w:rPr>
            </w:pPr>
            <w:r w:rsidRPr="00751128">
              <w:rPr>
                <w:lang w:val="fr-FR"/>
              </w:rPr>
              <w:t>TAP/</w:t>
            </w:r>
            <w:r w:rsidRPr="00751128">
              <w:rPr>
                <w:lang w:val="fr-FR"/>
              </w:rPr>
              <w:br/>
              <w:t>AAP</w:t>
            </w:r>
          </w:p>
        </w:tc>
        <w:tc>
          <w:tcPr>
            <w:tcW w:w="4252" w:type="dxa"/>
          </w:tcPr>
          <w:p w14:paraId="71792EE6" w14:textId="77777777" w:rsidR="00DC42BA" w:rsidRPr="00751128" w:rsidRDefault="00DC42BA" w:rsidP="00E31B2B">
            <w:pPr>
              <w:pStyle w:val="Tablehead"/>
              <w:rPr>
                <w:lang w:val="fr-FR"/>
              </w:rPr>
            </w:pPr>
            <w:r w:rsidRPr="00751128">
              <w:rPr>
                <w:lang w:val="fr-FR"/>
              </w:rPr>
              <w:t>Titre</w:t>
            </w:r>
          </w:p>
        </w:tc>
      </w:tr>
      <w:tr w:rsidR="00DC42BA" w:rsidRPr="00751128" w14:paraId="6185F349" w14:textId="77777777" w:rsidTr="008154FC">
        <w:trPr>
          <w:jc w:val="center"/>
        </w:trPr>
        <w:tc>
          <w:tcPr>
            <w:tcW w:w="1937" w:type="dxa"/>
          </w:tcPr>
          <w:p w14:paraId="6489E71F" w14:textId="77777777" w:rsidR="00DC42BA" w:rsidRPr="00751128" w:rsidRDefault="00DC42BA" w:rsidP="00E31B2B">
            <w:pPr>
              <w:pStyle w:val="Tabletext"/>
              <w:rPr>
                <w:lang w:val="fr-FR"/>
              </w:rPr>
            </w:pPr>
            <w:r w:rsidRPr="00751128">
              <w:rPr>
                <w:lang w:val="fr-FR"/>
              </w:rPr>
              <w:t>Néant.</w:t>
            </w:r>
          </w:p>
        </w:tc>
        <w:tc>
          <w:tcPr>
            <w:tcW w:w="1772" w:type="dxa"/>
          </w:tcPr>
          <w:p w14:paraId="19748F7E" w14:textId="77777777" w:rsidR="00DC42BA" w:rsidRPr="00751128" w:rsidRDefault="00DC42BA" w:rsidP="00E31B2B">
            <w:pPr>
              <w:pStyle w:val="Tabletext"/>
              <w:rPr>
                <w:lang w:val="fr-FR"/>
              </w:rPr>
            </w:pPr>
          </w:p>
        </w:tc>
        <w:tc>
          <w:tcPr>
            <w:tcW w:w="851" w:type="dxa"/>
          </w:tcPr>
          <w:p w14:paraId="27B19896" w14:textId="77777777" w:rsidR="00DC42BA" w:rsidRPr="00751128" w:rsidRDefault="00DC42BA" w:rsidP="00E31B2B">
            <w:pPr>
              <w:pStyle w:val="Tabletext"/>
              <w:rPr>
                <w:lang w:val="fr-FR"/>
              </w:rPr>
            </w:pPr>
          </w:p>
        </w:tc>
        <w:tc>
          <w:tcPr>
            <w:tcW w:w="4252" w:type="dxa"/>
          </w:tcPr>
          <w:p w14:paraId="633774BA" w14:textId="77777777" w:rsidR="00DC42BA" w:rsidRPr="00751128" w:rsidRDefault="00DC42BA" w:rsidP="00E31B2B">
            <w:pPr>
              <w:pStyle w:val="Tabletext"/>
              <w:rPr>
                <w:lang w:val="fr-FR"/>
              </w:rPr>
            </w:pPr>
          </w:p>
        </w:tc>
      </w:tr>
    </w:tbl>
    <w:p w14:paraId="6AD3310D" w14:textId="77777777" w:rsidR="00DC42BA" w:rsidRPr="00DC42BA" w:rsidRDefault="00DC42BA" w:rsidP="00E31B2B">
      <w:pPr>
        <w:pStyle w:val="TableNo"/>
        <w:rPr>
          <w:sz w:val="24"/>
          <w:szCs w:val="24"/>
          <w:lang w:val="fr-FR"/>
        </w:rPr>
      </w:pPr>
      <w:r w:rsidRPr="00DC42BA">
        <w:rPr>
          <w:sz w:val="24"/>
          <w:szCs w:val="24"/>
          <w:lang w:val="fr-FR"/>
        </w:rPr>
        <w:lastRenderedPageBreak/>
        <w:t>TABLEau 9</w:t>
      </w:r>
    </w:p>
    <w:p w14:paraId="430DB164" w14:textId="57E90590" w:rsidR="00DC42BA" w:rsidRPr="00DC42BA" w:rsidRDefault="00DC42BA" w:rsidP="00E31B2B">
      <w:pPr>
        <w:pStyle w:val="Tabletitle"/>
        <w:rPr>
          <w:sz w:val="24"/>
          <w:szCs w:val="24"/>
          <w:lang w:val="fr-FR"/>
        </w:rPr>
      </w:pPr>
      <w:r w:rsidRPr="00DC42BA">
        <w:rPr>
          <w:sz w:val="24"/>
          <w:szCs w:val="24"/>
          <w:lang w:val="fr-FR"/>
        </w:rPr>
        <w:t>GCNT – Recommandations supprimées pendant la période d</w:t>
      </w:r>
      <w:r w:rsidR="00E31B2B">
        <w:rPr>
          <w:sz w:val="24"/>
          <w:szCs w:val="24"/>
          <w:lang w:val="fr-FR"/>
        </w:rPr>
        <w:t>'</w:t>
      </w:r>
      <w:r w:rsidRPr="00DC42BA">
        <w:rPr>
          <w:sz w:val="24"/>
          <w:szCs w:val="24"/>
          <w:lang w:val="fr-FR"/>
        </w:rPr>
        <w:t>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DC42BA" w:rsidRPr="00751128" w14:paraId="5340D2EF" w14:textId="77777777" w:rsidTr="008154FC">
        <w:trPr>
          <w:cantSplit/>
          <w:jc w:val="center"/>
        </w:trPr>
        <w:tc>
          <w:tcPr>
            <w:tcW w:w="1931" w:type="dxa"/>
          </w:tcPr>
          <w:p w14:paraId="7F5B11EE" w14:textId="77777777" w:rsidR="00DC42BA" w:rsidRPr="00751128" w:rsidRDefault="00DC42BA" w:rsidP="00E31B2B">
            <w:pPr>
              <w:pStyle w:val="Tablehead"/>
              <w:rPr>
                <w:lang w:val="fr-FR"/>
              </w:rPr>
            </w:pPr>
            <w:r w:rsidRPr="00751128">
              <w:rPr>
                <w:lang w:val="fr-FR"/>
              </w:rPr>
              <w:t>Recommandation</w:t>
            </w:r>
          </w:p>
        </w:tc>
        <w:tc>
          <w:tcPr>
            <w:tcW w:w="1456" w:type="dxa"/>
          </w:tcPr>
          <w:p w14:paraId="63CBD809" w14:textId="77777777" w:rsidR="00DC42BA" w:rsidRPr="00751128" w:rsidRDefault="00DC42BA" w:rsidP="00E31B2B">
            <w:pPr>
              <w:pStyle w:val="Tablehead"/>
              <w:rPr>
                <w:lang w:val="fr-FR"/>
              </w:rPr>
            </w:pPr>
            <w:r w:rsidRPr="00751128">
              <w:rPr>
                <w:lang w:val="fr-FR"/>
              </w:rPr>
              <w:t>Dernière version</w:t>
            </w:r>
          </w:p>
        </w:tc>
        <w:tc>
          <w:tcPr>
            <w:tcW w:w="1216" w:type="dxa"/>
          </w:tcPr>
          <w:p w14:paraId="1E2BC5C9" w14:textId="77777777" w:rsidR="00DC42BA" w:rsidRPr="00751128" w:rsidRDefault="00DC42BA" w:rsidP="00E31B2B">
            <w:pPr>
              <w:pStyle w:val="Tablehead"/>
              <w:rPr>
                <w:lang w:val="fr-FR"/>
              </w:rPr>
            </w:pPr>
            <w:r w:rsidRPr="00751128">
              <w:rPr>
                <w:lang w:val="fr-FR"/>
              </w:rPr>
              <w:t>Date du retrait</w:t>
            </w:r>
          </w:p>
        </w:tc>
        <w:tc>
          <w:tcPr>
            <w:tcW w:w="4361" w:type="dxa"/>
          </w:tcPr>
          <w:p w14:paraId="104F74CF" w14:textId="77777777" w:rsidR="00DC42BA" w:rsidRPr="00751128" w:rsidRDefault="00DC42BA" w:rsidP="00E31B2B">
            <w:pPr>
              <w:pStyle w:val="Tablehead"/>
              <w:rPr>
                <w:lang w:val="fr-FR"/>
              </w:rPr>
            </w:pPr>
            <w:r w:rsidRPr="00751128">
              <w:rPr>
                <w:lang w:val="fr-FR"/>
              </w:rPr>
              <w:t>Titre</w:t>
            </w:r>
          </w:p>
        </w:tc>
      </w:tr>
      <w:tr w:rsidR="00DC42BA" w:rsidRPr="00751128" w14:paraId="2765BD5F" w14:textId="77777777" w:rsidTr="008154FC">
        <w:trPr>
          <w:cantSplit/>
          <w:jc w:val="center"/>
        </w:trPr>
        <w:tc>
          <w:tcPr>
            <w:tcW w:w="1931" w:type="dxa"/>
          </w:tcPr>
          <w:p w14:paraId="78E8FB54" w14:textId="77777777" w:rsidR="00DC42BA" w:rsidRPr="00751128" w:rsidRDefault="00DC42BA" w:rsidP="00E31B2B">
            <w:pPr>
              <w:pStyle w:val="Tabletext"/>
              <w:rPr>
                <w:lang w:val="fr-FR"/>
              </w:rPr>
            </w:pPr>
            <w:r w:rsidRPr="00751128">
              <w:rPr>
                <w:lang w:val="fr-FR"/>
              </w:rPr>
              <w:t>Néant.</w:t>
            </w:r>
          </w:p>
        </w:tc>
        <w:tc>
          <w:tcPr>
            <w:tcW w:w="1456" w:type="dxa"/>
          </w:tcPr>
          <w:p w14:paraId="1CFEC3EC" w14:textId="77777777" w:rsidR="00DC42BA" w:rsidRPr="00751128" w:rsidRDefault="00DC42BA" w:rsidP="00E31B2B">
            <w:pPr>
              <w:pStyle w:val="Tabletext"/>
              <w:rPr>
                <w:lang w:val="fr-FR"/>
              </w:rPr>
            </w:pPr>
          </w:p>
        </w:tc>
        <w:tc>
          <w:tcPr>
            <w:tcW w:w="1216" w:type="dxa"/>
          </w:tcPr>
          <w:p w14:paraId="74AEF8B1" w14:textId="77777777" w:rsidR="00DC42BA" w:rsidRPr="00751128" w:rsidRDefault="00DC42BA" w:rsidP="00E31B2B">
            <w:pPr>
              <w:pStyle w:val="Tabletext"/>
              <w:rPr>
                <w:lang w:val="fr-FR"/>
              </w:rPr>
            </w:pPr>
          </w:p>
        </w:tc>
        <w:tc>
          <w:tcPr>
            <w:tcW w:w="4361" w:type="dxa"/>
          </w:tcPr>
          <w:p w14:paraId="778794D6" w14:textId="77777777" w:rsidR="00DC42BA" w:rsidRPr="00751128" w:rsidRDefault="00DC42BA" w:rsidP="00E31B2B">
            <w:pPr>
              <w:pStyle w:val="Tabletext"/>
              <w:rPr>
                <w:lang w:val="fr-FR"/>
              </w:rPr>
            </w:pPr>
          </w:p>
        </w:tc>
      </w:tr>
    </w:tbl>
    <w:p w14:paraId="051EA115" w14:textId="77777777" w:rsidR="00DC42BA" w:rsidRPr="00DC42BA" w:rsidRDefault="00DC42BA" w:rsidP="00E31B2B">
      <w:pPr>
        <w:pStyle w:val="TableNo"/>
        <w:rPr>
          <w:sz w:val="24"/>
          <w:szCs w:val="24"/>
          <w:lang w:val="fr-FR"/>
        </w:rPr>
      </w:pPr>
      <w:r w:rsidRPr="00DC42BA">
        <w:rPr>
          <w:sz w:val="24"/>
          <w:szCs w:val="24"/>
          <w:lang w:val="fr-FR"/>
        </w:rPr>
        <w:t>TABLEau 10</w:t>
      </w:r>
    </w:p>
    <w:p w14:paraId="0316659E" w14:textId="5C04930C" w:rsidR="00DC42BA" w:rsidRPr="00DC42BA" w:rsidRDefault="00DC42BA" w:rsidP="00E31B2B">
      <w:pPr>
        <w:pStyle w:val="Tabletitle"/>
        <w:rPr>
          <w:sz w:val="24"/>
          <w:szCs w:val="24"/>
          <w:lang w:val="fr-FR"/>
        </w:rPr>
      </w:pPr>
      <w:r w:rsidRPr="00DC42BA">
        <w:rPr>
          <w:sz w:val="24"/>
          <w:szCs w:val="24"/>
          <w:lang w:val="fr-FR"/>
        </w:rPr>
        <w:t>GCNT – Projets de Recommandations soumis à l</w:t>
      </w:r>
      <w:r w:rsidR="00E31B2B">
        <w:rPr>
          <w:sz w:val="24"/>
          <w:szCs w:val="24"/>
          <w:lang w:val="fr-FR"/>
        </w:rPr>
        <w:t>'</w:t>
      </w:r>
      <w:r w:rsidRPr="00DC42BA">
        <w:rPr>
          <w:sz w:val="24"/>
          <w:szCs w:val="24"/>
          <w:lang w:val="fr-FR"/>
        </w:rPr>
        <w:t>AMNT</w:t>
      </w:r>
      <w:r w:rsidRPr="00DC42BA">
        <w:rPr>
          <w:sz w:val="24"/>
          <w:szCs w:val="24"/>
          <w:lang w:val="fr-FR"/>
        </w:rPr>
        <w:noBreakHyphen/>
        <w:t>20</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DC42BA" w:rsidRPr="00751128" w14:paraId="3CF824C7" w14:textId="77777777" w:rsidTr="008154FC">
        <w:trPr>
          <w:cantSplit/>
          <w:jc w:val="center"/>
        </w:trPr>
        <w:tc>
          <w:tcPr>
            <w:tcW w:w="1963" w:type="dxa"/>
          </w:tcPr>
          <w:p w14:paraId="0D4520B7" w14:textId="77777777" w:rsidR="00DC42BA" w:rsidRPr="00751128" w:rsidRDefault="00DC42BA" w:rsidP="00E31B2B">
            <w:pPr>
              <w:pStyle w:val="Tablehead"/>
              <w:rPr>
                <w:lang w:val="fr-FR"/>
              </w:rPr>
            </w:pPr>
            <w:r w:rsidRPr="00751128">
              <w:rPr>
                <w:lang w:val="fr-FR"/>
              </w:rPr>
              <w:t>Recommandation</w:t>
            </w:r>
          </w:p>
        </w:tc>
        <w:tc>
          <w:tcPr>
            <w:tcW w:w="1559" w:type="dxa"/>
          </w:tcPr>
          <w:p w14:paraId="3004B672" w14:textId="77777777" w:rsidR="00DC42BA" w:rsidRPr="00751128" w:rsidRDefault="00DC42BA" w:rsidP="00E31B2B">
            <w:pPr>
              <w:pStyle w:val="Tablehead"/>
              <w:rPr>
                <w:lang w:val="fr-FR"/>
              </w:rPr>
            </w:pPr>
            <w:r w:rsidRPr="00751128">
              <w:rPr>
                <w:lang w:val="fr-FR"/>
              </w:rPr>
              <w:t>Proposition</w:t>
            </w:r>
          </w:p>
        </w:tc>
        <w:tc>
          <w:tcPr>
            <w:tcW w:w="4373" w:type="dxa"/>
          </w:tcPr>
          <w:p w14:paraId="3FD7F318" w14:textId="77777777" w:rsidR="00DC42BA" w:rsidRPr="00751128" w:rsidRDefault="00DC42BA" w:rsidP="00E31B2B">
            <w:pPr>
              <w:pStyle w:val="Tablehead"/>
              <w:rPr>
                <w:lang w:val="fr-FR"/>
              </w:rPr>
            </w:pPr>
            <w:r w:rsidRPr="00751128">
              <w:rPr>
                <w:lang w:val="fr-FR"/>
              </w:rPr>
              <w:t>Titre</w:t>
            </w:r>
          </w:p>
        </w:tc>
        <w:tc>
          <w:tcPr>
            <w:tcW w:w="1984" w:type="dxa"/>
          </w:tcPr>
          <w:p w14:paraId="5A95B972" w14:textId="77777777" w:rsidR="00DC42BA" w:rsidRPr="00751128" w:rsidRDefault="00DC42BA" w:rsidP="00E31B2B">
            <w:pPr>
              <w:pStyle w:val="Tablehead"/>
              <w:rPr>
                <w:lang w:val="fr-FR"/>
              </w:rPr>
            </w:pPr>
            <w:r w:rsidRPr="00751128">
              <w:rPr>
                <w:lang w:val="fr-FR"/>
              </w:rPr>
              <w:t>Référence</w:t>
            </w:r>
          </w:p>
        </w:tc>
      </w:tr>
      <w:tr w:rsidR="00DC42BA" w:rsidRPr="00751128" w14:paraId="3CD9A3AD" w14:textId="77777777" w:rsidTr="008154FC">
        <w:trPr>
          <w:cantSplit/>
          <w:jc w:val="center"/>
        </w:trPr>
        <w:tc>
          <w:tcPr>
            <w:tcW w:w="1963" w:type="dxa"/>
          </w:tcPr>
          <w:p w14:paraId="16A7C262" w14:textId="77777777" w:rsidR="00DC42BA" w:rsidRPr="00751128" w:rsidRDefault="00DC42BA" w:rsidP="00E31B2B">
            <w:pPr>
              <w:pStyle w:val="Tabletext"/>
              <w:rPr>
                <w:lang w:val="fr-FR"/>
              </w:rPr>
            </w:pPr>
            <w:r w:rsidRPr="00751128">
              <w:rPr>
                <w:lang w:val="fr-FR"/>
              </w:rPr>
              <w:t>UIT-T A.1</w:t>
            </w:r>
          </w:p>
        </w:tc>
        <w:tc>
          <w:tcPr>
            <w:tcW w:w="1559" w:type="dxa"/>
          </w:tcPr>
          <w:p w14:paraId="3CD8E625" w14:textId="77777777" w:rsidR="00DC42BA" w:rsidRPr="00751128" w:rsidRDefault="00DC42BA" w:rsidP="00E31B2B">
            <w:pPr>
              <w:pStyle w:val="Tabletext"/>
              <w:rPr>
                <w:lang w:val="fr-FR"/>
              </w:rPr>
            </w:pPr>
            <w:r w:rsidRPr="00751128">
              <w:rPr>
                <w:lang w:val="fr-FR"/>
              </w:rPr>
              <w:t>MOD</w:t>
            </w:r>
          </w:p>
        </w:tc>
        <w:tc>
          <w:tcPr>
            <w:tcW w:w="4373" w:type="dxa"/>
          </w:tcPr>
          <w:p w14:paraId="6801EA49" w14:textId="7A478499" w:rsidR="00DC42BA" w:rsidRPr="00751128" w:rsidRDefault="00DC42BA" w:rsidP="00E31B2B">
            <w:pPr>
              <w:pStyle w:val="Tabletext"/>
              <w:rPr>
                <w:lang w:val="fr-FR"/>
              </w:rPr>
            </w:pPr>
            <w:r w:rsidRPr="00751128">
              <w:rPr>
                <w:lang w:val="fr-FR"/>
              </w:rPr>
              <w:t>Méthodes de travail des Commissions d</w:t>
            </w:r>
            <w:r w:rsidR="00E31B2B">
              <w:rPr>
                <w:lang w:val="fr-FR"/>
              </w:rPr>
              <w:t>'</w:t>
            </w:r>
            <w:r w:rsidRPr="00751128">
              <w:rPr>
                <w:lang w:val="fr-FR"/>
              </w:rPr>
              <w:t>études du Secteur de la normalisation des télécommunications de l</w:t>
            </w:r>
            <w:r w:rsidR="00E31B2B">
              <w:rPr>
                <w:lang w:val="fr-FR"/>
              </w:rPr>
              <w:t>'</w:t>
            </w:r>
            <w:r w:rsidRPr="00751128">
              <w:rPr>
                <w:lang w:val="fr-FR"/>
              </w:rPr>
              <w:t>UIT</w:t>
            </w:r>
          </w:p>
        </w:tc>
        <w:tc>
          <w:tcPr>
            <w:tcW w:w="1984" w:type="dxa"/>
          </w:tcPr>
          <w:p w14:paraId="2C85F259" w14:textId="77777777" w:rsidR="00DC42BA" w:rsidRPr="00DC42BA" w:rsidRDefault="00E31B2B" w:rsidP="00E31B2B">
            <w:pPr>
              <w:pStyle w:val="Tabletext"/>
              <w:rPr>
                <w:lang w:val="en-US"/>
              </w:rPr>
            </w:pPr>
            <w:hyperlink r:id="rId151" w:history="1">
              <w:r w:rsidR="00DC42BA" w:rsidRPr="00DC42BA">
                <w:rPr>
                  <w:rStyle w:val="Hyperlink"/>
                  <w:lang w:val="en-US"/>
                </w:rPr>
                <w:t>AMNT-20 C-0025 Appendice I</w:t>
              </w:r>
            </w:hyperlink>
          </w:p>
          <w:p w14:paraId="29AF1587" w14:textId="77777777" w:rsidR="00DC42BA" w:rsidRPr="00DC42BA" w:rsidRDefault="00DC42BA" w:rsidP="00E31B2B">
            <w:pPr>
              <w:pStyle w:val="Tabletext"/>
              <w:rPr>
                <w:lang w:val="en-US"/>
              </w:rPr>
            </w:pPr>
            <w:r w:rsidRPr="00DC42BA">
              <w:rPr>
                <w:lang w:val="en-US"/>
              </w:rPr>
              <w:t>(</w:t>
            </w:r>
            <w:hyperlink r:id="rId152" w:history="1">
              <w:r w:rsidRPr="00DC42BA">
                <w:rPr>
                  <w:rStyle w:val="Hyperlink"/>
                  <w:lang w:val="en-US"/>
                </w:rPr>
                <w:t>TSAG-TD1244</w:t>
              </w:r>
            </w:hyperlink>
            <w:r w:rsidRPr="00DC42BA">
              <w:rPr>
                <w:lang w:val="en-US"/>
              </w:rPr>
              <w:t>)</w:t>
            </w:r>
          </w:p>
        </w:tc>
      </w:tr>
      <w:tr w:rsidR="00DC42BA" w:rsidRPr="00751128" w14:paraId="429505DC" w14:textId="77777777" w:rsidTr="008154FC">
        <w:trPr>
          <w:cantSplit/>
          <w:jc w:val="center"/>
        </w:trPr>
        <w:tc>
          <w:tcPr>
            <w:tcW w:w="1963" w:type="dxa"/>
          </w:tcPr>
          <w:p w14:paraId="0468F034" w14:textId="77777777" w:rsidR="00DC42BA" w:rsidRPr="00751128" w:rsidRDefault="00DC42BA" w:rsidP="00E31B2B">
            <w:pPr>
              <w:pStyle w:val="Tabletext"/>
              <w:rPr>
                <w:lang w:val="fr-FR"/>
              </w:rPr>
            </w:pPr>
            <w:r w:rsidRPr="00751128">
              <w:rPr>
                <w:lang w:val="fr-FR"/>
              </w:rPr>
              <w:t>UIT-T A.5</w:t>
            </w:r>
          </w:p>
        </w:tc>
        <w:tc>
          <w:tcPr>
            <w:tcW w:w="1559" w:type="dxa"/>
          </w:tcPr>
          <w:p w14:paraId="48D3B1E3" w14:textId="77777777" w:rsidR="00DC42BA" w:rsidRPr="00751128" w:rsidRDefault="00DC42BA" w:rsidP="00E31B2B">
            <w:pPr>
              <w:pStyle w:val="Tabletext"/>
              <w:rPr>
                <w:lang w:val="fr-FR"/>
              </w:rPr>
            </w:pPr>
            <w:r w:rsidRPr="00751128">
              <w:rPr>
                <w:lang w:val="fr-FR"/>
              </w:rPr>
              <w:t>MOD</w:t>
            </w:r>
          </w:p>
        </w:tc>
        <w:tc>
          <w:tcPr>
            <w:tcW w:w="4373" w:type="dxa"/>
          </w:tcPr>
          <w:p w14:paraId="7C5C37BD" w14:textId="52A465CA" w:rsidR="00DC42BA" w:rsidRPr="00751128" w:rsidRDefault="00DC42BA" w:rsidP="00E31B2B">
            <w:pPr>
              <w:pStyle w:val="Tabletext"/>
              <w:rPr>
                <w:lang w:val="fr-FR"/>
              </w:rPr>
            </w:pPr>
            <w:r w:rsidRPr="00751128">
              <w:rPr>
                <w:lang w:val="fr-FR"/>
              </w:rPr>
              <w:t>Procédures génériques applicables à l</w:t>
            </w:r>
            <w:r w:rsidR="00E31B2B">
              <w:rPr>
                <w:lang w:val="fr-FR"/>
              </w:rPr>
              <w:t>'</w:t>
            </w:r>
            <w:r w:rsidRPr="00751128">
              <w:rPr>
                <w:lang w:val="fr-FR"/>
              </w:rPr>
              <w:t>inclusion dans les Recommandations UIT-T de références à des documents émanant d</w:t>
            </w:r>
            <w:r w:rsidR="00E31B2B">
              <w:rPr>
                <w:lang w:val="fr-FR"/>
              </w:rPr>
              <w:t>'</w:t>
            </w:r>
            <w:r w:rsidRPr="00751128">
              <w:rPr>
                <w:lang w:val="fr-FR"/>
              </w:rPr>
              <w:t>autres organisations</w:t>
            </w:r>
          </w:p>
        </w:tc>
        <w:tc>
          <w:tcPr>
            <w:tcW w:w="1984" w:type="dxa"/>
          </w:tcPr>
          <w:p w14:paraId="78D34B89" w14:textId="77777777" w:rsidR="00DC42BA" w:rsidRPr="00DC42BA" w:rsidRDefault="00E31B2B" w:rsidP="00E31B2B">
            <w:pPr>
              <w:pStyle w:val="Tabletext"/>
              <w:rPr>
                <w:lang w:val="en-US"/>
              </w:rPr>
            </w:pPr>
            <w:hyperlink r:id="rId153" w:history="1">
              <w:r w:rsidR="00DC42BA" w:rsidRPr="00DC42BA">
                <w:rPr>
                  <w:rStyle w:val="Hyperlink"/>
                  <w:lang w:val="en-US"/>
                </w:rPr>
                <w:t>AMNT-20 C-0025 Appendice I</w:t>
              </w:r>
            </w:hyperlink>
          </w:p>
          <w:p w14:paraId="5D05CCF7" w14:textId="77777777" w:rsidR="00DC42BA" w:rsidRPr="00DC42BA" w:rsidRDefault="00DC42BA" w:rsidP="00E31B2B">
            <w:pPr>
              <w:pStyle w:val="Tabletext"/>
              <w:rPr>
                <w:lang w:val="en-US"/>
              </w:rPr>
            </w:pPr>
            <w:r w:rsidRPr="00DC42BA">
              <w:rPr>
                <w:lang w:val="en-US"/>
              </w:rPr>
              <w:t>(</w:t>
            </w:r>
            <w:hyperlink r:id="rId154" w:history="1">
              <w:r w:rsidRPr="00DC42BA">
                <w:rPr>
                  <w:rStyle w:val="Hyperlink"/>
                  <w:lang w:val="en-US"/>
                </w:rPr>
                <w:t>TSAG-TD1241-R5</w:t>
              </w:r>
            </w:hyperlink>
            <w:r w:rsidRPr="00DC42BA">
              <w:rPr>
                <w:lang w:val="en-US"/>
              </w:rPr>
              <w:t>)</w:t>
            </w:r>
          </w:p>
        </w:tc>
      </w:tr>
    </w:tbl>
    <w:p w14:paraId="6A0E9280" w14:textId="77777777" w:rsidR="00DC42BA" w:rsidRPr="00DC42BA" w:rsidRDefault="00DC42BA" w:rsidP="00E31B2B">
      <w:pPr>
        <w:pStyle w:val="TableNo"/>
        <w:rPr>
          <w:sz w:val="24"/>
          <w:szCs w:val="24"/>
          <w:lang w:val="fr-FR"/>
        </w:rPr>
      </w:pPr>
      <w:r w:rsidRPr="00DC42BA">
        <w:rPr>
          <w:sz w:val="24"/>
          <w:szCs w:val="24"/>
          <w:lang w:val="fr-FR"/>
        </w:rPr>
        <w:t>TABLEAU 10</w:t>
      </w:r>
      <w:r w:rsidRPr="00DC42BA">
        <w:rPr>
          <w:caps w:val="0"/>
          <w:sz w:val="24"/>
          <w:szCs w:val="24"/>
          <w:lang w:val="fr-FR"/>
        </w:rPr>
        <w:t>bis</w:t>
      </w:r>
    </w:p>
    <w:p w14:paraId="4C172093" w14:textId="7DF80120" w:rsidR="00DC42BA" w:rsidRPr="00DC42BA" w:rsidRDefault="00DC42BA" w:rsidP="00E31B2B">
      <w:pPr>
        <w:pStyle w:val="Tabletitle"/>
        <w:rPr>
          <w:sz w:val="24"/>
          <w:szCs w:val="24"/>
          <w:lang w:val="fr-FR"/>
        </w:rPr>
      </w:pPr>
      <w:r w:rsidRPr="00DC42BA">
        <w:rPr>
          <w:sz w:val="24"/>
          <w:szCs w:val="24"/>
          <w:lang w:val="fr-FR"/>
        </w:rPr>
        <w:t>Projets de Résolution soumis à l</w:t>
      </w:r>
      <w:r w:rsidR="00E31B2B">
        <w:rPr>
          <w:sz w:val="24"/>
          <w:szCs w:val="24"/>
          <w:lang w:val="fr-FR"/>
        </w:rPr>
        <w:t>'</w:t>
      </w:r>
      <w:r w:rsidRPr="00DC42BA">
        <w:rPr>
          <w:sz w:val="24"/>
          <w:szCs w:val="24"/>
          <w:lang w:val="fr-FR"/>
        </w:rPr>
        <w:t>AMNT-20</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1345"/>
        <w:gridCol w:w="4732"/>
        <w:gridCol w:w="1984"/>
      </w:tblGrid>
      <w:tr w:rsidR="00DC42BA" w:rsidRPr="00751128" w14:paraId="0A377BDA" w14:textId="77777777" w:rsidTr="001E562B">
        <w:trPr>
          <w:tblHeader/>
          <w:jc w:val="center"/>
        </w:trPr>
        <w:tc>
          <w:tcPr>
            <w:tcW w:w="1686" w:type="dxa"/>
            <w:shd w:val="clear" w:color="auto" w:fill="auto"/>
            <w:vAlign w:val="center"/>
          </w:tcPr>
          <w:p w14:paraId="2E498CB5" w14:textId="77777777" w:rsidR="00DC42BA" w:rsidRPr="00751128" w:rsidRDefault="00DC42BA" w:rsidP="00E31B2B">
            <w:pPr>
              <w:pStyle w:val="Tablehead"/>
              <w:rPr>
                <w:lang w:val="fr-FR"/>
              </w:rPr>
            </w:pPr>
            <w:r w:rsidRPr="00751128">
              <w:rPr>
                <w:lang w:val="fr-FR"/>
              </w:rPr>
              <w:t>Résolution</w:t>
            </w:r>
          </w:p>
        </w:tc>
        <w:tc>
          <w:tcPr>
            <w:tcW w:w="1345" w:type="dxa"/>
            <w:shd w:val="clear" w:color="auto" w:fill="auto"/>
          </w:tcPr>
          <w:p w14:paraId="56A7C568" w14:textId="77777777" w:rsidR="00DC42BA" w:rsidRPr="00751128" w:rsidRDefault="00DC42BA" w:rsidP="00E31B2B">
            <w:pPr>
              <w:pStyle w:val="Tablehead"/>
              <w:rPr>
                <w:lang w:val="fr-FR"/>
              </w:rPr>
            </w:pPr>
            <w:r w:rsidRPr="00751128">
              <w:rPr>
                <w:lang w:val="fr-FR"/>
              </w:rPr>
              <w:t>Proposition</w:t>
            </w:r>
          </w:p>
        </w:tc>
        <w:tc>
          <w:tcPr>
            <w:tcW w:w="4732" w:type="dxa"/>
            <w:shd w:val="clear" w:color="auto" w:fill="auto"/>
          </w:tcPr>
          <w:p w14:paraId="7D4D15D2" w14:textId="77777777" w:rsidR="00DC42BA" w:rsidRPr="00751128" w:rsidRDefault="00DC42BA" w:rsidP="00E31B2B">
            <w:pPr>
              <w:pStyle w:val="Tablehead"/>
              <w:rPr>
                <w:lang w:val="fr-FR"/>
              </w:rPr>
            </w:pPr>
            <w:r w:rsidRPr="00751128">
              <w:rPr>
                <w:lang w:val="fr-FR"/>
              </w:rPr>
              <w:t>Titre</w:t>
            </w:r>
          </w:p>
        </w:tc>
        <w:tc>
          <w:tcPr>
            <w:tcW w:w="1984" w:type="dxa"/>
            <w:shd w:val="clear" w:color="auto" w:fill="auto"/>
          </w:tcPr>
          <w:p w14:paraId="114B20D6" w14:textId="77777777" w:rsidR="00DC42BA" w:rsidRPr="00751128" w:rsidRDefault="00DC42BA" w:rsidP="00E31B2B">
            <w:pPr>
              <w:pStyle w:val="Tablehead"/>
              <w:rPr>
                <w:lang w:val="fr-FR"/>
              </w:rPr>
            </w:pPr>
            <w:r w:rsidRPr="00751128">
              <w:rPr>
                <w:lang w:val="fr-FR"/>
              </w:rPr>
              <w:t>Référence</w:t>
            </w:r>
          </w:p>
        </w:tc>
      </w:tr>
      <w:tr w:rsidR="00DC42BA" w:rsidRPr="00751128" w14:paraId="7298ED24" w14:textId="77777777" w:rsidTr="001E562B">
        <w:trPr>
          <w:jc w:val="center"/>
        </w:trPr>
        <w:tc>
          <w:tcPr>
            <w:tcW w:w="1686" w:type="dxa"/>
            <w:shd w:val="clear" w:color="auto" w:fill="auto"/>
          </w:tcPr>
          <w:p w14:paraId="0D96FFF6" w14:textId="77777777" w:rsidR="00DC42BA" w:rsidRPr="00751128" w:rsidRDefault="00DC42BA" w:rsidP="00E31B2B">
            <w:pPr>
              <w:pStyle w:val="Tabletext"/>
              <w:rPr>
                <w:lang w:val="fr-FR"/>
              </w:rPr>
            </w:pPr>
            <w:r w:rsidRPr="00751128">
              <w:rPr>
                <w:lang w:val="fr-FR"/>
              </w:rPr>
              <w:t>1</w:t>
            </w:r>
          </w:p>
        </w:tc>
        <w:tc>
          <w:tcPr>
            <w:tcW w:w="1345" w:type="dxa"/>
            <w:shd w:val="clear" w:color="auto" w:fill="auto"/>
          </w:tcPr>
          <w:p w14:paraId="74E648D2" w14:textId="77777777" w:rsidR="00DC42BA" w:rsidRPr="00751128" w:rsidRDefault="00DC42BA" w:rsidP="00E31B2B">
            <w:pPr>
              <w:pStyle w:val="Tabletext"/>
              <w:rPr>
                <w:lang w:val="fr-FR"/>
              </w:rPr>
            </w:pPr>
            <w:r w:rsidRPr="00751128">
              <w:rPr>
                <w:lang w:val="fr-FR"/>
              </w:rPr>
              <w:t>MOD</w:t>
            </w:r>
          </w:p>
        </w:tc>
        <w:tc>
          <w:tcPr>
            <w:tcW w:w="4732" w:type="dxa"/>
            <w:shd w:val="clear" w:color="auto" w:fill="auto"/>
          </w:tcPr>
          <w:p w14:paraId="418492EE" w14:textId="522D165A" w:rsidR="00DC42BA" w:rsidRPr="00751128" w:rsidRDefault="00DC42BA" w:rsidP="00E31B2B">
            <w:pPr>
              <w:pStyle w:val="Tabletext"/>
              <w:rPr>
                <w:lang w:val="fr-FR"/>
              </w:rPr>
            </w:pPr>
            <w:r w:rsidRPr="00751128">
              <w:rPr>
                <w:lang w:val="fr-FR"/>
              </w:rPr>
              <w:t>Règlement intérieur du Secteur de la normalisation des télécommunications de l</w:t>
            </w:r>
            <w:r w:rsidR="00E31B2B">
              <w:rPr>
                <w:lang w:val="fr-FR"/>
              </w:rPr>
              <w:t>'</w:t>
            </w:r>
            <w:r w:rsidRPr="00751128">
              <w:rPr>
                <w:lang w:val="fr-FR"/>
              </w:rPr>
              <w:t>UIT</w:t>
            </w:r>
          </w:p>
        </w:tc>
        <w:tc>
          <w:tcPr>
            <w:tcW w:w="1984" w:type="dxa"/>
            <w:shd w:val="clear" w:color="auto" w:fill="auto"/>
          </w:tcPr>
          <w:p w14:paraId="16058B02" w14:textId="77777777" w:rsidR="00DC42BA" w:rsidRPr="00DC42BA" w:rsidRDefault="00E31B2B" w:rsidP="00E31B2B">
            <w:pPr>
              <w:pStyle w:val="Tabletext"/>
              <w:rPr>
                <w:lang w:val="en-US"/>
              </w:rPr>
            </w:pPr>
            <w:hyperlink r:id="rId155" w:history="1">
              <w:r w:rsidR="00DC42BA" w:rsidRPr="00DC42BA">
                <w:rPr>
                  <w:rStyle w:val="Hyperlink"/>
                  <w:lang w:val="en-US"/>
                </w:rPr>
                <w:t>AMNT-20 C-0024 Appendice I</w:t>
              </w:r>
            </w:hyperlink>
          </w:p>
          <w:p w14:paraId="6DB27755" w14:textId="77777777" w:rsidR="00DC42BA" w:rsidRPr="00DC42BA" w:rsidRDefault="00DC42BA" w:rsidP="00E31B2B">
            <w:pPr>
              <w:pStyle w:val="Tabletext"/>
              <w:rPr>
                <w:lang w:val="en-US"/>
              </w:rPr>
            </w:pPr>
            <w:r w:rsidRPr="00DC42BA">
              <w:rPr>
                <w:lang w:val="en-US"/>
              </w:rPr>
              <w:t>(</w:t>
            </w:r>
            <w:hyperlink r:id="rId156" w:history="1">
              <w:r w:rsidRPr="00DC42BA">
                <w:rPr>
                  <w:rStyle w:val="Hyperlink"/>
                  <w:lang w:val="en-US"/>
                </w:rPr>
                <w:t>TSAG-TD1244</w:t>
              </w:r>
            </w:hyperlink>
            <w:r w:rsidRPr="00DC42BA">
              <w:rPr>
                <w:lang w:val="en-US"/>
              </w:rPr>
              <w:t>)</w:t>
            </w:r>
          </w:p>
        </w:tc>
      </w:tr>
      <w:tr w:rsidR="00DC42BA" w:rsidRPr="00751128" w14:paraId="65BB2639" w14:textId="77777777" w:rsidTr="001E562B">
        <w:trPr>
          <w:jc w:val="center"/>
        </w:trPr>
        <w:tc>
          <w:tcPr>
            <w:tcW w:w="1686" w:type="dxa"/>
            <w:shd w:val="clear" w:color="auto" w:fill="auto"/>
          </w:tcPr>
          <w:p w14:paraId="6FCE6241" w14:textId="77777777" w:rsidR="00DC42BA" w:rsidRPr="00751128" w:rsidRDefault="00DC42BA" w:rsidP="00E31B2B">
            <w:pPr>
              <w:pStyle w:val="Tabletext"/>
              <w:rPr>
                <w:lang w:val="fr-FR"/>
              </w:rPr>
            </w:pPr>
            <w:r w:rsidRPr="00751128">
              <w:rPr>
                <w:lang w:val="fr-FR"/>
              </w:rPr>
              <w:t>20</w:t>
            </w:r>
          </w:p>
        </w:tc>
        <w:tc>
          <w:tcPr>
            <w:tcW w:w="1345" w:type="dxa"/>
            <w:shd w:val="clear" w:color="auto" w:fill="auto"/>
          </w:tcPr>
          <w:p w14:paraId="5B9C5245" w14:textId="77777777" w:rsidR="00DC42BA" w:rsidRPr="00751128" w:rsidRDefault="00DC42BA" w:rsidP="00E31B2B">
            <w:pPr>
              <w:pStyle w:val="Tabletext"/>
              <w:rPr>
                <w:lang w:val="fr-FR"/>
              </w:rPr>
            </w:pPr>
            <w:r w:rsidRPr="00751128">
              <w:rPr>
                <w:lang w:val="fr-FR"/>
              </w:rPr>
              <w:t>MOD</w:t>
            </w:r>
          </w:p>
        </w:tc>
        <w:tc>
          <w:tcPr>
            <w:tcW w:w="4732" w:type="dxa"/>
            <w:shd w:val="clear" w:color="auto" w:fill="auto"/>
          </w:tcPr>
          <w:p w14:paraId="170D083F" w14:textId="18E85605" w:rsidR="00DC42BA" w:rsidRPr="00751128" w:rsidRDefault="00DC42BA" w:rsidP="00E31B2B">
            <w:pPr>
              <w:pStyle w:val="Tabletext"/>
              <w:rPr>
                <w:lang w:val="fr-FR"/>
              </w:rPr>
            </w:pPr>
            <w:bookmarkStart w:id="77" w:name="_Toc475539560"/>
            <w:bookmarkStart w:id="78" w:name="_Toc475542268"/>
            <w:bookmarkStart w:id="79" w:name="_Toc476211368"/>
            <w:bookmarkStart w:id="80" w:name="_Toc476213309"/>
            <w:r w:rsidRPr="00751128">
              <w:rPr>
                <w:lang w:val="fr-FR"/>
              </w:rPr>
              <w:t>Procédures d</w:t>
            </w:r>
            <w:r w:rsidR="00E31B2B">
              <w:rPr>
                <w:lang w:val="fr-FR"/>
              </w:rPr>
              <w:t>'</w:t>
            </w:r>
            <w:r w:rsidRPr="00751128">
              <w:rPr>
                <w:lang w:val="fr-FR"/>
              </w:rPr>
              <w:t>attribution et de gestion des ressources internationales de numérotage, de nommage, d</w:t>
            </w:r>
            <w:r w:rsidR="00E31B2B">
              <w:rPr>
                <w:lang w:val="fr-FR"/>
              </w:rPr>
              <w:t>'</w:t>
            </w:r>
            <w:r w:rsidRPr="00751128">
              <w:rPr>
                <w:lang w:val="fr-FR"/>
              </w:rPr>
              <w:t>adressage et d</w:t>
            </w:r>
            <w:r w:rsidR="00E31B2B">
              <w:rPr>
                <w:lang w:val="fr-FR"/>
              </w:rPr>
              <w:t>'</w:t>
            </w:r>
            <w:r w:rsidRPr="00751128">
              <w:rPr>
                <w:lang w:val="fr-FR"/>
              </w:rPr>
              <w:t>identification pour les télécommunications</w:t>
            </w:r>
            <w:bookmarkEnd w:id="77"/>
            <w:bookmarkEnd w:id="78"/>
            <w:bookmarkEnd w:id="79"/>
            <w:bookmarkEnd w:id="80"/>
          </w:p>
        </w:tc>
        <w:tc>
          <w:tcPr>
            <w:tcW w:w="1984" w:type="dxa"/>
            <w:shd w:val="clear" w:color="auto" w:fill="auto"/>
          </w:tcPr>
          <w:p w14:paraId="6A0210EE" w14:textId="77777777" w:rsidR="00DC42BA" w:rsidRPr="00DC42BA" w:rsidRDefault="00E31B2B" w:rsidP="00E31B2B">
            <w:pPr>
              <w:pStyle w:val="Tabletext"/>
              <w:rPr>
                <w:lang w:val="en-US"/>
              </w:rPr>
            </w:pPr>
            <w:hyperlink r:id="rId157" w:history="1">
              <w:r w:rsidR="00DC42BA" w:rsidRPr="00DC42BA">
                <w:rPr>
                  <w:rStyle w:val="Hyperlink"/>
                  <w:lang w:val="en-US"/>
                </w:rPr>
                <w:t>AMNT-20 C-0024 Appendice I</w:t>
              </w:r>
            </w:hyperlink>
          </w:p>
          <w:p w14:paraId="6C507591" w14:textId="77777777" w:rsidR="00DC42BA" w:rsidRPr="00DC42BA" w:rsidRDefault="00DC42BA" w:rsidP="00E31B2B">
            <w:pPr>
              <w:pStyle w:val="Tabletext"/>
              <w:rPr>
                <w:lang w:val="en-US"/>
              </w:rPr>
            </w:pPr>
            <w:r w:rsidRPr="00DC42BA">
              <w:rPr>
                <w:lang w:val="en-US"/>
              </w:rPr>
              <w:t>(</w:t>
            </w:r>
            <w:hyperlink r:id="rId158" w:history="1">
              <w:r w:rsidRPr="00DC42BA">
                <w:rPr>
                  <w:rStyle w:val="Hyperlink"/>
                  <w:lang w:val="en-US"/>
                </w:rPr>
                <w:t>TSAG-TD1233</w:t>
              </w:r>
            </w:hyperlink>
            <w:r w:rsidRPr="00DC42BA">
              <w:rPr>
                <w:lang w:val="en-US"/>
              </w:rPr>
              <w:t>)</w:t>
            </w:r>
          </w:p>
        </w:tc>
      </w:tr>
      <w:tr w:rsidR="00DC42BA" w:rsidRPr="00751128" w14:paraId="42074A65" w14:textId="77777777" w:rsidTr="001E562B">
        <w:trPr>
          <w:jc w:val="center"/>
        </w:trPr>
        <w:tc>
          <w:tcPr>
            <w:tcW w:w="1686" w:type="dxa"/>
            <w:shd w:val="clear" w:color="auto" w:fill="auto"/>
          </w:tcPr>
          <w:p w14:paraId="57B63DEF" w14:textId="77777777" w:rsidR="00DC42BA" w:rsidRPr="00751128" w:rsidRDefault="00DC42BA" w:rsidP="00E31B2B">
            <w:pPr>
              <w:pStyle w:val="Tabletext"/>
              <w:rPr>
                <w:lang w:val="fr-FR"/>
              </w:rPr>
            </w:pPr>
            <w:r w:rsidRPr="00751128">
              <w:rPr>
                <w:lang w:val="fr-FR"/>
              </w:rPr>
              <w:t>29</w:t>
            </w:r>
          </w:p>
        </w:tc>
        <w:tc>
          <w:tcPr>
            <w:tcW w:w="1345" w:type="dxa"/>
            <w:shd w:val="clear" w:color="auto" w:fill="auto"/>
          </w:tcPr>
          <w:p w14:paraId="0572E2E1" w14:textId="77777777" w:rsidR="00DC42BA" w:rsidRPr="00751128" w:rsidRDefault="00DC42BA" w:rsidP="00E31B2B">
            <w:pPr>
              <w:pStyle w:val="Tabletext"/>
              <w:rPr>
                <w:lang w:val="fr-FR"/>
              </w:rPr>
            </w:pPr>
            <w:r w:rsidRPr="00751128">
              <w:rPr>
                <w:lang w:val="fr-FR"/>
              </w:rPr>
              <w:t>MOD</w:t>
            </w:r>
          </w:p>
        </w:tc>
        <w:tc>
          <w:tcPr>
            <w:tcW w:w="4732" w:type="dxa"/>
            <w:shd w:val="clear" w:color="auto" w:fill="auto"/>
          </w:tcPr>
          <w:p w14:paraId="2376782E" w14:textId="320CACD8" w:rsidR="00DC42BA" w:rsidRPr="00751128" w:rsidRDefault="00DC42BA" w:rsidP="00E31B2B">
            <w:pPr>
              <w:pStyle w:val="Tabletext"/>
              <w:rPr>
                <w:lang w:val="fr-FR"/>
              </w:rPr>
            </w:pPr>
            <w:bookmarkStart w:id="81" w:name="_Toc475539564"/>
            <w:bookmarkStart w:id="82" w:name="_Toc475542272"/>
            <w:bookmarkStart w:id="83" w:name="_Toc476211372"/>
            <w:bookmarkStart w:id="84" w:name="_Toc476213313"/>
            <w:r w:rsidRPr="00751128">
              <w:rPr>
                <w:lang w:val="fr-FR"/>
              </w:rPr>
              <w:t>Procédures d</w:t>
            </w:r>
            <w:r w:rsidR="00E31B2B">
              <w:rPr>
                <w:lang w:val="fr-FR"/>
              </w:rPr>
              <w:t>'</w:t>
            </w:r>
            <w:r w:rsidRPr="00751128">
              <w:rPr>
                <w:lang w:val="fr-FR"/>
              </w:rPr>
              <w:t>appel alternatives utilisées sur les réseaux</w:t>
            </w:r>
            <w:r w:rsidRPr="00751128">
              <w:rPr>
                <w:lang w:val="fr-FR"/>
              </w:rPr>
              <w:br/>
              <w:t>de télécommunication internationaux</w:t>
            </w:r>
            <w:bookmarkEnd w:id="81"/>
            <w:bookmarkEnd w:id="82"/>
            <w:bookmarkEnd w:id="83"/>
            <w:bookmarkEnd w:id="84"/>
          </w:p>
        </w:tc>
        <w:tc>
          <w:tcPr>
            <w:tcW w:w="1984" w:type="dxa"/>
            <w:shd w:val="clear" w:color="auto" w:fill="auto"/>
          </w:tcPr>
          <w:p w14:paraId="12ED3728" w14:textId="77777777" w:rsidR="00DC42BA" w:rsidRPr="00DC42BA" w:rsidRDefault="00E31B2B" w:rsidP="00E31B2B">
            <w:pPr>
              <w:pStyle w:val="Tabletext"/>
              <w:rPr>
                <w:lang w:val="en-US"/>
              </w:rPr>
            </w:pPr>
            <w:hyperlink r:id="rId159" w:history="1">
              <w:r w:rsidR="00DC42BA" w:rsidRPr="00DC42BA">
                <w:rPr>
                  <w:rStyle w:val="Hyperlink"/>
                  <w:lang w:val="en-US"/>
                </w:rPr>
                <w:t>AMNT-20 C-0024 Appendice I</w:t>
              </w:r>
            </w:hyperlink>
          </w:p>
          <w:p w14:paraId="3169C715" w14:textId="77777777" w:rsidR="00DC42BA" w:rsidRPr="00DC42BA" w:rsidRDefault="00DC42BA" w:rsidP="00E31B2B">
            <w:pPr>
              <w:pStyle w:val="Tabletext"/>
              <w:rPr>
                <w:lang w:val="en-US"/>
              </w:rPr>
            </w:pPr>
            <w:r w:rsidRPr="00DC42BA">
              <w:rPr>
                <w:lang w:val="en-US"/>
              </w:rPr>
              <w:t>(</w:t>
            </w:r>
            <w:hyperlink r:id="rId160" w:history="1">
              <w:r w:rsidRPr="00DC42BA">
                <w:rPr>
                  <w:rStyle w:val="Hyperlink"/>
                  <w:lang w:val="en-US"/>
                </w:rPr>
                <w:t>TSAG-TD1233</w:t>
              </w:r>
            </w:hyperlink>
            <w:r w:rsidRPr="00DC42BA">
              <w:rPr>
                <w:lang w:val="en-US"/>
              </w:rPr>
              <w:t>)</w:t>
            </w:r>
          </w:p>
        </w:tc>
      </w:tr>
      <w:tr w:rsidR="00DC42BA" w:rsidRPr="00751128" w14:paraId="604E0DCF" w14:textId="77777777" w:rsidTr="001E562B">
        <w:trPr>
          <w:jc w:val="center"/>
        </w:trPr>
        <w:tc>
          <w:tcPr>
            <w:tcW w:w="1686" w:type="dxa"/>
            <w:shd w:val="clear" w:color="auto" w:fill="auto"/>
          </w:tcPr>
          <w:p w14:paraId="2CBDCF65" w14:textId="77777777" w:rsidR="00DC42BA" w:rsidRPr="00751128" w:rsidRDefault="00DC42BA" w:rsidP="00E31B2B">
            <w:pPr>
              <w:pStyle w:val="Tabletext"/>
              <w:rPr>
                <w:lang w:val="fr-FR"/>
              </w:rPr>
            </w:pPr>
            <w:r w:rsidRPr="00751128">
              <w:rPr>
                <w:lang w:val="fr-FR"/>
              </w:rPr>
              <w:t>67</w:t>
            </w:r>
          </w:p>
        </w:tc>
        <w:tc>
          <w:tcPr>
            <w:tcW w:w="1345" w:type="dxa"/>
            <w:shd w:val="clear" w:color="auto" w:fill="auto"/>
          </w:tcPr>
          <w:p w14:paraId="08CA3335" w14:textId="77777777" w:rsidR="00DC42BA" w:rsidRPr="00751128" w:rsidRDefault="00DC42BA" w:rsidP="00E31B2B">
            <w:pPr>
              <w:pStyle w:val="Tabletext"/>
              <w:rPr>
                <w:lang w:val="fr-FR"/>
              </w:rPr>
            </w:pPr>
            <w:r w:rsidRPr="00751128">
              <w:rPr>
                <w:lang w:val="fr-FR"/>
              </w:rPr>
              <w:t>MOD</w:t>
            </w:r>
          </w:p>
        </w:tc>
        <w:tc>
          <w:tcPr>
            <w:tcW w:w="4732" w:type="dxa"/>
            <w:shd w:val="clear" w:color="auto" w:fill="auto"/>
          </w:tcPr>
          <w:p w14:paraId="501B1FBE" w14:textId="3416BD92" w:rsidR="00DC42BA" w:rsidRPr="00751128" w:rsidRDefault="00DC42BA" w:rsidP="00E31B2B">
            <w:pPr>
              <w:pStyle w:val="Tabletext"/>
              <w:rPr>
                <w:lang w:val="fr-FR"/>
              </w:rPr>
            </w:pPr>
            <w:bookmarkStart w:id="85" w:name="_Toc476213360"/>
            <w:bookmarkStart w:id="86" w:name="_Toc476211423"/>
            <w:bookmarkStart w:id="87" w:name="_Toc475542319"/>
            <w:bookmarkStart w:id="88" w:name="_Toc475539610"/>
            <w:r w:rsidRPr="00751128">
              <w:rPr>
                <w:lang w:val="fr-FR"/>
              </w:rPr>
              <w:t>Utilisation au sein du Secteur de la normalisation des télécommunications de l</w:t>
            </w:r>
            <w:r w:rsidR="00E31B2B">
              <w:rPr>
                <w:lang w:val="fr-FR"/>
              </w:rPr>
              <w:t>'</w:t>
            </w:r>
            <w:r w:rsidRPr="00751128">
              <w:rPr>
                <w:lang w:val="fr-FR"/>
              </w:rPr>
              <w:t>UIT des langues de l</w:t>
            </w:r>
            <w:r w:rsidR="00E31B2B">
              <w:rPr>
                <w:lang w:val="fr-FR"/>
              </w:rPr>
              <w:t>'</w:t>
            </w:r>
            <w:r w:rsidRPr="00751128">
              <w:rPr>
                <w:lang w:val="fr-FR"/>
              </w:rPr>
              <w:t>Union sur un pied d</w:t>
            </w:r>
            <w:r w:rsidR="00E31B2B">
              <w:rPr>
                <w:lang w:val="fr-FR"/>
              </w:rPr>
              <w:t>'</w:t>
            </w:r>
            <w:r w:rsidRPr="00751128">
              <w:rPr>
                <w:lang w:val="fr-FR"/>
              </w:rPr>
              <w:t>égalité</w:t>
            </w:r>
            <w:bookmarkEnd w:id="85"/>
            <w:bookmarkEnd w:id="86"/>
            <w:bookmarkEnd w:id="87"/>
            <w:bookmarkEnd w:id="88"/>
          </w:p>
        </w:tc>
        <w:tc>
          <w:tcPr>
            <w:tcW w:w="1984" w:type="dxa"/>
            <w:shd w:val="clear" w:color="auto" w:fill="auto"/>
          </w:tcPr>
          <w:p w14:paraId="3B9D8B4C" w14:textId="77777777" w:rsidR="00DC42BA" w:rsidRPr="00DC42BA" w:rsidRDefault="00E31B2B" w:rsidP="00E31B2B">
            <w:pPr>
              <w:pStyle w:val="Tabletext"/>
              <w:rPr>
                <w:lang w:val="en-US"/>
              </w:rPr>
            </w:pPr>
            <w:hyperlink r:id="rId161" w:history="1">
              <w:r w:rsidR="00DC42BA" w:rsidRPr="00DC42BA">
                <w:rPr>
                  <w:rStyle w:val="Hyperlink"/>
                  <w:lang w:val="en-US"/>
                </w:rPr>
                <w:t>AMNT-20 C-0024 Appendice 1</w:t>
              </w:r>
            </w:hyperlink>
          </w:p>
          <w:p w14:paraId="25F5C332" w14:textId="77777777" w:rsidR="00DC42BA" w:rsidRPr="00DC42BA" w:rsidRDefault="00DC42BA" w:rsidP="00E31B2B">
            <w:pPr>
              <w:pStyle w:val="Tabletext"/>
              <w:rPr>
                <w:lang w:val="en-US"/>
              </w:rPr>
            </w:pPr>
            <w:r w:rsidRPr="00DC42BA">
              <w:rPr>
                <w:lang w:val="en-US"/>
              </w:rPr>
              <w:t>(</w:t>
            </w:r>
            <w:hyperlink r:id="rId162" w:history="1">
              <w:r w:rsidRPr="00DC42BA">
                <w:rPr>
                  <w:rStyle w:val="Hyperlink"/>
                  <w:lang w:val="en-US"/>
                </w:rPr>
                <w:t>TSAG-TD1230att2</w:t>
              </w:r>
            </w:hyperlink>
            <w:r w:rsidRPr="00DC42BA">
              <w:rPr>
                <w:lang w:val="en-US"/>
              </w:rPr>
              <w:t>)</w:t>
            </w:r>
          </w:p>
        </w:tc>
      </w:tr>
    </w:tbl>
    <w:p w14:paraId="2D74A454" w14:textId="77777777" w:rsidR="00DC42BA" w:rsidRPr="00DC42BA" w:rsidRDefault="00DC42BA" w:rsidP="00E31B2B">
      <w:pPr>
        <w:pStyle w:val="TableNo"/>
        <w:rPr>
          <w:sz w:val="24"/>
          <w:szCs w:val="24"/>
          <w:lang w:val="fr-FR" w:eastAsia="ja-JP"/>
        </w:rPr>
      </w:pPr>
      <w:r w:rsidRPr="00DC42BA">
        <w:rPr>
          <w:sz w:val="24"/>
          <w:szCs w:val="24"/>
          <w:lang w:val="fr-FR" w:eastAsia="ja-JP"/>
        </w:rPr>
        <w:t>TABLEAU 11</w:t>
      </w:r>
    </w:p>
    <w:p w14:paraId="6ED0F418" w14:textId="77777777" w:rsidR="00DC42BA" w:rsidRPr="00DC42BA" w:rsidRDefault="00DC42BA" w:rsidP="00E31B2B">
      <w:pPr>
        <w:pStyle w:val="Tabletitle"/>
        <w:rPr>
          <w:sz w:val="24"/>
          <w:szCs w:val="24"/>
          <w:lang w:val="fr-FR" w:eastAsia="ja-JP"/>
        </w:rPr>
      </w:pPr>
      <w:r w:rsidRPr="00DC42BA">
        <w:rPr>
          <w:sz w:val="24"/>
          <w:szCs w:val="24"/>
          <w:lang w:val="fr-FR" w:eastAsia="ja-JP"/>
        </w:rPr>
        <w:t>GCNT – Suppléments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DC42BA" w:rsidRPr="00751128" w14:paraId="29876AC2" w14:textId="77777777" w:rsidTr="001E562B">
        <w:trPr>
          <w:tblHeader/>
          <w:jc w:val="center"/>
        </w:trPr>
        <w:tc>
          <w:tcPr>
            <w:tcW w:w="1897" w:type="dxa"/>
            <w:shd w:val="clear" w:color="auto" w:fill="auto"/>
            <w:vAlign w:val="center"/>
          </w:tcPr>
          <w:p w14:paraId="613124CB" w14:textId="77777777" w:rsidR="00DC42BA" w:rsidRPr="00751128" w:rsidRDefault="00DC42BA" w:rsidP="00E31B2B">
            <w:pPr>
              <w:pStyle w:val="Tablehead"/>
              <w:rPr>
                <w:lang w:val="fr-FR"/>
              </w:rPr>
            </w:pPr>
            <w:r w:rsidRPr="00751128">
              <w:rPr>
                <w:lang w:val="fr-FR"/>
              </w:rPr>
              <w:t>Recommandation</w:t>
            </w:r>
          </w:p>
        </w:tc>
        <w:tc>
          <w:tcPr>
            <w:tcW w:w="1276" w:type="dxa"/>
            <w:shd w:val="clear" w:color="auto" w:fill="auto"/>
            <w:vAlign w:val="center"/>
          </w:tcPr>
          <w:p w14:paraId="355D6520" w14:textId="77777777" w:rsidR="00DC42BA" w:rsidRPr="00751128" w:rsidRDefault="00DC42BA" w:rsidP="00E31B2B">
            <w:pPr>
              <w:pStyle w:val="Tablehead"/>
              <w:rPr>
                <w:lang w:val="fr-FR"/>
              </w:rPr>
            </w:pPr>
            <w:r w:rsidRPr="00751128">
              <w:rPr>
                <w:lang w:val="fr-FR"/>
              </w:rPr>
              <w:t>Date</w:t>
            </w:r>
          </w:p>
        </w:tc>
        <w:tc>
          <w:tcPr>
            <w:tcW w:w="992" w:type="dxa"/>
            <w:shd w:val="clear" w:color="auto" w:fill="auto"/>
            <w:vAlign w:val="center"/>
          </w:tcPr>
          <w:p w14:paraId="5AFD4D3F" w14:textId="77777777" w:rsidR="00DC42BA" w:rsidRPr="00751128" w:rsidRDefault="00DC42BA" w:rsidP="00E31B2B">
            <w:pPr>
              <w:pStyle w:val="Tablehead"/>
              <w:rPr>
                <w:lang w:val="fr-FR"/>
              </w:rPr>
            </w:pPr>
            <w:r w:rsidRPr="00751128">
              <w:rPr>
                <w:lang w:val="fr-FR"/>
              </w:rPr>
              <w:t>Statut</w:t>
            </w:r>
          </w:p>
        </w:tc>
        <w:tc>
          <w:tcPr>
            <w:tcW w:w="5601" w:type="dxa"/>
            <w:shd w:val="clear" w:color="auto" w:fill="auto"/>
            <w:vAlign w:val="center"/>
          </w:tcPr>
          <w:p w14:paraId="428954CF" w14:textId="77777777" w:rsidR="00DC42BA" w:rsidRPr="00751128" w:rsidRDefault="00DC42BA" w:rsidP="00E31B2B">
            <w:pPr>
              <w:pStyle w:val="Tablehead"/>
              <w:rPr>
                <w:lang w:val="fr-FR"/>
              </w:rPr>
            </w:pPr>
            <w:r w:rsidRPr="00751128">
              <w:rPr>
                <w:lang w:val="fr-FR"/>
              </w:rPr>
              <w:t>Titre</w:t>
            </w:r>
          </w:p>
        </w:tc>
      </w:tr>
      <w:tr w:rsidR="00DC42BA" w:rsidRPr="00751128" w14:paraId="385EE8A0" w14:textId="77777777" w:rsidTr="001E562B">
        <w:trPr>
          <w:jc w:val="center"/>
        </w:trPr>
        <w:tc>
          <w:tcPr>
            <w:tcW w:w="1897" w:type="dxa"/>
            <w:shd w:val="clear" w:color="auto" w:fill="auto"/>
          </w:tcPr>
          <w:p w14:paraId="4B175AFC" w14:textId="77777777" w:rsidR="00DC42BA" w:rsidRPr="00751128" w:rsidRDefault="00DC42BA" w:rsidP="00E31B2B">
            <w:pPr>
              <w:pStyle w:val="Tabletext"/>
              <w:rPr>
                <w:lang w:val="fr-FR"/>
              </w:rPr>
            </w:pPr>
            <w:r w:rsidRPr="00751128">
              <w:rPr>
                <w:lang w:val="fr-FR"/>
              </w:rPr>
              <w:t>Néant.</w:t>
            </w:r>
          </w:p>
        </w:tc>
        <w:tc>
          <w:tcPr>
            <w:tcW w:w="1276" w:type="dxa"/>
            <w:shd w:val="clear" w:color="auto" w:fill="auto"/>
          </w:tcPr>
          <w:p w14:paraId="5A0A4C76" w14:textId="77777777" w:rsidR="00DC42BA" w:rsidRPr="00751128" w:rsidRDefault="00DC42BA" w:rsidP="00E31B2B">
            <w:pPr>
              <w:pStyle w:val="Tabletext"/>
              <w:rPr>
                <w:lang w:val="fr-FR"/>
              </w:rPr>
            </w:pPr>
          </w:p>
        </w:tc>
        <w:tc>
          <w:tcPr>
            <w:tcW w:w="992" w:type="dxa"/>
            <w:shd w:val="clear" w:color="auto" w:fill="auto"/>
          </w:tcPr>
          <w:p w14:paraId="58243FAE" w14:textId="77777777" w:rsidR="00DC42BA" w:rsidRPr="00751128" w:rsidRDefault="00DC42BA" w:rsidP="00E31B2B">
            <w:pPr>
              <w:pStyle w:val="Tabletext"/>
              <w:rPr>
                <w:lang w:val="fr-FR"/>
              </w:rPr>
            </w:pPr>
          </w:p>
        </w:tc>
        <w:tc>
          <w:tcPr>
            <w:tcW w:w="5601" w:type="dxa"/>
            <w:shd w:val="clear" w:color="auto" w:fill="auto"/>
          </w:tcPr>
          <w:p w14:paraId="01ABD6DF" w14:textId="77777777" w:rsidR="00DC42BA" w:rsidRPr="00751128" w:rsidRDefault="00DC42BA" w:rsidP="00E31B2B">
            <w:pPr>
              <w:pStyle w:val="Tabletext"/>
              <w:rPr>
                <w:lang w:val="fr-FR"/>
              </w:rPr>
            </w:pPr>
          </w:p>
        </w:tc>
      </w:tr>
    </w:tbl>
    <w:p w14:paraId="2C0F2423" w14:textId="77777777" w:rsidR="00DC42BA" w:rsidRPr="00DC42BA" w:rsidRDefault="00DC42BA" w:rsidP="00E31B2B">
      <w:pPr>
        <w:pStyle w:val="TableNo"/>
        <w:rPr>
          <w:sz w:val="24"/>
          <w:szCs w:val="24"/>
          <w:lang w:val="fr-FR"/>
        </w:rPr>
      </w:pPr>
      <w:r w:rsidRPr="00DC42BA">
        <w:rPr>
          <w:sz w:val="24"/>
          <w:szCs w:val="24"/>
          <w:lang w:val="fr-FR"/>
        </w:rPr>
        <w:lastRenderedPageBreak/>
        <w:t>TABLEAU 11</w:t>
      </w:r>
      <w:r w:rsidRPr="00DC42BA">
        <w:rPr>
          <w:caps w:val="0"/>
          <w:sz w:val="24"/>
          <w:szCs w:val="24"/>
          <w:lang w:val="fr-FR"/>
        </w:rPr>
        <w:t>bis</w:t>
      </w:r>
    </w:p>
    <w:p w14:paraId="5BEA0D4F" w14:textId="77777777" w:rsidR="00DC42BA" w:rsidRPr="00751128" w:rsidRDefault="00DC42BA" w:rsidP="00E31B2B">
      <w:pPr>
        <w:pStyle w:val="Tabletitle"/>
        <w:rPr>
          <w:lang w:val="fr-FR"/>
        </w:rPr>
      </w:pPr>
      <w:r w:rsidRPr="00DC42BA">
        <w:rPr>
          <w:sz w:val="24"/>
          <w:szCs w:val="24"/>
          <w:lang w:val="fr-FR" w:eastAsia="ja-JP"/>
        </w:rPr>
        <w:t xml:space="preserve">GCNT </w:t>
      </w:r>
      <w:r w:rsidRPr="00DC42BA">
        <w:rPr>
          <w:sz w:val="24"/>
          <w:szCs w:val="24"/>
          <w:lang w:val="fr-FR"/>
        </w:rPr>
        <w:t>– Appendices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DC42BA" w:rsidRPr="00751128" w14:paraId="55D0807B" w14:textId="77777777" w:rsidTr="001E562B">
        <w:trPr>
          <w:tblHeader/>
          <w:jc w:val="center"/>
        </w:trPr>
        <w:tc>
          <w:tcPr>
            <w:tcW w:w="1897" w:type="dxa"/>
            <w:shd w:val="clear" w:color="auto" w:fill="auto"/>
            <w:vAlign w:val="center"/>
          </w:tcPr>
          <w:p w14:paraId="3D0D6B30" w14:textId="77777777" w:rsidR="00DC42BA" w:rsidRPr="00751128" w:rsidRDefault="00DC42BA" w:rsidP="00E31B2B">
            <w:pPr>
              <w:pStyle w:val="Tablehead"/>
              <w:rPr>
                <w:lang w:val="fr-FR"/>
              </w:rPr>
            </w:pPr>
            <w:r w:rsidRPr="00751128">
              <w:rPr>
                <w:lang w:val="fr-FR"/>
              </w:rPr>
              <w:t>Recommandation</w:t>
            </w:r>
          </w:p>
        </w:tc>
        <w:tc>
          <w:tcPr>
            <w:tcW w:w="1276" w:type="dxa"/>
            <w:shd w:val="clear" w:color="auto" w:fill="auto"/>
            <w:vAlign w:val="center"/>
          </w:tcPr>
          <w:p w14:paraId="46D5E1F6" w14:textId="77777777" w:rsidR="00DC42BA" w:rsidRPr="00751128" w:rsidRDefault="00DC42BA" w:rsidP="00E31B2B">
            <w:pPr>
              <w:pStyle w:val="Tablehead"/>
              <w:rPr>
                <w:lang w:val="fr-FR"/>
              </w:rPr>
            </w:pPr>
            <w:r w:rsidRPr="00751128">
              <w:rPr>
                <w:lang w:val="fr-FR"/>
              </w:rPr>
              <w:t>Date</w:t>
            </w:r>
          </w:p>
        </w:tc>
        <w:tc>
          <w:tcPr>
            <w:tcW w:w="992" w:type="dxa"/>
            <w:shd w:val="clear" w:color="auto" w:fill="auto"/>
            <w:vAlign w:val="center"/>
          </w:tcPr>
          <w:p w14:paraId="164A65D3" w14:textId="77777777" w:rsidR="00DC42BA" w:rsidRPr="00751128" w:rsidRDefault="00DC42BA" w:rsidP="00E31B2B">
            <w:pPr>
              <w:pStyle w:val="Tablehead"/>
              <w:rPr>
                <w:lang w:val="fr-FR"/>
              </w:rPr>
            </w:pPr>
            <w:r w:rsidRPr="00751128">
              <w:rPr>
                <w:lang w:val="fr-FR"/>
              </w:rPr>
              <w:t>Statut</w:t>
            </w:r>
          </w:p>
        </w:tc>
        <w:tc>
          <w:tcPr>
            <w:tcW w:w="5601" w:type="dxa"/>
            <w:shd w:val="clear" w:color="auto" w:fill="auto"/>
            <w:vAlign w:val="center"/>
          </w:tcPr>
          <w:p w14:paraId="3F30FFC2" w14:textId="77777777" w:rsidR="00DC42BA" w:rsidRPr="00751128" w:rsidRDefault="00DC42BA" w:rsidP="00E31B2B">
            <w:pPr>
              <w:pStyle w:val="Tablehead"/>
              <w:rPr>
                <w:lang w:val="fr-FR"/>
              </w:rPr>
            </w:pPr>
            <w:r w:rsidRPr="00751128">
              <w:rPr>
                <w:lang w:val="fr-FR"/>
              </w:rPr>
              <w:t>Titre</w:t>
            </w:r>
          </w:p>
        </w:tc>
      </w:tr>
      <w:tr w:rsidR="00DC42BA" w:rsidRPr="00E31B2B" w14:paraId="73A65F84" w14:textId="77777777" w:rsidTr="001E562B">
        <w:trPr>
          <w:jc w:val="center"/>
        </w:trPr>
        <w:tc>
          <w:tcPr>
            <w:tcW w:w="1897" w:type="dxa"/>
            <w:shd w:val="clear" w:color="auto" w:fill="auto"/>
          </w:tcPr>
          <w:p w14:paraId="3ADDC1B4" w14:textId="77777777" w:rsidR="00DC42BA" w:rsidRPr="00751128" w:rsidRDefault="00DC42BA" w:rsidP="00E31B2B">
            <w:pPr>
              <w:pStyle w:val="Tabletext"/>
              <w:rPr>
                <w:lang w:val="fr-FR"/>
              </w:rPr>
            </w:pPr>
            <w:r w:rsidRPr="00751128">
              <w:rPr>
                <w:lang w:val="fr-FR"/>
              </w:rPr>
              <w:t>UIT-T A.23 Appendice II</w:t>
            </w:r>
          </w:p>
        </w:tc>
        <w:tc>
          <w:tcPr>
            <w:tcW w:w="1276" w:type="dxa"/>
            <w:shd w:val="clear" w:color="auto" w:fill="auto"/>
          </w:tcPr>
          <w:p w14:paraId="685CFA1E" w14:textId="77777777" w:rsidR="00DC42BA" w:rsidRPr="00751128" w:rsidRDefault="00DC42BA" w:rsidP="00E31B2B">
            <w:pPr>
              <w:pStyle w:val="Tabletext"/>
              <w:rPr>
                <w:lang w:val="fr-FR"/>
              </w:rPr>
            </w:pPr>
            <w:r w:rsidRPr="00751128">
              <w:rPr>
                <w:lang w:val="fr-FR"/>
              </w:rPr>
              <w:t>14 janvier 2022</w:t>
            </w:r>
          </w:p>
        </w:tc>
        <w:tc>
          <w:tcPr>
            <w:tcW w:w="992" w:type="dxa"/>
            <w:shd w:val="clear" w:color="auto" w:fill="auto"/>
          </w:tcPr>
          <w:p w14:paraId="51F44809" w14:textId="77777777" w:rsidR="00DC42BA" w:rsidRPr="00751128" w:rsidRDefault="00DC42BA" w:rsidP="00E31B2B">
            <w:pPr>
              <w:pStyle w:val="Tabletext"/>
              <w:rPr>
                <w:lang w:val="fr-FR"/>
              </w:rPr>
            </w:pPr>
            <w:r w:rsidRPr="00751128">
              <w:rPr>
                <w:lang w:val="fr-FR"/>
              </w:rPr>
              <w:t>Nouvelle</w:t>
            </w:r>
          </w:p>
        </w:tc>
        <w:tc>
          <w:tcPr>
            <w:tcW w:w="5601" w:type="dxa"/>
            <w:shd w:val="clear" w:color="auto" w:fill="auto"/>
          </w:tcPr>
          <w:p w14:paraId="237C53C5" w14:textId="18F0F3AE" w:rsidR="00DC42BA" w:rsidRPr="00751128" w:rsidRDefault="00DC42BA" w:rsidP="00E31B2B">
            <w:pPr>
              <w:pStyle w:val="Tabletext"/>
              <w:rPr>
                <w:lang w:val="fr-FR"/>
              </w:rPr>
            </w:pPr>
            <w:r w:rsidRPr="00751128">
              <w:rPr>
                <w:lang w:val="fr-FR"/>
              </w:rPr>
              <w:t>Collaboration avec l</w:t>
            </w:r>
            <w:r w:rsidR="00E31B2B">
              <w:rPr>
                <w:lang w:val="fr-FR"/>
              </w:rPr>
              <w:t>'</w:t>
            </w:r>
            <w:r w:rsidRPr="00751128">
              <w:rPr>
                <w:lang w:val="fr-FR"/>
              </w:rPr>
              <w:t>Organisation internationale de normalisation (ISO) et la Commission électrotechnique internationale (CEI) dans le domaine des technologies de l</w:t>
            </w:r>
            <w:r w:rsidR="00E31B2B">
              <w:rPr>
                <w:lang w:val="fr-FR"/>
              </w:rPr>
              <w:t>'</w:t>
            </w:r>
            <w:r w:rsidRPr="00751128">
              <w:rPr>
                <w:lang w:val="fr-FR"/>
              </w:rPr>
              <w:t>information – Appendice II: Bonnes pratiques</w:t>
            </w:r>
          </w:p>
        </w:tc>
      </w:tr>
    </w:tbl>
    <w:p w14:paraId="50AB3893" w14:textId="77777777" w:rsidR="00DC1D16" w:rsidRDefault="00DC1D16" w:rsidP="00E31B2B">
      <w:pPr>
        <w:rPr>
          <w:lang w:val="fr-FR"/>
        </w:rPr>
      </w:pPr>
      <w:r>
        <w:rPr>
          <w:lang w:val="fr-FR"/>
        </w:rPr>
        <w:br w:type="page"/>
      </w:r>
    </w:p>
    <w:p w14:paraId="53A62F5A" w14:textId="77777777" w:rsidR="00DC1D16" w:rsidRPr="00EB2A7A" w:rsidRDefault="00DC1D16" w:rsidP="00E31B2B">
      <w:pPr>
        <w:pStyle w:val="AnnexNo"/>
        <w:rPr>
          <w:lang w:val="fr-FR"/>
        </w:rPr>
      </w:pPr>
      <w:bookmarkStart w:id="89" w:name="_Toc94876347"/>
      <w:bookmarkStart w:id="90" w:name="_Toc93408228"/>
      <w:r w:rsidRPr="00EB2A7A">
        <w:rPr>
          <w:lang w:val="fr-FR"/>
        </w:rPr>
        <w:lastRenderedPageBreak/>
        <w:t>ANNEXE 2</w:t>
      </w:r>
      <w:bookmarkEnd w:id="89"/>
    </w:p>
    <w:p w14:paraId="29736245" w14:textId="7FD7E35D" w:rsidR="00DC1D16" w:rsidRPr="00EB2A7A" w:rsidRDefault="00DC1D16" w:rsidP="00E31B2B">
      <w:pPr>
        <w:pStyle w:val="Annextitle"/>
        <w:rPr>
          <w:lang w:val="fr-FR"/>
        </w:rPr>
      </w:pPr>
      <w:bookmarkStart w:id="91" w:name="_Toc94876348"/>
      <w:bookmarkEnd w:id="90"/>
      <w:r w:rsidRPr="00EB2A7A">
        <w:rPr>
          <w:lang w:val="fr-FR"/>
        </w:rPr>
        <w:t>Résumé des résultats des travaux du Grou</w:t>
      </w:r>
      <w:r>
        <w:rPr>
          <w:lang w:val="fr-FR"/>
        </w:rPr>
        <w:t>pe du Rapporteur du GCNT sur la </w:t>
      </w:r>
      <w:r w:rsidRPr="00EB2A7A">
        <w:rPr>
          <w:lang w:val="fr-FR"/>
        </w:rPr>
        <w:t>création de groupes régionaux des commissions d</w:t>
      </w:r>
      <w:r w:rsidR="00E31B2B">
        <w:rPr>
          <w:lang w:val="fr-FR"/>
        </w:rPr>
        <w:t>'</w:t>
      </w:r>
      <w:r w:rsidRPr="00EB2A7A">
        <w:rPr>
          <w:lang w:val="fr-FR"/>
        </w:rPr>
        <w:t>études, la participation à leurs travaux et leur dissolution (RG-CPTRG)</w:t>
      </w:r>
      <w:bookmarkEnd w:id="91"/>
    </w:p>
    <w:p w14:paraId="4A8DAAFC" w14:textId="77777777" w:rsidR="00DC1D16" w:rsidRPr="00EB2A7A" w:rsidRDefault="00DC1D16" w:rsidP="00E31B2B">
      <w:pPr>
        <w:pStyle w:val="Heading1"/>
        <w:rPr>
          <w:lang w:val="fr-FR"/>
        </w:rPr>
      </w:pPr>
      <w:bookmarkStart w:id="92" w:name="_Toc94876349"/>
      <w:r w:rsidRPr="00EB2A7A">
        <w:rPr>
          <w:lang w:val="fr-FR"/>
        </w:rPr>
        <w:t>1</w:t>
      </w:r>
      <w:r w:rsidRPr="00EB2A7A">
        <w:rPr>
          <w:lang w:val="fr-FR"/>
        </w:rPr>
        <w:tab/>
        <w:t>Mandat du Groupe RG-CPTRG</w:t>
      </w:r>
      <w:bookmarkEnd w:id="92"/>
      <w:r w:rsidRPr="00EB2A7A">
        <w:rPr>
          <w:lang w:val="fr-FR"/>
        </w:rPr>
        <w:t xml:space="preserve"> </w:t>
      </w:r>
    </w:p>
    <w:p w14:paraId="37E56F0C" w14:textId="77777777" w:rsidR="00DC1D16" w:rsidRPr="00EB2A7A" w:rsidRDefault="00DC1D16" w:rsidP="00E31B2B">
      <w:pPr>
        <w:rPr>
          <w:rFonts w:asciiTheme="majorBidi" w:hAnsiTheme="majorBidi" w:cstheme="majorBidi"/>
          <w:lang w:val="fr-FR"/>
        </w:rPr>
      </w:pPr>
      <w:r w:rsidRPr="00EB2A7A">
        <w:rPr>
          <w:rFonts w:asciiTheme="majorBidi" w:hAnsiTheme="majorBidi" w:cstheme="majorBidi"/>
          <w:lang w:val="fr-FR"/>
        </w:rPr>
        <w:t xml:space="preserve">Le Groupe du Rapporteur sur la création de groupes régionaux, la participation à leurs travaux et leur dissolution (RG-CPTRG) a exercé ses activités conformément au mandat figurant dans le </w:t>
      </w:r>
      <w:r>
        <w:rPr>
          <w:rFonts w:asciiTheme="majorBidi" w:hAnsiTheme="majorBidi" w:cstheme="majorBidi"/>
          <w:lang w:val="fr-FR"/>
        </w:rPr>
        <w:t>D</w:t>
      </w:r>
      <w:r w:rsidRPr="00EB2A7A">
        <w:rPr>
          <w:rFonts w:asciiTheme="majorBidi" w:hAnsiTheme="majorBidi" w:cstheme="majorBidi"/>
          <w:lang w:val="fr-FR"/>
        </w:rPr>
        <w:t xml:space="preserve">ocument </w:t>
      </w:r>
      <w:hyperlink r:id="rId163" w:history="1">
        <w:r w:rsidRPr="00EB2A7A">
          <w:rPr>
            <w:rStyle w:val="Hyperlink"/>
            <w:lang w:val="fr-FR"/>
          </w:rPr>
          <w:t>TSAG-TD429-R2</w:t>
        </w:r>
      </w:hyperlink>
      <w:r w:rsidRPr="00EB2A7A">
        <w:rPr>
          <w:rFonts w:asciiTheme="majorBidi" w:hAnsiTheme="majorBidi" w:cstheme="majorBidi"/>
          <w:lang w:val="fr-FR"/>
        </w:rPr>
        <w:t xml:space="preserve">, qui a été approuvé par le GCNT à la suite de ses deux premières réunions. </w:t>
      </w:r>
    </w:p>
    <w:p w14:paraId="77E1EF9B" w14:textId="77777777" w:rsidR="00DC1D16" w:rsidRPr="00EB2A7A" w:rsidRDefault="00DC1D16" w:rsidP="00E31B2B">
      <w:pPr>
        <w:rPr>
          <w:rFonts w:asciiTheme="majorBidi" w:hAnsiTheme="majorBidi" w:cstheme="majorBidi"/>
          <w:lang w:val="fr-FR"/>
        </w:rPr>
      </w:pPr>
      <w:r w:rsidRPr="00EB2A7A">
        <w:rPr>
          <w:rFonts w:asciiTheme="majorBidi" w:hAnsiTheme="majorBidi" w:cstheme="majorBidi"/>
          <w:lang w:val="fr-FR"/>
        </w:rPr>
        <w:t>Le Groupe RG-CPTRG a été constitué par le GCNT après examen des contributions ci-dessous:</w:t>
      </w:r>
    </w:p>
    <w:p w14:paraId="31B1FBC1" w14:textId="77777777" w:rsidR="00DC1D16" w:rsidRPr="00B21312" w:rsidRDefault="00DC1D16" w:rsidP="00E31B2B">
      <w:pPr>
        <w:pStyle w:val="TableNo"/>
        <w:rPr>
          <w:sz w:val="24"/>
          <w:szCs w:val="24"/>
          <w:lang w:val="fr-FR"/>
        </w:rPr>
      </w:pPr>
      <w:r w:rsidRPr="00B21312">
        <w:rPr>
          <w:sz w:val="24"/>
          <w:szCs w:val="24"/>
          <w:lang w:val="fr-FR"/>
        </w:rPr>
        <w:t>TABLEAU 12</w:t>
      </w:r>
    </w:p>
    <w:p w14:paraId="1413EB11" w14:textId="77777777" w:rsidR="00DC1D16" w:rsidRPr="00B21312" w:rsidRDefault="00DC1D16" w:rsidP="00E31B2B">
      <w:pPr>
        <w:pStyle w:val="Tabletitle"/>
        <w:rPr>
          <w:sz w:val="24"/>
          <w:szCs w:val="24"/>
          <w:lang w:val="fr-FR"/>
        </w:rPr>
      </w:pPr>
      <w:r w:rsidRPr="00B21312">
        <w:rPr>
          <w:sz w:val="24"/>
          <w:szCs w:val="24"/>
          <w:lang w:val="fr-FR"/>
        </w:rPr>
        <w:t>Contributions du Groupe RG-CPTRG</w:t>
      </w:r>
    </w:p>
    <w:tbl>
      <w:tblPr>
        <w:tblStyle w:val="TableGrid"/>
        <w:tblW w:w="9634" w:type="dxa"/>
        <w:tblLook w:val="04A0" w:firstRow="1" w:lastRow="0" w:firstColumn="1" w:lastColumn="0" w:noHBand="0" w:noVBand="1"/>
      </w:tblPr>
      <w:tblGrid>
        <w:gridCol w:w="1413"/>
        <w:gridCol w:w="1559"/>
        <w:gridCol w:w="6662"/>
      </w:tblGrid>
      <w:tr w:rsidR="00DC1D16" w:rsidRPr="00EB2A7A" w14:paraId="19BE6932" w14:textId="77777777" w:rsidTr="008154FC">
        <w:tc>
          <w:tcPr>
            <w:tcW w:w="1413" w:type="dxa"/>
            <w:vAlign w:val="center"/>
          </w:tcPr>
          <w:p w14:paraId="5B2D9762" w14:textId="77777777" w:rsidR="00DC1D16" w:rsidRPr="00EB2A7A" w:rsidRDefault="00DC1D16" w:rsidP="00E31B2B">
            <w:pPr>
              <w:pStyle w:val="Tablehead"/>
              <w:rPr>
                <w:lang w:val="fr-FR"/>
              </w:rPr>
            </w:pPr>
            <w:r w:rsidRPr="00EB2A7A">
              <w:rPr>
                <w:lang w:val="fr-FR"/>
              </w:rPr>
              <w:t>C</w:t>
            </w:r>
          </w:p>
        </w:tc>
        <w:tc>
          <w:tcPr>
            <w:tcW w:w="1559" w:type="dxa"/>
            <w:vAlign w:val="center"/>
          </w:tcPr>
          <w:p w14:paraId="7F156AE2" w14:textId="77777777" w:rsidR="00DC1D16" w:rsidRPr="00EB2A7A" w:rsidRDefault="00DC1D16" w:rsidP="00E31B2B">
            <w:pPr>
              <w:pStyle w:val="Tablehead"/>
              <w:rPr>
                <w:lang w:val="fr-FR"/>
              </w:rPr>
            </w:pPr>
            <w:r w:rsidRPr="00EB2A7A">
              <w:rPr>
                <w:lang w:val="fr-FR"/>
              </w:rPr>
              <w:t>Origine</w:t>
            </w:r>
          </w:p>
        </w:tc>
        <w:tc>
          <w:tcPr>
            <w:tcW w:w="6662" w:type="dxa"/>
          </w:tcPr>
          <w:p w14:paraId="73B24999" w14:textId="77777777" w:rsidR="00DC1D16" w:rsidRPr="00EB2A7A" w:rsidRDefault="00DC1D16" w:rsidP="00E31B2B">
            <w:pPr>
              <w:pStyle w:val="Tablehead"/>
              <w:rPr>
                <w:lang w:val="fr-FR"/>
              </w:rPr>
            </w:pPr>
            <w:r w:rsidRPr="00EB2A7A">
              <w:rPr>
                <w:lang w:val="fr-FR"/>
              </w:rPr>
              <w:t>Titre</w:t>
            </w:r>
          </w:p>
        </w:tc>
      </w:tr>
      <w:tr w:rsidR="00DC1D16" w:rsidRPr="00E31B2B" w14:paraId="0D7F84C5" w14:textId="77777777" w:rsidTr="008154FC">
        <w:tc>
          <w:tcPr>
            <w:tcW w:w="1413" w:type="dxa"/>
          </w:tcPr>
          <w:p w14:paraId="38D66B52" w14:textId="77777777" w:rsidR="00DC1D16" w:rsidRPr="00EB2A7A" w:rsidRDefault="00E31B2B" w:rsidP="00E31B2B">
            <w:pPr>
              <w:pStyle w:val="Tabletext"/>
              <w:jc w:val="center"/>
              <w:rPr>
                <w:lang w:val="fr-FR"/>
              </w:rPr>
            </w:pPr>
            <w:hyperlink r:id="rId164" w:history="1">
              <w:r w:rsidR="00DC1D16" w:rsidRPr="00EB2A7A">
                <w:rPr>
                  <w:rStyle w:val="Hyperlink"/>
                  <w:lang w:val="fr-FR"/>
                </w:rPr>
                <w:t>TSAG-C55</w:t>
              </w:r>
            </w:hyperlink>
          </w:p>
        </w:tc>
        <w:tc>
          <w:tcPr>
            <w:tcW w:w="1559" w:type="dxa"/>
          </w:tcPr>
          <w:p w14:paraId="14DFFF8F" w14:textId="77777777" w:rsidR="00DC1D16" w:rsidRPr="00EB2A7A" w:rsidRDefault="00DC1D16" w:rsidP="00E31B2B">
            <w:pPr>
              <w:pStyle w:val="Tabletext"/>
              <w:jc w:val="center"/>
              <w:rPr>
                <w:i/>
                <w:lang w:val="fr-FR"/>
              </w:rPr>
            </w:pPr>
            <w:r w:rsidRPr="00EB2A7A">
              <w:rPr>
                <w:lang w:val="fr-FR"/>
              </w:rPr>
              <w:t>GSMA</w:t>
            </w:r>
          </w:p>
        </w:tc>
        <w:tc>
          <w:tcPr>
            <w:tcW w:w="6662" w:type="dxa"/>
          </w:tcPr>
          <w:p w14:paraId="705BD176" w14:textId="75008DFF" w:rsidR="00DC1D16" w:rsidRPr="00EB2A7A" w:rsidRDefault="00DC1D16" w:rsidP="00E31B2B">
            <w:pPr>
              <w:pStyle w:val="Tabletext"/>
              <w:rPr>
                <w:highlight w:val="yellow"/>
                <w:lang w:val="fr-FR"/>
              </w:rPr>
            </w:pPr>
            <w:r w:rsidRPr="00EB2A7A">
              <w:rPr>
                <w:lang w:val="fr-FR"/>
              </w:rPr>
              <w:t>Suite devant être donnée par le GCNT à la proposition de la Conférence de plénipotentiaires de l</w:t>
            </w:r>
            <w:r w:rsidR="00E31B2B">
              <w:rPr>
                <w:lang w:val="fr-FR"/>
              </w:rPr>
              <w:t>'</w:t>
            </w:r>
            <w:r w:rsidRPr="00EB2A7A">
              <w:rPr>
                <w:lang w:val="fr-FR"/>
              </w:rPr>
              <w:t>UIT de 2018 sur les droits et obligations des différentes catégories de membres et la participation aux travaux de l</w:t>
            </w:r>
            <w:r w:rsidR="00E31B2B">
              <w:rPr>
                <w:lang w:val="fr-FR"/>
              </w:rPr>
              <w:t>'</w:t>
            </w:r>
            <w:r w:rsidRPr="00EB2A7A">
              <w:rPr>
                <w:lang w:val="fr-FR"/>
              </w:rPr>
              <w:t>UIT-T</w:t>
            </w:r>
            <w:r w:rsidRPr="00EB2A7A">
              <w:rPr>
                <w:highlight w:val="yellow"/>
                <w:lang w:val="fr-FR"/>
              </w:rPr>
              <w:t xml:space="preserve"> </w:t>
            </w:r>
          </w:p>
        </w:tc>
      </w:tr>
      <w:tr w:rsidR="00DC1D16" w:rsidRPr="00E31B2B" w14:paraId="2B2E1374" w14:textId="77777777" w:rsidTr="008154FC">
        <w:tc>
          <w:tcPr>
            <w:tcW w:w="1413" w:type="dxa"/>
          </w:tcPr>
          <w:p w14:paraId="7015386E" w14:textId="77777777" w:rsidR="00DC1D16" w:rsidRPr="00EB2A7A" w:rsidRDefault="00E31B2B" w:rsidP="00E31B2B">
            <w:pPr>
              <w:pStyle w:val="Tabletext"/>
              <w:jc w:val="center"/>
              <w:rPr>
                <w:lang w:val="fr-FR"/>
              </w:rPr>
            </w:pPr>
            <w:hyperlink r:id="rId165" w:history="1">
              <w:r w:rsidR="00DC1D16" w:rsidRPr="00EB2A7A">
                <w:rPr>
                  <w:rStyle w:val="Hyperlink"/>
                  <w:lang w:val="fr-FR"/>
                </w:rPr>
                <w:t>TSAG-C56</w:t>
              </w:r>
            </w:hyperlink>
          </w:p>
        </w:tc>
        <w:tc>
          <w:tcPr>
            <w:tcW w:w="1559" w:type="dxa"/>
          </w:tcPr>
          <w:p w14:paraId="7922BD02" w14:textId="0DDACDB9" w:rsidR="00DC1D16" w:rsidRPr="00EB2A7A" w:rsidRDefault="00DC1D16" w:rsidP="00E31B2B">
            <w:pPr>
              <w:pStyle w:val="Tabletext"/>
              <w:jc w:val="center"/>
              <w:rPr>
                <w:lang w:val="fr-FR"/>
              </w:rPr>
            </w:pPr>
            <w:r w:rsidRPr="00EB2A7A">
              <w:rPr>
                <w:lang w:val="fr-FR"/>
              </w:rPr>
              <w:t>États-Unis d</w:t>
            </w:r>
            <w:r w:rsidR="00E31B2B">
              <w:rPr>
                <w:lang w:val="fr-FR"/>
              </w:rPr>
              <w:t>'</w:t>
            </w:r>
            <w:r w:rsidRPr="00EB2A7A">
              <w:rPr>
                <w:lang w:val="fr-FR"/>
              </w:rPr>
              <w:t>Amérique</w:t>
            </w:r>
          </w:p>
        </w:tc>
        <w:tc>
          <w:tcPr>
            <w:tcW w:w="6662" w:type="dxa"/>
          </w:tcPr>
          <w:p w14:paraId="44B9E90B" w14:textId="565B583C" w:rsidR="00DC1D16" w:rsidRPr="00EB2A7A" w:rsidRDefault="00DC1D16" w:rsidP="00E31B2B">
            <w:pPr>
              <w:pStyle w:val="Tabletext"/>
              <w:rPr>
                <w:highlight w:val="yellow"/>
                <w:lang w:val="fr-FR"/>
              </w:rPr>
            </w:pPr>
            <w:r w:rsidRPr="00EB2A7A">
              <w:rPr>
                <w:lang w:val="fr-FR"/>
              </w:rPr>
              <w:t>Rôle du GCNT dans la clarification des critères régissant la création de groupes régionaux des commissions d</w:t>
            </w:r>
            <w:r w:rsidR="00E31B2B">
              <w:rPr>
                <w:lang w:val="fr-FR"/>
              </w:rPr>
              <w:t>'</w:t>
            </w:r>
            <w:r w:rsidRPr="00EB2A7A">
              <w:rPr>
                <w:lang w:val="fr-FR"/>
              </w:rPr>
              <w:t>études, la participation à leurs travaux et leur dissolution</w:t>
            </w:r>
          </w:p>
        </w:tc>
      </w:tr>
      <w:tr w:rsidR="00DC1D16" w:rsidRPr="00E31B2B" w14:paraId="05CF4DCE" w14:textId="77777777" w:rsidTr="008154FC">
        <w:tc>
          <w:tcPr>
            <w:tcW w:w="1413" w:type="dxa"/>
          </w:tcPr>
          <w:p w14:paraId="21AD156B" w14:textId="77777777" w:rsidR="00DC1D16" w:rsidRPr="00EB2A7A" w:rsidRDefault="00E31B2B" w:rsidP="00E31B2B">
            <w:pPr>
              <w:pStyle w:val="Tabletext"/>
              <w:jc w:val="center"/>
              <w:rPr>
                <w:lang w:val="fr-FR"/>
              </w:rPr>
            </w:pPr>
            <w:hyperlink r:id="rId166" w:history="1">
              <w:r w:rsidR="00DC1D16" w:rsidRPr="00EB2A7A">
                <w:rPr>
                  <w:rStyle w:val="Hyperlink"/>
                  <w:lang w:val="fr-FR"/>
                </w:rPr>
                <w:t>TSAG-C61</w:t>
              </w:r>
            </w:hyperlink>
          </w:p>
        </w:tc>
        <w:tc>
          <w:tcPr>
            <w:tcW w:w="1559" w:type="dxa"/>
          </w:tcPr>
          <w:p w14:paraId="081B8044" w14:textId="77777777" w:rsidR="00DC1D16" w:rsidRPr="00EB2A7A" w:rsidRDefault="00DC1D16" w:rsidP="00E31B2B">
            <w:pPr>
              <w:pStyle w:val="Tabletext"/>
              <w:jc w:val="center"/>
              <w:rPr>
                <w:i/>
                <w:lang w:val="fr-FR"/>
              </w:rPr>
            </w:pPr>
            <w:r w:rsidRPr="00EB2A7A">
              <w:rPr>
                <w:lang w:val="fr-FR"/>
              </w:rPr>
              <w:t>Brésil</w:t>
            </w:r>
          </w:p>
        </w:tc>
        <w:tc>
          <w:tcPr>
            <w:tcW w:w="6662" w:type="dxa"/>
          </w:tcPr>
          <w:p w14:paraId="221474BD" w14:textId="1977264E" w:rsidR="00DC1D16" w:rsidRPr="00EB2A7A" w:rsidRDefault="00DC1D16" w:rsidP="00E31B2B">
            <w:pPr>
              <w:pStyle w:val="Tabletext"/>
              <w:rPr>
                <w:highlight w:val="yellow"/>
                <w:lang w:val="fr-FR"/>
              </w:rPr>
            </w:pPr>
            <w:r w:rsidRPr="00EB2A7A">
              <w:rPr>
                <w:lang w:val="fr-FR"/>
              </w:rPr>
              <w:t>Proposition relative à la création par le GCNT d</w:t>
            </w:r>
            <w:r w:rsidR="00E31B2B">
              <w:rPr>
                <w:lang w:val="fr-FR"/>
              </w:rPr>
              <w:t>'</w:t>
            </w:r>
            <w:r w:rsidRPr="00EB2A7A">
              <w:rPr>
                <w:lang w:val="fr-FR"/>
              </w:rPr>
              <w:t xml:space="preserve">un groupe ad hoc chargé de </w:t>
            </w:r>
            <w:r w:rsidRPr="00EB2A7A">
              <w:rPr>
                <w:rFonts w:asciiTheme="majorBidi" w:hAnsiTheme="majorBidi" w:cstheme="majorBidi"/>
                <w:lang w:val="fr-FR"/>
              </w:rPr>
              <w:t>clarifier les critères applicables à la création de groupes régionaux, à la participation à leurs travaux et à leur dissolution</w:t>
            </w:r>
          </w:p>
        </w:tc>
      </w:tr>
    </w:tbl>
    <w:p w14:paraId="7CE894D3" w14:textId="3D69AB7B" w:rsidR="00DC1D16" w:rsidRPr="00EB2A7A" w:rsidRDefault="00DC1D16" w:rsidP="00E31B2B">
      <w:pPr>
        <w:spacing w:before="240"/>
        <w:rPr>
          <w:rFonts w:asciiTheme="majorBidi" w:hAnsiTheme="majorBidi" w:cstheme="majorBidi"/>
          <w:lang w:val="fr-FR"/>
        </w:rPr>
      </w:pPr>
      <w:r w:rsidRPr="00EB2A7A">
        <w:rPr>
          <w:rFonts w:asciiTheme="majorBidi" w:hAnsiTheme="majorBidi" w:cstheme="majorBidi"/>
          <w:lang w:val="fr-FR"/>
        </w:rPr>
        <w:t xml:space="preserve">Le TSB a présenté le Document </w:t>
      </w:r>
      <w:hyperlink r:id="rId167" w:history="1">
        <w:r w:rsidRPr="00EB2A7A">
          <w:rPr>
            <w:rStyle w:val="Hyperlink"/>
            <w:rFonts w:asciiTheme="majorBidi" w:hAnsiTheme="majorBidi" w:cstheme="majorBidi"/>
            <w:lang w:val="fr-FR"/>
          </w:rPr>
          <w:t>TSAG-TD427</w:t>
        </w:r>
      </w:hyperlink>
      <w:r w:rsidRPr="00EB2A7A">
        <w:rPr>
          <w:rFonts w:asciiTheme="majorBidi" w:hAnsiTheme="majorBidi" w:cstheme="majorBidi"/>
          <w:lang w:val="fr-FR"/>
        </w:rPr>
        <w:t>, qui contient des informations sur les textes régissant la création de groupes régionaux de l</w:t>
      </w:r>
      <w:r w:rsidR="00E31B2B">
        <w:rPr>
          <w:rFonts w:asciiTheme="majorBidi" w:hAnsiTheme="majorBidi" w:cstheme="majorBidi"/>
          <w:lang w:val="fr-FR"/>
        </w:rPr>
        <w:t>'</w:t>
      </w:r>
      <w:r w:rsidRPr="00EB2A7A">
        <w:rPr>
          <w:rFonts w:asciiTheme="majorBidi" w:hAnsiTheme="majorBidi" w:cstheme="majorBidi"/>
          <w:lang w:val="fr-FR"/>
        </w:rPr>
        <w:t>UIT-T et la participation à leurs travaux, ainsi qu</w:t>
      </w:r>
      <w:r w:rsidR="00E31B2B">
        <w:rPr>
          <w:rFonts w:asciiTheme="majorBidi" w:hAnsiTheme="majorBidi" w:cstheme="majorBidi"/>
          <w:lang w:val="fr-FR"/>
        </w:rPr>
        <w:t>'</w:t>
      </w:r>
      <w:r w:rsidRPr="00EB2A7A">
        <w:rPr>
          <w:rFonts w:asciiTheme="majorBidi" w:hAnsiTheme="majorBidi" w:cstheme="majorBidi"/>
          <w:lang w:val="fr-FR"/>
        </w:rPr>
        <w:t>une liste des groupes régionaux des commissions d</w:t>
      </w:r>
      <w:r w:rsidR="00E31B2B">
        <w:rPr>
          <w:rFonts w:asciiTheme="majorBidi" w:hAnsiTheme="majorBidi" w:cstheme="majorBidi"/>
          <w:lang w:val="fr-FR"/>
        </w:rPr>
        <w:t>'</w:t>
      </w:r>
      <w:r w:rsidRPr="00EB2A7A">
        <w:rPr>
          <w:rFonts w:asciiTheme="majorBidi" w:hAnsiTheme="majorBidi" w:cstheme="majorBidi"/>
          <w:lang w:val="fr-FR"/>
        </w:rPr>
        <w:t>études de l</w:t>
      </w:r>
      <w:r w:rsidR="00E31B2B">
        <w:rPr>
          <w:rFonts w:asciiTheme="majorBidi" w:hAnsiTheme="majorBidi" w:cstheme="majorBidi"/>
          <w:lang w:val="fr-FR"/>
        </w:rPr>
        <w:t>'</w:t>
      </w:r>
      <w:r w:rsidRPr="00EB2A7A">
        <w:rPr>
          <w:rFonts w:asciiTheme="majorBidi" w:hAnsiTheme="majorBidi" w:cstheme="majorBidi"/>
          <w:lang w:val="fr-FR"/>
        </w:rPr>
        <w:t>UIT-T.</w:t>
      </w:r>
    </w:p>
    <w:p w14:paraId="01A25D50" w14:textId="77777777" w:rsidR="00DC1D16" w:rsidRPr="00EB2A7A" w:rsidRDefault="00DC1D16" w:rsidP="00E31B2B">
      <w:pPr>
        <w:pStyle w:val="Heading1"/>
        <w:rPr>
          <w:lang w:val="fr-FR"/>
        </w:rPr>
      </w:pPr>
      <w:bookmarkStart w:id="93" w:name="_Toc94876350"/>
      <w:r w:rsidRPr="00EB2A7A">
        <w:rPr>
          <w:lang w:val="fr-FR"/>
        </w:rPr>
        <w:t>2</w:t>
      </w:r>
      <w:r w:rsidRPr="00EB2A7A">
        <w:rPr>
          <w:lang w:val="fr-FR"/>
        </w:rPr>
        <w:tab/>
        <w:t>Réunions du Groupe RG-CPTRG</w:t>
      </w:r>
      <w:bookmarkEnd w:id="93"/>
    </w:p>
    <w:p w14:paraId="4CE286E0" w14:textId="682E0AD4" w:rsidR="00DC1D16" w:rsidRPr="00EB2A7A" w:rsidRDefault="00DC1D16" w:rsidP="00E31B2B">
      <w:pPr>
        <w:spacing w:after="120"/>
        <w:rPr>
          <w:rFonts w:asciiTheme="majorBidi" w:hAnsiTheme="majorBidi" w:cstheme="majorBidi"/>
          <w:lang w:val="fr-FR"/>
        </w:rPr>
      </w:pPr>
      <w:r w:rsidRPr="00EB2A7A">
        <w:rPr>
          <w:rFonts w:asciiTheme="majorBidi" w:hAnsiTheme="majorBidi" w:cstheme="majorBidi"/>
          <w:lang w:val="fr-FR"/>
        </w:rPr>
        <w:t>Le Groupe du Rapporteur s</w:t>
      </w:r>
      <w:r w:rsidR="00E31B2B">
        <w:rPr>
          <w:rFonts w:asciiTheme="majorBidi" w:hAnsiTheme="majorBidi" w:cstheme="majorBidi"/>
          <w:lang w:val="fr-FR"/>
        </w:rPr>
        <w:t>'</w:t>
      </w:r>
      <w:r w:rsidRPr="00EB2A7A">
        <w:rPr>
          <w:rFonts w:asciiTheme="majorBidi" w:hAnsiTheme="majorBidi" w:cstheme="majorBidi"/>
          <w:lang w:val="fr-FR"/>
        </w:rPr>
        <w:t>est réuni lors des réunions du GCNT ci-après.</w:t>
      </w:r>
    </w:p>
    <w:p w14:paraId="295D1DCA" w14:textId="77777777" w:rsidR="00DC1D16" w:rsidRPr="00B21312" w:rsidRDefault="00DC1D16" w:rsidP="00E31B2B">
      <w:pPr>
        <w:pStyle w:val="TableNo"/>
        <w:rPr>
          <w:sz w:val="24"/>
          <w:szCs w:val="24"/>
          <w:lang w:val="fr-FR"/>
        </w:rPr>
      </w:pPr>
      <w:r w:rsidRPr="00B21312">
        <w:rPr>
          <w:sz w:val="24"/>
          <w:szCs w:val="24"/>
          <w:lang w:val="fr-FR"/>
        </w:rPr>
        <w:t>TABLEAU 13</w:t>
      </w:r>
    </w:p>
    <w:p w14:paraId="744C8839" w14:textId="77777777" w:rsidR="00DC1D16" w:rsidRPr="00B21312" w:rsidRDefault="00DC1D16" w:rsidP="00E31B2B">
      <w:pPr>
        <w:pStyle w:val="Tabletitle"/>
        <w:rPr>
          <w:sz w:val="24"/>
          <w:szCs w:val="24"/>
          <w:lang w:val="fr-FR"/>
        </w:rPr>
      </w:pPr>
      <w:r w:rsidRPr="00B21312">
        <w:rPr>
          <w:sz w:val="24"/>
          <w:szCs w:val="24"/>
          <w:lang w:val="fr-FR"/>
        </w:rPr>
        <w:t xml:space="preserve">Réunions du Groupe RG-CPTRG </w:t>
      </w:r>
    </w:p>
    <w:tbl>
      <w:tblPr>
        <w:tblStyle w:val="TableGrid"/>
        <w:tblW w:w="9634" w:type="dxa"/>
        <w:tblLook w:val="04A0" w:firstRow="1" w:lastRow="0" w:firstColumn="1" w:lastColumn="0" w:noHBand="0" w:noVBand="1"/>
      </w:tblPr>
      <w:tblGrid>
        <w:gridCol w:w="5665"/>
        <w:gridCol w:w="1985"/>
        <w:gridCol w:w="1984"/>
      </w:tblGrid>
      <w:tr w:rsidR="00DC1D16" w:rsidRPr="00EB2A7A" w14:paraId="4637C3B6" w14:textId="77777777" w:rsidTr="008154FC">
        <w:tc>
          <w:tcPr>
            <w:tcW w:w="5665" w:type="dxa"/>
          </w:tcPr>
          <w:p w14:paraId="3712FB9A" w14:textId="77777777" w:rsidR="00DC1D16" w:rsidRPr="00EB2A7A" w:rsidRDefault="00DC1D16" w:rsidP="00E31B2B">
            <w:pPr>
              <w:pStyle w:val="Tablehead"/>
              <w:rPr>
                <w:lang w:val="fr-FR"/>
              </w:rPr>
            </w:pPr>
            <w:r w:rsidRPr="00EB2A7A">
              <w:rPr>
                <w:lang w:val="fr-FR"/>
              </w:rPr>
              <w:t>Dates et horaire des réunions</w:t>
            </w:r>
          </w:p>
        </w:tc>
        <w:tc>
          <w:tcPr>
            <w:tcW w:w="1985" w:type="dxa"/>
          </w:tcPr>
          <w:p w14:paraId="6E4B1763" w14:textId="77777777" w:rsidR="00DC1D16" w:rsidRPr="00EB2A7A" w:rsidRDefault="00DC1D16" w:rsidP="00E31B2B">
            <w:pPr>
              <w:pStyle w:val="Tablehead"/>
              <w:rPr>
                <w:lang w:val="fr-FR"/>
              </w:rPr>
            </w:pPr>
            <w:r w:rsidRPr="00EB2A7A">
              <w:rPr>
                <w:lang w:val="fr-FR"/>
              </w:rPr>
              <w:t>Ordre du jour</w:t>
            </w:r>
          </w:p>
        </w:tc>
        <w:tc>
          <w:tcPr>
            <w:tcW w:w="1984" w:type="dxa"/>
          </w:tcPr>
          <w:p w14:paraId="51CD2601" w14:textId="77777777" w:rsidR="00DC1D16" w:rsidRPr="00EB2A7A" w:rsidRDefault="00DC1D16" w:rsidP="00E31B2B">
            <w:pPr>
              <w:pStyle w:val="Tablehead"/>
              <w:rPr>
                <w:lang w:val="fr-FR"/>
              </w:rPr>
            </w:pPr>
            <w:r w:rsidRPr="00EB2A7A">
              <w:rPr>
                <w:lang w:val="fr-FR"/>
              </w:rPr>
              <w:t>Rapport</w:t>
            </w:r>
          </w:p>
        </w:tc>
      </w:tr>
      <w:tr w:rsidR="00DC1D16" w:rsidRPr="00EB2A7A" w14:paraId="0864CB7F" w14:textId="77777777" w:rsidTr="008154FC">
        <w:tc>
          <w:tcPr>
            <w:tcW w:w="5665" w:type="dxa"/>
          </w:tcPr>
          <w:p w14:paraId="645C04AB" w14:textId="77777777" w:rsidR="00DC1D16" w:rsidRPr="00EB2A7A" w:rsidRDefault="00DC1D16" w:rsidP="00E31B2B">
            <w:pPr>
              <w:pStyle w:val="Tabletext"/>
              <w:rPr>
                <w:lang w:val="fr-FR"/>
              </w:rPr>
            </w:pPr>
            <w:r w:rsidRPr="00EB2A7A">
              <w:rPr>
                <w:lang w:val="fr-FR"/>
              </w:rPr>
              <w:t>Mercredi 12 décembre 2018, 14 h 55 à 16 h</w:t>
            </w:r>
            <w:r>
              <w:rPr>
                <w:lang w:val="fr-FR"/>
              </w:rPr>
              <w:t xml:space="preserve"> 00</w:t>
            </w:r>
            <w:r w:rsidRPr="00EB2A7A">
              <w:rPr>
                <w:lang w:val="fr-FR"/>
              </w:rPr>
              <w:t xml:space="preserve"> </w:t>
            </w:r>
          </w:p>
        </w:tc>
        <w:tc>
          <w:tcPr>
            <w:tcW w:w="1985" w:type="dxa"/>
            <w:vMerge w:val="restart"/>
            <w:vAlign w:val="center"/>
          </w:tcPr>
          <w:p w14:paraId="392BEF03" w14:textId="77777777" w:rsidR="00DC1D16" w:rsidRPr="00EB2A7A" w:rsidRDefault="00E31B2B" w:rsidP="00E31B2B">
            <w:pPr>
              <w:pStyle w:val="Tabletext"/>
              <w:jc w:val="center"/>
              <w:rPr>
                <w:lang w:val="fr-FR"/>
              </w:rPr>
            </w:pPr>
            <w:hyperlink r:id="rId168" w:history="1">
              <w:r w:rsidR="00DC1D16" w:rsidRPr="00EB2A7A">
                <w:rPr>
                  <w:rStyle w:val="Hyperlink"/>
                  <w:lang w:val="fr-FR"/>
                </w:rPr>
                <w:t>TSAG-TD428</w:t>
              </w:r>
            </w:hyperlink>
          </w:p>
        </w:tc>
        <w:tc>
          <w:tcPr>
            <w:tcW w:w="1984" w:type="dxa"/>
            <w:vMerge w:val="restart"/>
            <w:vAlign w:val="center"/>
          </w:tcPr>
          <w:p w14:paraId="657D063A" w14:textId="77777777" w:rsidR="00DC1D16" w:rsidRPr="00EB2A7A" w:rsidRDefault="00E31B2B" w:rsidP="00E31B2B">
            <w:pPr>
              <w:pStyle w:val="Tabletext"/>
              <w:jc w:val="center"/>
              <w:rPr>
                <w:lang w:val="fr-FR"/>
              </w:rPr>
            </w:pPr>
            <w:hyperlink r:id="rId169" w:history="1">
              <w:r w:rsidR="00DC1D16" w:rsidRPr="00EB2A7A">
                <w:rPr>
                  <w:rStyle w:val="Hyperlink"/>
                  <w:lang w:val="fr-FR"/>
                </w:rPr>
                <w:t>TSAG-TD284</w:t>
              </w:r>
            </w:hyperlink>
          </w:p>
        </w:tc>
      </w:tr>
      <w:tr w:rsidR="00DC1D16" w:rsidRPr="00E31B2B" w14:paraId="5665A76E" w14:textId="77777777" w:rsidTr="008154FC">
        <w:tc>
          <w:tcPr>
            <w:tcW w:w="5665" w:type="dxa"/>
          </w:tcPr>
          <w:p w14:paraId="1DDF743F" w14:textId="77777777" w:rsidR="00DC1D16" w:rsidRPr="00EB2A7A" w:rsidRDefault="00DC1D16" w:rsidP="00E31B2B">
            <w:pPr>
              <w:pStyle w:val="Tabletext"/>
              <w:rPr>
                <w:lang w:val="fr-FR"/>
              </w:rPr>
            </w:pPr>
            <w:r w:rsidRPr="00EB2A7A">
              <w:rPr>
                <w:lang w:val="fr-FR"/>
              </w:rPr>
              <w:t>Jeudi 13 décembre 2018, 14</w:t>
            </w:r>
            <w:r>
              <w:rPr>
                <w:lang w:val="fr-FR"/>
              </w:rPr>
              <w:t xml:space="preserve"> </w:t>
            </w:r>
            <w:r w:rsidRPr="00EB2A7A">
              <w:rPr>
                <w:lang w:val="fr-FR"/>
              </w:rPr>
              <w:t>h 30 à 15 h 45</w:t>
            </w:r>
          </w:p>
        </w:tc>
        <w:tc>
          <w:tcPr>
            <w:tcW w:w="1985" w:type="dxa"/>
            <w:vMerge/>
          </w:tcPr>
          <w:p w14:paraId="207B55B4" w14:textId="77777777" w:rsidR="00DC1D16" w:rsidRPr="00EB2A7A" w:rsidRDefault="00DC1D16" w:rsidP="00E31B2B">
            <w:pPr>
              <w:pStyle w:val="Tabletext"/>
              <w:jc w:val="center"/>
              <w:rPr>
                <w:highlight w:val="yellow"/>
                <w:lang w:val="fr-FR"/>
              </w:rPr>
            </w:pPr>
          </w:p>
        </w:tc>
        <w:tc>
          <w:tcPr>
            <w:tcW w:w="1984" w:type="dxa"/>
            <w:vMerge/>
            <w:vAlign w:val="center"/>
          </w:tcPr>
          <w:p w14:paraId="36939270" w14:textId="77777777" w:rsidR="00DC1D16" w:rsidRPr="00EB2A7A" w:rsidRDefault="00DC1D16" w:rsidP="00E31B2B">
            <w:pPr>
              <w:pStyle w:val="Tabletext"/>
              <w:jc w:val="center"/>
              <w:rPr>
                <w:highlight w:val="yellow"/>
                <w:lang w:val="fr-FR"/>
              </w:rPr>
            </w:pPr>
          </w:p>
        </w:tc>
      </w:tr>
      <w:tr w:rsidR="00DC1D16" w:rsidRPr="00EB2A7A" w14:paraId="4B6744D2" w14:textId="77777777" w:rsidTr="008154FC">
        <w:tc>
          <w:tcPr>
            <w:tcW w:w="5665" w:type="dxa"/>
          </w:tcPr>
          <w:p w14:paraId="14D51183" w14:textId="77777777" w:rsidR="00DC1D16" w:rsidRPr="00EB2A7A" w:rsidRDefault="00DC1D16" w:rsidP="00E31B2B">
            <w:pPr>
              <w:pStyle w:val="Tabletext"/>
              <w:rPr>
                <w:lang w:val="fr-FR"/>
              </w:rPr>
            </w:pPr>
            <w:r w:rsidRPr="00EB2A7A">
              <w:rPr>
                <w:lang w:val="fr-FR"/>
              </w:rPr>
              <w:t>Mercredi 25 septembre 2019, 16 h 15 à 17 h 57</w:t>
            </w:r>
          </w:p>
        </w:tc>
        <w:tc>
          <w:tcPr>
            <w:tcW w:w="1985" w:type="dxa"/>
          </w:tcPr>
          <w:p w14:paraId="4D0D8D4E" w14:textId="77777777" w:rsidR="00DC1D16" w:rsidRPr="00EB2A7A" w:rsidRDefault="00E31B2B" w:rsidP="00E31B2B">
            <w:pPr>
              <w:pStyle w:val="Tabletext"/>
              <w:jc w:val="center"/>
              <w:rPr>
                <w:highlight w:val="yellow"/>
                <w:lang w:val="fr-FR"/>
              </w:rPr>
            </w:pPr>
            <w:hyperlink r:id="rId170" w:history="1">
              <w:r w:rsidR="00DC1D16" w:rsidRPr="00EB2A7A">
                <w:rPr>
                  <w:rStyle w:val="Hyperlink"/>
                  <w:lang w:val="fr-FR"/>
                </w:rPr>
                <w:t>TSAG-TD452</w:t>
              </w:r>
            </w:hyperlink>
          </w:p>
        </w:tc>
        <w:tc>
          <w:tcPr>
            <w:tcW w:w="1984" w:type="dxa"/>
            <w:vAlign w:val="center"/>
          </w:tcPr>
          <w:p w14:paraId="1BF2C474" w14:textId="77777777" w:rsidR="00DC1D16" w:rsidRPr="00EB2A7A" w:rsidRDefault="00E31B2B" w:rsidP="00E31B2B">
            <w:pPr>
              <w:pStyle w:val="Tabletext"/>
              <w:jc w:val="center"/>
              <w:rPr>
                <w:highlight w:val="yellow"/>
                <w:lang w:val="fr-FR"/>
              </w:rPr>
            </w:pPr>
            <w:hyperlink r:id="rId171" w:history="1">
              <w:r w:rsidR="00DC1D16" w:rsidRPr="00EB2A7A">
                <w:rPr>
                  <w:color w:val="0000FF"/>
                  <w:u w:val="single"/>
                  <w:lang w:val="fr-FR" w:eastAsia="ja-JP"/>
                </w:rPr>
                <w:t>TSAG-TD453</w:t>
              </w:r>
            </w:hyperlink>
          </w:p>
        </w:tc>
      </w:tr>
      <w:tr w:rsidR="00DC1D16" w:rsidRPr="00EB2A7A" w14:paraId="68D02312" w14:textId="77777777" w:rsidTr="008154FC">
        <w:tc>
          <w:tcPr>
            <w:tcW w:w="5665" w:type="dxa"/>
          </w:tcPr>
          <w:p w14:paraId="53C80C59" w14:textId="77777777" w:rsidR="00DC1D16" w:rsidRPr="00EB2A7A" w:rsidRDefault="00DC1D16" w:rsidP="00E31B2B">
            <w:pPr>
              <w:pStyle w:val="Tabletext"/>
              <w:rPr>
                <w:lang w:val="fr-FR"/>
              </w:rPr>
            </w:pPr>
            <w:r w:rsidRPr="00EB2A7A">
              <w:rPr>
                <w:lang w:val="fr-FR"/>
              </w:rPr>
              <w:t>Mardi 11 février 2020, 9 h 30 à 10 h 50</w:t>
            </w:r>
          </w:p>
        </w:tc>
        <w:tc>
          <w:tcPr>
            <w:tcW w:w="1985" w:type="dxa"/>
          </w:tcPr>
          <w:p w14:paraId="3C8E86ED" w14:textId="77777777" w:rsidR="00DC1D16" w:rsidRPr="00EB2A7A" w:rsidRDefault="00E31B2B" w:rsidP="00E31B2B">
            <w:pPr>
              <w:pStyle w:val="Tabletext"/>
              <w:jc w:val="center"/>
              <w:rPr>
                <w:highlight w:val="yellow"/>
                <w:lang w:val="fr-FR"/>
              </w:rPr>
            </w:pPr>
            <w:hyperlink r:id="rId172" w:history="1">
              <w:r w:rsidR="00DC1D16" w:rsidRPr="00EB2A7A">
                <w:rPr>
                  <w:rStyle w:val="Hyperlink"/>
                  <w:lang w:val="fr-FR"/>
                </w:rPr>
                <w:t>TSAG-TD644</w:t>
              </w:r>
            </w:hyperlink>
          </w:p>
        </w:tc>
        <w:tc>
          <w:tcPr>
            <w:tcW w:w="1984" w:type="dxa"/>
            <w:vAlign w:val="center"/>
          </w:tcPr>
          <w:p w14:paraId="42DB0EB6" w14:textId="77777777" w:rsidR="00DC1D16" w:rsidRPr="00EB2A7A" w:rsidRDefault="00E31B2B" w:rsidP="00E31B2B">
            <w:pPr>
              <w:pStyle w:val="Tabletext"/>
              <w:jc w:val="center"/>
              <w:rPr>
                <w:highlight w:val="yellow"/>
                <w:lang w:val="fr-FR"/>
              </w:rPr>
            </w:pPr>
            <w:hyperlink r:id="rId173" w:history="1">
              <w:r w:rsidR="00DC1D16" w:rsidRPr="00EB2A7A">
                <w:rPr>
                  <w:rStyle w:val="Hyperlink"/>
                  <w:lang w:val="fr-FR"/>
                </w:rPr>
                <w:t>TSAG-TD645</w:t>
              </w:r>
            </w:hyperlink>
          </w:p>
        </w:tc>
      </w:tr>
    </w:tbl>
    <w:p w14:paraId="13DE6A45" w14:textId="6B8EF38B" w:rsidR="00DC1D16" w:rsidRPr="00EB2A7A" w:rsidRDefault="00DC1D16" w:rsidP="00E31B2B">
      <w:pPr>
        <w:rPr>
          <w:rFonts w:asciiTheme="majorBidi" w:hAnsiTheme="majorBidi" w:cstheme="majorBidi"/>
          <w:lang w:val="fr-FR"/>
        </w:rPr>
      </w:pPr>
      <w:r w:rsidRPr="00EB2A7A">
        <w:rPr>
          <w:rFonts w:asciiTheme="majorBidi" w:hAnsiTheme="majorBidi" w:cstheme="majorBidi"/>
          <w:lang w:val="fr-FR"/>
        </w:rPr>
        <w:t xml:space="preserve">Le TSB a mis en place les outils Adobe Connect et Interprefy pour </w:t>
      </w:r>
      <w:r>
        <w:rPr>
          <w:rFonts w:asciiTheme="majorBidi" w:hAnsiTheme="majorBidi" w:cstheme="majorBidi"/>
          <w:lang w:val="fr-FR"/>
        </w:rPr>
        <w:t>la participation à distance. Le </w:t>
      </w:r>
      <w:r w:rsidRPr="00EB2A7A">
        <w:rPr>
          <w:rFonts w:asciiTheme="majorBidi" w:hAnsiTheme="majorBidi" w:cstheme="majorBidi"/>
          <w:lang w:val="fr-FR"/>
        </w:rPr>
        <w:t>TSB a également proposé des services de sous-titrage et d</w:t>
      </w:r>
      <w:r w:rsidR="00E31B2B">
        <w:rPr>
          <w:rFonts w:asciiTheme="majorBidi" w:hAnsiTheme="majorBidi" w:cstheme="majorBidi"/>
          <w:lang w:val="fr-FR"/>
        </w:rPr>
        <w:t>'</w:t>
      </w:r>
      <w:r w:rsidRPr="00EB2A7A">
        <w:rPr>
          <w:rFonts w:asciiTheme="majorBidi" w:hAnsiTheme="majorBidi" w:cstheme="majorBidi"/>
          <w:lang w:val="fr-FR"/>
        </w:rPr>
        <w:t>interprétation dans les six langues de l</w:t>
      </w:r>
      <w:r w:rsidR="00E31B2B">
        <w:rPr>
          <w:rFonts w:asciiTheme="majorBidi" w:hAnsiTheme="majorBidi" w:cstheme="majorBidi"/>
          <w:lang w:val="fr-FR"/>
        </w:rPr>
        <w:t>'</w:t>
      </w:r>
      <w:r w:rsidRPr="00EB2A7A">
        <w:rPr>
          <w:rFonts w:asciiTheme="majorBidi" w:hAnsiTheme="majorBidi" w:cstheme="majorBidi"/>
          <w:lang w:val="fr-FR"/>
        </w:rPr>
        <w:t>ONU pour les réunions du Groupe RG-CPTRG. Il n</w:t>
      </w:r>
      <w:r w:rsidR="00E31B2B">
        <w:rPr>
          <w:rFonts w:asciiTheme="majorBidi" w:hAnsiTheme="majorBidi" w:cstheme="majorBidi"/>
          <w:lang w:val="fr-FR"/>
        </w:rPr>
        <w:t>'</w:t>
      </w:r>
      <w:r w:rsidRPr="00EB2A7A">
        <w:rPr>
          <w:rFonts w:asciiTheme="majorBidi" w:hAnsiTheme="majorBidi" w:cstheme="majorBidi"/>
          <w:lang w:val="fr-FR"/>
        </w:rPr>
        <w:t>y a eu aucune réunion intérimaire.</w:t>
      </w:r>
    </w:p>
    <w:p w14:paraId="569F8ECA" w14:textId="77777777" w:rsidR="00DC1D16" w:rsidRPr="00EB2A7A" w:rsidRDefault="00DC1D16" w:rsidP="00E31B2B">
      <w:pPr>
        <w:pStyle w:val="Heading1"/>
        <w:rPr>
          <w:lang w:val="fr-FR"/>
        </w:rPr>
      </w:pPr>
      <w:bookmarkStart w:id="94" w:name="_Toc94876351"/>
      <w:r w:rsidRPr="00EB2A7A">
        <w:rPr>
          <w:lang w:val="fr-FR"/>
        </w:rPr>
        <w:lastRenderedPageBreak/>
        <w:t>3</w:t>
      </w:r>
      <w:r w:rsidRPr="00EB2A7A">
        <w:rPr>
          <w:lang w:val="fr-FR"/>
        </w:rPr>
        <w:tab/>
        <w:t>Chronologie des activités et contributions</w:t>
      </w:r>
      <w:bookmarkEnd w:id="94"/>
    </w:p>
    <w:p w14:paraId="4235BE4A" w14:textId="3B2B99A1" w:rsidR="00DC1D16" w:rsidRPr="00EB2A7A" w:rsidRDefault="00DC1D16" w:rsidP="00E31B2B">
      <w:pPr>
        <w:keepNext/>
        <w:keepLines/>
        <w:rPr>
          <w:rFonts w:asciiTheme="majorBidi" w:hAnsiTheme="majorBidi" w:cstheme="majorBidi"/>
          <w:lang w:val="fr-FR"/>
        </w:rPr>
      </w:pPr>
      <w:r w:rsidRPr="00EB2A7A">
        <w:rPr>
          <w:rFonts w:asciiTheme="majorBidi" w:hAnsiTheme="majorBidi" w:cstheme="majorBidi"/>
          <w:lang w:val="fr-FR"/>
        </w:rPr>
        <w:t>Après l</w:t>
      </w:r>
      <w:r w:rsidR="00E31B2B">
        <w:rPr>
          <w:rFonts w:asciiTheme="majorBidi" w:hAnsiTheme="majorBidi" w:cstheme="majorBidi"/>
          <w:lang w:val="fr-FR"/>
        </w:rPr>
        <w:t>'</w:t>
      </w:r>
      <w:r w:rsidRPr="00EB2A7A">
        <w:rPr>
          <w:rFonts w:asciiTheme="majorBidi" w:hAnsiTheme="majorBidi" w:cstheme="majorBidi"/>
          <w:lang w:val="fr-FR"/>
        </w:rPr>
        <w:t>approbation du mandat du Groupe du Rapporteur, il a été décidé d</w:t>
      </w:r>
      <w:r w:rsidR="00E31B2B">
        <w:rPr>
          <w:rFonts w:asciiTheme="majorBidi" w:hAnsiTheme="majorBidi" w:cstheme="majorBidi"/>
          <w:lang w:val="fr-FR"/>
        </w:rPr>
        <w:t>'</w:t>
      </w:r>
      <w:r w:rsidRPr="00EB2A7A">
        <w:rPr>
          <w:rFonts w:asciiTheme="majorBidi" w:hAnsiTheme="majorBidi" w:cstheme="majorBidi"/>
          <w:lang w:val="fr-FR"/>
        </w:rPr>
        <w:t xml:space="preserve">envoyer la note de liaison </w:t>
      </w:r>
      <w:hyperlink r:id="rId174" w:history="1">
        <w:r w:rsidRPr="00EB2A7A">
          <w:rPr>
            <w:rStyle w:val="Hyperlink"/>
            <w:rFonts w:asciiTheme="majorBidi" w:hAnsiTheme="majorBidi" w:cstheme="majorBidi"/>
            <w:lang w:val="fr-FR"/>
          </w:rPr>
          <w:t>TSAG-LS18</w:t>
        </w:r>
      </w:hyperlink>
      <w:r w:rsidRPr="00EB2A7A">
        <w:rPr>
          <w:rFonts w:asciiTheme="majorBidi" w:hAnsiTheme="majorBidi" w:cstheme="majorBidi"/>
          <w:lang w:val="fr-FR"/>
        </w:rPr>
        <w:t xml:space="preserve"> à toutes les commissions d</w:t>
      </w:r>
      <w:r w:rsidR="00E31B2B">
        <w:rPr>
          <w:rFonts w:asciiTheme="majorBidi" w:hAnsiTheme="majorBidi" w:cstheme="majorBidi"/>
          <w:lang w:val="fr-FR"/>
        </w:rPr>
        <w:t>'</w:t>
      </w:r>
      <w:r w:rsidRPr="00EB2A7A">
        <w:rPr>
          <w:rFonts w:asciiTheme="majorBidi" w:hAnsiTheme="majorBidi" w:cstheme="majorBidi"/>
          <w:lang w:val="fr-FR"/>
        </w:rPr>
        <w:t>études de l</w:t>
      </w:r>
      <w:r w:rsidR="00E31B2B">
        <w:rPr>
          <w:rFonts w:asciiTheme="majorBidi" w:hAnsiTheme="majorBidi" w:cstheme="majorBidi"/>
          <w:lang w:val="fr-FR"/>
        </w:rPr>
        <w:t>'</w:t>
      </w:r>
      <w:r w:rsidRPr="00EB2A7A">
        <w:rPr>
          <w:rFonts w:asciiTheme="majorBidi" w:hAnsiTheme="majorBidi" w:cstheme="majorBidi"/>
          <w:lang w:val="fr-FR"/>
        </w:rPr>
        <w:t>UIT-T comptant des groupes régionaux (CE 2; CE 3; CE 5; CE 11; CE 12; CE 13; CE 17; CE 20), afin de solliciter les informations suivantes:</w:t>
      </w:r>
    </w:p>
    <w:p w14:paraId="22D1EDBC" w14:textId="77777777" w:rsidR="00DC1D16" w:rsidRPr="00EB2A7A" w:rsidRDefault="00DC1D16" w:rsidP="00E31B2B">
      <w:pPr>
        <w:pStyle w:val="enumlev1"/>
        <w:rPr>
          <w:lang w:val="fr-FR"/>
        </w:rPr>
      </w:pPr>
      <w:r w:rsidRPr="00EB2A7A">
        <w:rPr>
          <w:lang w:val="fr-FR"/>
        </w:rPr>
        <w:t>a)</w:t>
      </w:r>
      <w:r w:rsidRPr="00EB2A7A">
        <w:rPr>
          <w:lang w:val="fr-FR"/>
        </w:rPr>
        <w:tab/>
        <w:t>Année de création de chaque groupe régional.</w:t>
      </w:r>
    </w:p>
    <w:p w14:paraId="6A99F865" w14:textId="3FFCDBE4" w:rsidR="00DC1D16" w:rsidRPr="00EB2A7A" w:rsidRDefault="00DC1D16" w:rsidP="00E31B2B">
      <w:pPr>
        <w:pStyle w:val="enumlev1"/>
        <w:rPr>
          <w:lang w:val="fr-FR"/>
        </w:rPr>
      </w:pPr>
      <w:r w:rsidRPr="00EB2A7A">
        <w:rPr>
          <w:lang w:val="fr-FR"/>
        </w:rPr>
        <w:t>b)</w:t>
      </w:r>
      <w:r w:rsidRPr="00EB2A7A">
        <w:rPr>
          <w:lang w:val="fr-FR"/>
        </w:rPr>
        <w:tab/>
        <w:t>Nombre d</w:t>
      </w:r>
      <w:r w:rsidR="00E31B2B">
        <w:rPr>
          <w:lang w:val="fr-FR"/>
        </w:rPr>
        <w:t>'</w:t>
      </w:r>
      <w:r w:rsidRPr="00EB2A7A">
        <w:rPr>
          <w:lang w:val="fr-FR"/>
        </w:rPr>
        <w:t>États Membres ayant sollicité et appuyé la création du groupe régional.</w:t>
      </w:r>
    </w:p>
    <w:p w14:paraId="2FDB3640" w14:textId="44F02578" w:rsidR="00DC1D16" w:rsidRPr="00EB2A7A" w:rsidRDefault="00DC1D16" w:rsidP="00E31B2B">
      <w:pPr>
        <w:pStyle w:val="enumlev1"/>
        <w:rPr>
          <w:lang w:val="fr-FR"/>
        </w:rPr>
      </w:pPr>
      <w:r w:rsidRPr="00EB2A7A">
        <w:rPr>
          <w:lang w:val="fr-FR"/>
        </w:rPr>
        <w:t>c)</w:t>
      </w:r>
      <w:r w:rsidRPr="00EB2A7A">
        <w:rPr>
          <w:lang w:val="fr-FR"/>
        </w:rPr>
        <w:tab/>
        <w:t>Critères régissant la création d</w:t>
      </w:r>
      <w:r w:rsidR="00E31B2B">
        <w:rPr>
          <w:lang w:val="fr-FR"/>
        </w:rPr>
        <w:t>'</w:t>
      </w:r>
      <w:r w:rsidRPr="00EB2A7A">
        <w:rPr>
          <w:lang w:val="fr-FR"/>
        </w:rPr>
        <w:t>un groupe régional.</w:t>
      </w:r>
    </w:p>
    <w:p w14:paraId="07BCFCE3" w14:textId="0D040213" w:rsidR="00DC1D16" w:rsidRPr="00EB2A7A" w:rsidRDefault="00DC1D16" w:rsidP="00E31B2B">
      <w:pPr>
        <w:pStyle w:val="enumlev1"/>
        <w:rPr>
          <w:lang w:val="fr-FR"/>
        </w:rPr>
      </w:pPr>
      <w:r w:rsidRPr="00EB2A7A">
        <w:rPr>
          <w:lang w:val="fr-FR"/>
        </w:rPr>
        <w:t>d)</w:t>
      </w:r>
      <w:r w:rsidRPr="00EB2A7A">
        <w:rPr>
          <w:lang w:val="fr-FR"/>
        </w:rPr>
        <w:tab/>
        <w:t>Mandat approuvé du groupe régional et Questions de la commission d</w:t>
      </w:r>
      <w:r w:rsidR="00E31B2B">
        <w:rPr>
          <w:lang w:val="fr-FR"/>
        </w:rPr>
        <w:t>'</w:t>
      </w:r>
      <w:r w:rsidRPr="00EB2A7A">
        <w:rPr>
          <w:lang w:val="fr-FR"/>
        </w:rPr>
        <w:t>études auxquelles le groupe régional contribue.</w:t>
      </w:r>
    </w:p>
    <w:p w14:paraId="783E3673" w14:textId="6806A17B" w:rsidR="00DC1D16" w:rsidRPr="00EB2A7A" w:rsidRDefault="00DC1D16" w:rsidP="00E31B2B">
      <w:pPr>
        <w:pStyle w:val="enumlev1"/>
        <w:rPr>
          <w:lang w:val="fr-FR"/>
        </w:rPr>
      </w:pPr>
      <w:r w:rsidRPr="00EB2A7A">
        <w:rPr>
          <w:lang w:val="fr-FR"/>
        </w:rPr>
        <w:t>e)</w:t>
      </w:r>
      <w:r w:rsidRPr="00EB2A7A">
        <w:rPr>
          <w:lang w:val="fr-FR"/>
        </w:rPr>
        <w:tab/>
        <w:t>Critères de participation aux travaux des groupes régionaux et façon dont les éventuels cas de participation des États Membres et des Membres de Secteur n</w:t>
      </w:r>
      <w:r w:rsidR="00E31B2B">
        <w:rPr>
          <w:lang w:val="fr-FR"/>
        </w:rPr>
        <w:t>'</w:t>
      </w:r>
      <w:r w:rsidRPr="00EB2A7A">
        <w:rPr>
          <w:lang w:val="fr-FR"/>
        </w:rPr>
        <w:t>appartenant pas à la région sont pris en compte.</w:t>
      </w:r>
    </w:p>
    <w:p w14:paraId="05BBDD81" w14:textId="4D89DCF8" w:rsidR="00DC1D16" w:rsidRPr="00EB2A7A" w:rsidRDefault="00DC1D16" w:rsidP="00E31B2B">
      <w:pPr>
        <w:pStyle w:val="enumlev1"/>
        <w:rPr>
          <w:lang w:val="fr-FR"/>
        </w:rPr>
      </w:pPr>
      <w:r w:rsidRPr="00EB2A7A">
        <w:rPr>
          <w:lang w:val="fr-FR"/>
        </w:rPr>
        <w:t>f)</w:t>
      </w:r>
      <w:r w:rsidRPr="00EB2A7A">
        <w:rPr>
          <w:lang w:val="fr-FR"/>
        </w:rPr>
        <w:tab/>
        <w:t>Demande de dissolution d</w:t>
      </w:r>
      <w:r w:rsidR="00E31B2B">
        <w:rPr>
          <w:lang w:val="fr-FR"/>
        </w:rPr>
        <w:t>'</w:t>
      </w:r>
      <w:r w:rsidRPr="00EB2A7A">
        <w:rPr>
          <w:lang w:val="fr-FR"/>
        </w:rPr>
        <w:t>un groupe régional existant et critères régissant la dissolution, le cas échéant.</w:t>
      </w:r>
    </w:p>
    <w:p w14:paraId="132D5DEE" w14:textId="259B8AFA" w:rsidR="00DC1D16" w:rsidRPr="00EB2A7A" w:rsidRDefault="00DC1D16" w:rsidP="00E31B2B">
      <w:pPr>
        <w:spacing w:after="120"/>
        <w:rPr>
          <w:rFonts w:asciiTheme="majorBidi" w:hAnsiTheme="majorBidi" w:cstheme="majorBidi"/>
          <w:lang w:val="fr-FR"/>
        </w:rPr>
      </w:pPr>
      <w:r w:rsidRPr="00EB2A7A">
        <w:rPr>
          <w:rFonts w:asciiTheme="majorBidi" w:hAnsiTheme="majorBidi" w:cstheme="majorBidi"/>
          <w:lang w:val="fr-FR"/>
        </w:rPr>
        <w:t>En réponse à la note de liaison 18 du GCNT, le Groupe RG-CPTRG a reçu des notes de liaison de sept (7) commissions d</w:t>
      </w:r>
      <w:r w:rsidR="00E31B2B">
        <w:rPr>
          <w:rFonts w:asciiTheme="majorBidi" w:hAnsiTheme="majorBidi" w:cstheme="majorBidi"/>
          <w:lang w:val="fr-FR"/>
        </w:rPr>
        <w:t>'</w:t>
      </w:r>
      <w:r w:rsidRPr="00EB2A7A">
        <w:rPr>
          <w:rFonts w:asciiTheme="majorBidi" w:hAnsiTheme="majorBidi" w:cstheme="majorBidi"/>
          <w:lang w:val="fr-FR"/>
        </w:rPr>
        <w:t>études par l</w:t>
      </w:r>
      <w:r w:rsidR="00E31B2B">
        <w:rPr>
          <w:rFonts w:asciiTheme="majorBidi" w:hAnsiTheme="majorBidi" w:cstheme="majorBidi"/>
          <w:lang w:val="fr-FR"/>
        </w:rPr>
        <w:t>'</w:t>
      </w:r>
      <w:r w:rsidRPr="00EB2A7A">
        <w:rPr>
          <w:rFonts w:asciiTheme="majorBidi" w:hAnsiTheme="majorBidi" w:cstheme="majorBidi"/>
          <w:lang w:val="fr-FR"/>
        </w:rPr>
        <w:t>intermédiaire du GCNT, comme indiqué ci-après:</w:t>
      </w:r>
    </w:p>
    <w:p w14:paraId="4E79328D" w14:textId="77777777" w:rsidR="00DC1D16" w:rsidRPr="00B21312" w:rsidRDefault="00DC1D16" w:rsidP="00E31B2B">
      <w:pPr>
        <w:pStyle w:val="TableNo"/>
        <w:rPr>
          <w:sz w:val="24"/>
          <w:szCs w:val="24"/>
          <w:lang w:val="fr-FR"/>
        </w:rPr>
      </w:pPr>
      <w:r w:rsidRPr="00B21312">
        <w:rPr>
          <w:sz w:val="24"/>
          <w:szCs w:val="24"/>
          <w:lang w:val="fr-FR"/>
        </w:rPr>
        <w:t>TABLEAU 14</w:t>
      </w:r>
    </w:p>
    <w:p w14:paraId="1A9522D1" w14:textId="77777777" w:rsidR="00DC1D16" w:rsidRPr="00B21312" w:rsidRDefault="00DC1D16" w:rsidP="00E31B2B">
      <w:pPr>
        <w:pStyle w:val="Tabletitle"/>
        <w:rPr>
          <w:sz w:val="24"/>
          <w:szCs w:val="24"/>
          <w:lang w:val="fr-FR"/>
        </w:rPr>
      </w:pPr>
      <w:r w:rsidRPr="00B21312">
        <w:rPr>
          <w:sz w:val="24"/>
          <w:szCs w:val="24"/>
          <w:lang w:val="fr-FR"/>
        </w:rPr>
        <w:t xml:space="preserve">Notes de liaison reçues par le </w:t>
      </w:r>
      <w:r w:rsidRPr="00B21312">
        <w:rPr>
          <w:color w:val="000000"/>
          <w:sz w:val="24"/>
          <w:szCs w:val="24"/>
          <w:lang w:val="fr-FR"/>
        </w:rPr>
        <w:t>Groupe RG-CPTRG</w:t>
      </w:r>
    </w:p>
    <w:tbl>
      <w:tblPr>
        <w:tblStyle w:val="TableGrid"/>
        <w:tblW w:w="9639" w:type="dxa"/>
        <w:tblInd w:w="-5" w:type="dxa"/>
        <w:tblLook w:val="04A0" w:firstRow="1" w:lastRow="0" w:firstColumn="1" w:lastColumn="0" w:noHBand="0" w:noVBand="1"/>
      </w:tblPr>
      <w:tblGrid>
        <w:gridCol w:w="1843"/>
        <w:gridCol w:w="1701"/>
        <w:gridCol w:w="6095"/>
      </w:tblGrid>
      <w:tr w:rsidR="00DC1D16" w:rsidRPr="00EB2A7A" w14:paraId="3927C3B1" w14:textId="77777777" w:rsidTr="008154FC">
        <w:trPr>
          <w:tblHeader/>
        </w:trPr>
        <w:tc>
          <w:tcPr>
            <w:tcW w:w="1843" w:type="dxa"/>
          </w:tcPr>
          <w:p w14:paraId="66656C5D" w14:textId="77777777" w:rsidR="00DC1D16" w:rsidRPr="00EB2A7A" w:rsidRDefault="00DC1D16" w:rsidP="00E31B2B">
            <w:pPr>
              <w:pStyle w:val="Tablehead"/>
              <w:rPr>
                <w:lang w:val="fr-FR"/>
              </w:rPr>
            </w:pPr>
            <w:r w:rsidRPr="00EB2A7A">
              <w:rPr>
                <w:lang w:val="fr-FR"/>
              </w:rPr>
              <w:t>TD</w:t>
            </w:r>
          </w:p>
        </w:tc>
        <w:tc>
          <w:tcPr>
            <w:tcW w:w="1701" w:type="dxa"/>
          </w:tcPr>
          <w:p w14:paraId="5BFB0DB7" w14:textId="77777777" w:rsidR="00DC1D16" w:rsidRPr="00EB2A7A" w:rsidRDefault="00DC1D16" w:rsidP="00E31B2B">
            <w:pPr>
              <w:pStyle w:val="Tablehead"/>
              <w:rPr>
                <w:lang w:val="fr-FR"/>
              </w:rPr>
            </w:pPr>
            <w:r w:rsidRPr="00EB2A7A">
              <w:rPr>
                <w:lang w:val="fr-FR"/>
              </w:rPr>
              <w:t>Origine</w:t>
            </w:r>
          </w:p>
        </w:tc>
        <w:tc>
          <w:tcPr>
            <w:tcW w:w="6095" w:type="dxa"/>
          </w:tcPr>
          <w:p w14:paraId="494A0ED4" w14:textId="77777777" w:rsidR="00DC1D16" w:rsidRPr="00EB2A7A" w:rsidRDefault="00DC1D16" w:rsidP="00E31B2B">
            <w:pPr>
              <w:pStyle w:val="Tablehead"/>
              <w:rPr>
                <w:lang w:val="fr-FR"/>
              </w:rPr>
            </w:pPr>
            <w:r w:rsidRPr="00EB2A7A">
              <w:rPr>
                <w:lang w:val="fr-FR"/>
              </w:rPr>
              <w:t>Titre</w:t>
            </w:r>
          </w:p>
        </w:tc>
      </w:tr>
      <w:tr w:rsidR="00DC1D16" w:rsidRPr="00E31B2B" w14:paraId="74C9A58D" w14:textId="77777777" w:rsidTr="008154FC">
        <w:tc>
          <w:tcPr>
            <w:tcW w:w="1843" w:type="dxa"/>
          </w:tcPr>
          <w:p w14:paraId="458B2DA0" w14:textId="77777777" w:rsidR="00DC1D16" w:rsidRPr="00EB2A7A" w:rsidRDefault="00E31B2B" w:rsidP="00E31B2B">
            <w:pPr>
              <w:pStyle w:val="Tabletext"/>
              <w:jc w:val="center"/>
              <w:rPr>
                <w:lang w:val="fr-FR"/>
              </w:rPr>
            </w:pPr>
            <w:hyperlink r:id="rId175" w:history="1">
              <w:r w:rsidR="00DC1D16" w:rsidRPr="00EB2A7A">
                <w:rPr>
                  <w:rStyle w:val="Hyperlink"/>
                  <w:lang w:val="fr-FR"/>
                </w:rPr>
                <w:t>TSAG-TD581</w:t>
              </w:r>
            </w:hyperlink>
          </w:p>
        </w:tc>
        <w:tc>
          <w:tcPr>
            <w:tcW w:w="1701" w:type="dxa"/>
            <w:vMerge w:val="restart"/>
          </w:tcPr>
          <w:p w14:paraId="0762222E" w14:textId="78684816" w:rsidR="00DC1D16" w:rsidRPr="00EB2A7A" w:rsidRDefault="00DC1D16" w:rsidP="00E31B2B">
            <w:pPr>
              <w:pStyle w:val="Tabletext"/>
              <w:jc w:val="center"/>
              <w:rPr>
                <w:lang w:val="fr-FR"/>
              </w:rPr>
            </w:pPr>
            <w:r w:rsidRPr="00EB2A7A">
              <w:rPr>
                <w:bCs/>
                <w:lang w:val="fr-FR"/>
              </w:rPr>
              <w:t>Commission d</w:t>
            </w:r>
            <w:r w:rsidR="00E31B2B">
              <w:rPr>
                <w:bCs/>
                <w:lang w:val="fr-FR"/>
              </w:rPr>
              <w:t>'</w:t>
            </w:r>
            <w:r w:rsidRPr="00EB2A7A">
              <w:rPr>
                <w:bCs/>
                <w:lang w:val="fr-FR"/>
              </w:rPr>
              <w:t>études 2 de l</w:t>
            </w:r>
            <w:r w:rsidR="00E31B2B">
              <w:rPr>
                <w:bCs/>
                <w:lang w:val="fr-FR"/>
              </w:rPr>
              <w:t>'</w:t>
            </w:r>
            <w:r w:rsidRPr="00EB2A7A">
              <w:rPr>
                <w:bCs/>
                <w:lang w:val="fr-FR"/>
              </w:rPr>
              <w:t>UIT-T</w:t>
            </w:r>
          </w:p>
        </w:tc>
        <w:tc>
          <w:tcPr>
            <w:tcW w:w="6095" w:type="dxa"/>
          </w:tcPr>
          <w:p w14:paraId="5AC5E406" w14:textId="1964BE85" w:rsidR="00DC1D16" w:rsidRPr="00EB2A7A" w:rsidRDefault="00DC1D16" w:rsidP="00E31B2B">
            <w:pPr>
              <w:pStyle w:val="Tabletext"/>
              <w:rPr>
                <w:lang w:val="fr-FR"/>
              </w:rPr>
            </w:pPr>
            <w:r w:rsidRPr="00EB2A7A">
              <w:rPr>
                <w:lang w:val="fr-FR"/>
              </w:rPr>
              <w:t>Note de liaison [ de la CE 2 de l</w:t>
            </w:r>
            <w:r w:rsidR="00E31B2B">
              <w:rPr>
                <w:lang w:val="fr-FR"/>
              </w:rPr>
              <w:t>'</w:t>
            </w:r>
            <w:r w:rsidRPr="00EB2A7A">
              <w:rPr>
                <w:lang w:val="fr-FR"/>
              </w:rPr>
              <w:t xml:space="preserve">UIT-T] sur les besoins du GCNT en ce qui concerne la création de groupes régionaux, la participation à leurs travaux et leur dissolution (établie en réponse à la LS 18 du GCNT) </w:t>
            </w:r>
          </w:p>
        </w:tc>
      </w:tr>
      <w:tr w:rsidR="00DC1D16" w:rsidRPr="00E31B2B" w14:paraId="1D9BE5FF" w14:textId="77777777" w:rsidTr="008154FC">
        <w:tc>
          <w:tcPr>
            <w:tcW w:w="1843" w:type="dxa"/>
          </w:tcPr>
          <w:p w14:paraId="76E0F739" w14:textId="77777777" w:rsidR="00DC1D16" w:rsidRPr="00EB2A7A" w:rsidRDefault="00E31B2B" w:rsidP="00E31B2B">
            <w:pPr>
              <w:pStyle w:val="Tabletext"/>
              <w:jc w:val="center"/>
              <w:rPr>
                <w:lang w:val="fr-FR"/>
              </w:rPr>
            </w:pPr>
            <w:hyperlink r:id="rId176" w:history="1">
              <w:r w:rsidR="00DC1D16" w:rsidRPr="00EB2A7A">
                <w:rPr>
                  <w:rStyle w:val="Hyperlink"/>
                  <w:lang w:val="fr-FR"/>
                </w:rPr>
                <w:t>TSAG-TD513</w:t>
              </w:r>
            </w:hyperlink>
          </w:p>
        </w:tc>
        <w:tc>
          <w:tcPr>
            <w:tcW w:w="1701" w:type="dxa"/>
            <w:vMerge/>
          </w:tcPr>
          <w:p w14:paraId="2F794037" w14:textId="77777777" w:rsidR="00DC1D16" w:rsidRPr="00EB2A7A" w:rsidRDefault="00DC1D16" w:rsidP="00E31B2B">
            <w:pPr>
              <w:pStyle w:val="Tabletext"/>
              <w:jc w:val="center"/>
              <w:rPr>
                <w:lang w:val="fr-FR"/>
              </w:rPr>
            </w:pPr>
          </w:p>
        </w:tc>
        <w:tc>
          <w:tcPr>
            <w:tcW w:w="6095" w:type="dxa"/>
          </w:tcPr>
          <w:p w14:paraId="59A15738" w14:textId="602B49D7" w:rsidR="00DC1D16" w:rsidRPr="00EB2A7A" w:rsidRDefault="00DC1D16" w:rsidP="00E31B2B">
            <w:pPr>
              <w:pStyle w:val="Tabletext"/>
              <w:rPr>
                <w:highlight w:val="yellow"/>
                <w:lang w:val="fr-FR"/>
              </w:rPr>
            </w:pPr>
            <w:r w:rsidRPr="00EB2A7A">
              <w:rPr>
                <w:lang w:val="fr-FR"/>
              </w:rPr>
              <w:t>Note de liaison [ de la CE 2 de l</w:t>
            </w:r>
            <w:r w:rsidR="00E31B2B">
              <w:rPr>
                <w:lang w:val="fr-FR"/>
              </w:rPr>
              <w:t>'</w:t>
            </w:r>
            <w:r w:rsidRPr="00EB2A7A">
              <w:rPr>
                <w:lang w:val="fr-FR"/>
              </w:rPr>
              <w:t xml:space="preserve">UIT-T] sur la création de groupes régionaux, la participation à leurs travaux et leur dissolution (établie en réponse à la LS 18 du GCNT) </w:t>
            </w:r>
          </w:p>
        </w:tc>
      </w:tr>
      <w:tr w:rsidR="00DC1D16" w:rsidRPr="00E31B2B" w14:paraId="13C26EA2" w14:textId="77777777" w:rsidTr="008154FC">
        <w:tc>
          <w:tcPr>
            <w:tcW w:w="1843" w:type="dxa"/>
          </w:tcPr>
          <w:p w14:paraId="00D33BA3" w14:textId="77777777" w:rsidR="00DC1D16" w:rsidRPr="00EB2A7A" w:rsidRDefault="00E31B2B" w:rsidP="00E31B2B">
            <w:pPr>
              <w:pStyle w:val="Tabletext"/>
              <w:jc w:val="center"/>
              <w:rPr>
                <w:lang w:val="fr-FR"/>
              </w:rPr>
            </w:pPr>
            <w:hyperlink r:id="rId177" w:history="1">
              <w:r w:rsidR="00DC1D16" w:rsidRPr="00EB2A7A">
                <w:rPr>
                  <w:rStyle w:val="Hyperlink"/>
                  <w:lang w:val="fr-FR"/>
                </w:rPr>
                <w:t>TSAG-TD540</w:t>
              </w:r>
            </w:hyperlink>
          </w:p>
        </w:tc>
        <w:tc>
          <w:tcPr>
            <w:tcW w:w="1701" w:type="dxa"/>
          </w:tcPr>
          <w:p w14:paraId="42A38114" w14:textId="63315FD6" w:rsidR="00DC1D16" w:rsidRPr="00EB2A7A" w:rsidRDefault="00DC1D16" w:rsidP="00E31B2B">
            <w:pPr>
              <w:pStyle w:val="Tabletext"/>
              <w:jc w:val="center"/>
              <w:rPr>
                <w:lang w:val="fr-FR"/>
              </w:rPr>
            </w:pPr>
            <w:r w:rsidRPr="00EB2A7A">
              <w:rPr>
                <w:bCs/>
                <w:lang w:val="fr-FR"/>
              </w:rPr>
              <w:t>Commission d</w:t>
            </w:r>
            <w:r w:rsidR="00E31B2B">
              <w:rPr>
                <w:bCs/>
                <w:lang w:val="fr-FR"/>
              </w:rPr>
              <w:t>'</w:t>
            </w:r>
            <w:r w:rsidRPr="00EB2A7A">
              <w:rPr>
                <w:bCs/>
                <w:lang w:val="fr-FR"/>
              </w:rPr>
              <w:t>études 3 de l</w:t>
            </w:r>
            <w:r w:rsidR="00E31B2B">
              <w:rPr>
                <w:bCs/>
                <w:lang w:val="fr-FR"/>
              </w:rPr>
              <w:t>'</w:t>
            </w:r>
            <w:r w:rsidRPr="00EB2A7A">
              <w:rPr>
                <w:bCs/>
                <w:lang w:val="fr-FR"/>
              </w:rPr>
              <w:t>UIT-T</w:t>
            </w:r>
          </w:p>
        </w:tc>
        <w:tc>
          <w:tcPr>
            <w:tcW w:w="6095" w:type="dxa"/>
          </w:tcPr>
          <w:p w14:paraId="159BC432" w14:textId="5E56781B" w:rsidR="00DC1D16" w:rsidRPr="00EB2A7A" w:rsidRDefault="00DC1D16" w:rsidP="00E31B2B">
            <w:pPr>
              <w:pStyle w:val="Tabletext"/>
              <w:rPr>
                <w:lang w:val="fr-FR"/>
              </w:rPr>
            </w:pPr>
            <w:r w:rsidRPr="00EB2A7A">
              <w:rPr>
                <w:lang w:val="fr-FR"/>
              </w:rPr>
              <w:t>Note de liaison [ de la CE 3 de l</w:t>
            </w:r>
            <w:r w:rsidR="00E31B2B">
              <w:rPr>
                <w:lang w:val="fr-FR"/>
              </w:rPr>
              <w:t>'</w:t>
            </w:r>
            <w:r w:rsidRPr="00EB2A7A">
              <w:rPr>
                <w:lang w:val="fr-FR"/>
              </w:rPr>
              <w:t xml:space="preserve">UIT-T] sur la création de groupes régionaux, la participation à leurs travaux et leur dissolution (établie en réponse à la LS 18 du GCNT) </w:t>
            </w:r>
          </w:p>
        </w:tc>
      </w:tr>
      <w:tr w:rsidR="00DC1D16" w:rsidRPr="00E31B2B" w14:paraId="7AD339DD" w14:textId="77777777" w:rsidTr="008154FC">
        <w:tc>
          <w:tcPr>
            <w:tcW w:w="1843" w:type="dxa"/>
          </w:tcPr>
          <w:p w14:paraId="251B06BC" w14:textId="77777777" w:rsidR="00DC1D16" w:rsidRPr="00EB2A7A" w:rsidRDefault="00E31B2B" w:rsidP="00E31B2B">
            <w:pPr>
              <w:pStyle w:val="Tabletext"/>
              <w:jc w:val="center"/>
              <w:rPr>
                <w:lang w:val="fr-FR"/>
              </w:rPr>
            </w:pPr>
            <w:hyperlink r:id="rId178" w:history="1">
              <w:r w:rsidR="00DC1D16" w:rsidRPr="00EB2A7A">
                <w:rPr>
                  <w:rStyle w:val="Hyperlink"/>
                  <w:lang w:val="fr-FR"/>
                </w:rPr>
                <w:t>TSAG-TD562</w:t>
              </w:r>
            </w:hyperlink>
          </w:p>
        </w:tc>
        <w:tc>
          <w:tcPr>
            <w:tcW w:w="1701" w:type="dxa"/>
          </w:tcPr>
          <w:p w14:paraId="18DE1186" w14:textId="34148388" w:rsidR="00DC1D16" w:rsidRPr="00EB2A7A" w:rsidRDefault="00DC1D16" w:rsidP="00E31B2B">
            <w:pPr>
              <w:pStyle w:val="Tabletext"/>
              <w:jc w:val="center"/>
              <w:rPr>
                <w:lang w:val="fr-FR"/>
              </w:rPr>
            </w:pPr>
            <w:r w:rsidRPr="00EB2A7A">
              <w:rPr>
                <w:bCs/>
                <w:lang w:val="fr-FR"/>
              </w:rPr>
              <w:t>Commission d</w:t>
            </w:r>
            <w:r w:rsidR="00E31B2B">
              <w:rPr>
                <w:bCs/>
                <w:lang w:val="fr-FR"/>
              </w:rPr>
              <w:t>'</w:t>
            </w:r>
            <w:r w:rsidRPr="00EB2A7A">
              <w:rPr>
                <w:bCs/>
                <w:lang w:val="fr-FR"/>
              </w:rPr>
              <w:t>études 5 de l</w:t>
            </w:r>
            <w:r w:rsidR="00E31B2B">
              <w:rPr>
                <w:bCs/>
                <w:lang w:val="fr-FR"/>
              </w:rPr>
              <w:t>'</w:t>
            </w:r>
            <w:r w:rsidRPr="00EB2A7A">
              <w:rPr>
                <w:bCs/>
                <w:lang w:val="fr-FR"/>
              </w:rPr>
              <w:t>UIT-T</w:t>
            </w:r>
          </w:p>
        </w:tc>
        <w:tc>
          <w:tcPr>
            <w:tcW w:w="6095" w:type="dxa"/>
          </w:tcPr>
          <w:p w14:paraId="1A52F023" w14:textId="27BA2F38" w:rsidR="00DC1D16" w:rsidRPr="00EB2A7A" w:rsidRDefault="00DC1D16" w:rsidP="00E31B2B">
            <w:pPr>
              <w:pStyle w:val="Tabletext"/>
              <w:rPr>
                <w:highlight w:val="yellow"/>
                <w:lang w:val="fr-FR"/>
              </w:rPr>
            </w:pPr>
            <w:r w:rsidRPr="00EB2A7A">
              <w:rPr>
                <w:lang w:val="fr-FR"/>
              </w:rPr>
              <w:t>Note de liaison [ de la CE 5 de l</w:t>
            </w:r>
            <w:r w:rsidR="00E31B2B">
              <w:rPr>
                <w:lang w:val="fr-FR"/>
              </w:rPr>
              <w:t>'</w:t>
            </w:r>
            <w:r w:rsidRPr="00EB2A7A">
              <w:rPr>
                <w:lang w:val="fr-FR"/>
              </w:rPr>
              <w:t xml:space="preserve">UIT-T] sur la création de groupes régionaux, la participation à leurs travaux et leur dissolution (établie en réponse à la LS 18 du GCNT) </w:t>
            </w:r>
          </w:p>
        </w:tc>
      </w:tr>
      <w:tr w:rsidR="00DC1D16" w:rsidRPr="00E31B2B" w14:paraId="5B2B9C16" w14:textId="77777777" w:rsidTr="008154FC">
        <w:tc>
          <w:tcPr>
            <w:tcW w:w="1843" w:type="dxa"/>
          </w:tcPr>
          <w:p w14:paraId="145FDA9C" w14:textId="77777777" w:rsidR="00DC1D16" w:rsidRPr="00EB2A7A" w:rsidRDefault="00E31B2B" w:rsidP="00E31B2B">
            <w:pPr>
              <w:pStyle w:val="Tabletext"/>
              <w:jc w:val="center"/>
              <w:rPr>
                <w:lang w:val="fr-FR"/>
              </w:rPr>
            </w:pPr>
            <w:hyperlink r:id="rId179" w:history="1">
              <w:r w:rsidR="00DC1D16" w:rsidRPr="00EB2A7A">
                <w:rPr>
                  <w:rStyle w:val="Hyperlink"/>
                  <w:lang w:val="fr-FR"/>
                </w:rPr>
                <w:t>TSAG-TD519</w:t>
              </w:r>
            </w:hyperlink>
          </w:p>
        </w:tc>
        <w:tc>
          <w:tcPr>
            <w:tcW w:w="1701" w:type="dxa"/>
          </w:tcPr>
          <w:p w14:paraId="3C5247F2" w14:textId="2AD6D268" w:rsidR="00DC1D16" w:rsidRPr="00EB2A7A" w:rsidRDefault="00DC1D16" w:rsidP="00E31B2B">
            <w:pPr>
              <w:pStyle w:val="Tabletext"/>
              <w:jc w:val="center"/>
              <w:rPr>
                <w:lang w:val="fr-FR"/>
              </w:rPr>
            </w:pPr>
            <w:r w:rsidRPr="00EB2A7A">
              <w:rPr>
                <w:bCs/>
                <w:lang w:val="fr-FR"/>
              </w:rPr>
              <w:t>Commission d</w:t>
            </w:r>
            <w:r w:rsidR="00E31B2B">
              <w:rPr>
                <w:bCs/>
                <w:lang w:val="fr-FR"/>
              </w:rPr>
              <w:t>'</w:t>
            </w:r>
            <w:r w:rsidRPr="00EB2A7A">
              <w:rPr>
                <w:bCs/>
                <w:lang w:val="fr-FR"/>
              </w:rPr>
              <w:t>études11 de l</w:t>
            </w:r>
            <w:r w:rsidR="00E31B2B">
              <w:rPr>
                <w:bCs/>
                <w:lang w:val="fr-FR"/>
              </w:rPr>
              <w:t>'</w:t>
            </w:r>
            <w:r w:rsidRPr="00EB2A7A">
              <w:rPr>
                <w:bCs/>
                <w:lang w:val="fr-FR"/>
              </w:rPr>
              <w:t>UIT-T</w:t>
            </w:r>
          </w:p>
        </w:tc>
        <w:tc>
          <w:tcPr>
            <w:tcW w:w="6095" w:type="dxa"/>
          </w:tcPr>
          <w:p w14:paraId="3B9EEE60" w14:textId="117D95ED" w:rsidR="00DC1D16" w:rsidRPr="00EB2A7A" w:rsidRDefault="00DC1D16" w:rsidP="00E31B2B">
            <w:pPr>
              <w:pStyle w:val="Tabletext"/>
              <w:rPr>
                <w:lang w:val="fr-FR"/>
              </w:rPr>
            </w:pPr>
            <w:r w:rsidRPr="00EB2A7A">
              <w:rPr>
                <w:lang w:val="fr-FR"/>
              </w:rPr>
              <w:t>Note de liaison de la CE 11 de l</w:t>
            </w:r>
            <w:r w:rsidR="00E31B2B">
              <w:rPr>
                <w:lang w:val="fr-FR"/>
              </w:rPr>
              <w:t>'</w:t>
            </w:r>
            <w:r w:rsidRPr="00EB2A7A">
              <w:rPr>
                <w:lang w:val="fr-FR"/>
              </w:rPr>
              <w:t xml:space="preserve">UIT-T]sur la création de groupes régionaux, la participation à leurs travaux et leur dissolution (établie en réponse à la LS 18 du GCNT) </w:t>
            </w:r>
          </w:p>
        </w:tc>
      </w:tr>
      <w:tr w:rsidR="00DC1D16" w:rsidRPr="00E31B2B" w14:paraId="2C8AC5AB" w14:textId="77777777" w:rsidTr="008154FC">
        <w:tc>
          <w:tcPr>
            <w:tcW w:w="1843" w:type="dxa"/>
          </w:tcPr>
          <w:p w14:paraId="330FCF36" w14:textId="77777777" w:rsidR="00DC1D16" w:rsidRPr="00EB2A7A" w:rsidRDefault="00E31B2B" w:rsidP="00E31B2B">
            <w:pPr>
              <w:pStyle w:val="Tabletext"/>
              <w:jc w:val="center"/>
              <w:rPr>
                <w:highlight w:val="yellow"/>
                <w:lang w:val="fr-FR"/>
              </w:rPr>
            </w:pPr>
            <w:hyperlink r:id="rId180" w:history="1">
              <w:r w:rsidR="00DC1D16" w:rsidRPr="00EB2A7A">
                <w:rPr>
                  <w:rStyle w:val="Hyperlink"/>
                  <w:lang w:val="fr-FR"/>
                </w:rPr>
                <w:t>TSAG-TD541</w:t>
              </w:r>
            </w:hyperlink>
          </w:p>
        </w:tc>
        <w:tc>
          <w:tcPr>
            <w:tcW w:w="1701" w:type="dxa"/>
          </w:tcPr>
          <w:p w14:paraId="008D0E95" w14:textId="5194583E" w:rsidR="00DC1D16" w:rsidRPr="00EB2A7A" w:rsidRDefault="00DC1D16" w:rsidP="00E31B2B">
            <w:pPr>
              <w:pStyle w:val="Tabletext"/>
              <w:jc w:val="center"/>
              <w:rPr>
                <w:lang w:val="fr-FR"/>
              </w:rPr>
            </w:pPr>
            <w:r w:rsidRPr="00EB2A7A">
              <w:rPr>
                <w:bCs/>
                <w:lang w:val="fr-FR"/>
              </w:rPr>
              <w:t>Commission d</w:t>
            </w:r>
            <w:r w:rsidR="00E31B2B">
              <w:rPr>
                <w:bCs/>
                <w:lang w:val="fr-FR"/>
              </w:rPr>
              <w:t>'</w:t>
            </w:r>
            <w:r w:rsidRPr="00EB2A7A">
              <w:rPr>
                <w:bCs/>
                <w:lang w:val="fr-FR"/>
              </w:rPr>
              <w:t>études 12 de l</w:t>
            </w:r>
            <w:r w:rsidR="00E31B2B">
              <w:rPr>
                <w:bCs/>
                <w:lang w:val="fr-FR"/>
              </w:rPr>
              <w:t>'</w:t>
            </w:r>
            <w:r w:rsidRPr="00EB2A7A">
              <w:rPr>
                <w:bCs/>
                <w:lang w:val="fr-FR"/>
              </w:rPr>
              <w:t>UIT-T</w:t>
            </w:r>
          </w:p>
        </w:tc>
        <w:tc>
          <w:tcPr>
            <w:tcW w:w="6095" w:type="dxa"/>
          </w:tcPr>
          <w:p w14:paraId="3E7513F0" w14:textId="7456BFD2" w:rsidR="00DC1D16" w:rsidRPr="00EB2A7A" w:rsidRDefault="00DC1D16" w:rsidP="00E31B2B">
            <w:pPr>
              <w:pStyle w:val="Tabletext"/>
              <w:rPr>
                <w:highlight w:val="yellow"/>
                <w:lang w:val="fr-FR"/>
              </w:rPr>
            </w:pPr>
            <w:r w:rsidRPr="00EB2A7A">
              <w:rPr>
                <w:lang w:val="fr-FR"/>
              </w:rPr>
              <w:t>Note de liaison [ de la CE 12 de l</w:t>
            </w:r>
            <w:r w:rsidR="00E31B2B">
              <w:rPr>
                <w:lang w:val="fr-FR"/>
              </w:rPr>
              <w:t>'</w:t>
            </w:r>
            <w:r w:rsidRPr="00EB2A7A">
              <w:rPr>
                <w:lang w:val="fr-FR"/>
              </w:rPr>
              <w:t xml:space="preserve">UIT-T]sur la création de groupes régionaux, la participation à leurs travaux et leur dissolution (établie en réponse à la LS 18 du GCNT) </w:t>
            </w:r>
          </w:p>
        </w:tc>
      </w:tr>
      <w:tr w:rsidR="00DC1D16" w:rsidRPr="00E31B2B" w14:paraId="28F46998" w14:textId="77777777" w:rsidTr="008154FC">
        <w:tc>
          <w:tcPr>
            <w:tcW w:w="1843" w:type="dxa"/>
          </w:tcPr>
          <w:p w14:paraId="62CDEA24" w14:textId="77777777" w:rsidR="00DC1D16" w:rsidRPr="00EB2A7A" w:rsidRDefault="00E31B2B" w:rsidP="00E31B2B">
            <w:pPr>
              <w:pStyle w:val="Tabletext"/>
              <w:jc w:val="center"/>
              <w:rPr>
                <w:lang w:val="fr-FR"/>
              </w:rPr>
            </w:pPr>
            <w:hyperlink r:id="rId181" w:history="1">
              <w:r w:rsidR="00DC1D16" w:rsidRPr="00EB2A7A">
                <w:rPr>
                  <w:rStyle w:val="Hyperlink"/>
                  <w:lang w:val="fr-FR"/>
                </w:rPr>
                <w:t>TSAG-TD510</w:t>
              </w:r>
            </w:hyperlink>
          </w:p>
        </w:tc>
        <w:tc>
          <w:tcPr>
            <w:tcW w:w="1701" w:type="dxa"/>
          </w:tcPr>
          <w:p w14:paraId="109C49B0" w14:textId="044FD06F" w:rsidR="00DC1D16" w:rsidRPr="00EB2A7A" w:rsidRDefault="00DC1D16" w:rsidP="00E31B2B">
            <w:pPr>
              <w:pStyle w:val="Tabletext"/>
              <w:jc w:val="center"/>
              <w:rPr>
                <w:lang w:val="fr-FR"/>
              </w:rPr>
            </w:pPr>
            <w:r w:rsidRPr="00EB2A7A">
              <w:rPr>
                <w:bCs/>
                <w:lang w:val="fr-FR"/>
              </w:rPr>
              <w:t>Commission d</w:t>
            </w:r>
            <w:r w:rsidR="00E31B2B">
              <w:rPr>
                <w:bCs/>
                <w:lang w:val="fr-FR"/>
              </w:rPr>
              <w:t>'</w:t>
            </w:r>
            <w:r w:rsidRPr="00EB2A7A">
              <w:rPr>
                <w:bCs/>
                <w:lang w:val="fr-FR"/>
              </w:rPr>
              <w:t>études 17 de l</w:t>
            </w:r>
            <w:r w:rsidR="00E31B2B">
              <w:rPr>
                <w:bCs/>
                <w:lang w:val="fr-FR"/>
              </w:rPr>
              <w:t>'</w:t>
            </w:r>
            <w:r w:rsidRPr="00EB2A7A">
              <w:rPr>
                <w:bCs/>
                <w:lang w:val="fr-FR"/>
              </w:rPr>
              <w:t xml:space="preserve">UIT-T </w:t>
            </w:r>
          </w:p>
        </w:tc>
        <w:tc>
          <w:tcPr>
            <w:tcW w:w="6095" w:type="dxa"/>
          </w:tcPr>
          <w:p w14:paraId="56C399E9" w14:textId="4C80F41B" w:rsidR="00DC1D16" w:rsidRPr="00EB2A7A" w:rsidRDefault="00DC1D16" w:rsidP="00E31B2B">
            <w:pPr>
              <w:pStyle w:val="Tabletext"/>
              <w:rPr>
                <w:lang w:val="fr-FR"/>
              </w:rPr>
            </w:pPr>
            <w:r w:rsidRPr="00EB2A7A">
              <w:rPr>
                <w:lang w:val="fr-FR"/>
              </w:rPr>
              <w:t>Note de liaison [ de la CE 17 de l</w:t>
            </w:r>
            <w:r w:rsidR="00E31B2B">
              <w:rPr>
                <w:lang w:val="fr-FR"/>
              </w:rPr>
              <w:t>'</w:t>
            </w:r>
            <w:r w:rsidRPr="00EB2A7A">
              <w:rPr>
                <w:lang w:val="fr-FR"/>
              </w:rPr>
              <w:t>UIT-T] sur les groupes régionaux</w:t>
            </w:r>
          </w:p>
        </w:tc>
      </w:tr>
      <w:tr w:rsidR="00DC1D16" w:rsidRPr="00E31B2B" w14:paraId="7E672143" w14:textId="77777777" w:rsidTr="008154FC">
        <w:tc>
          <w:tcPr>
            <w:tcW w:w="1843" w:type="dxa"/>
          </w:tcPr>
          <w:p w14:paraId="4383BFEA" w14:textId="77777777" w:rsidR="00DC1D16" w:rsidRPr="00EB2A7A" w:rsidRDefault="00E31B2B" w:rsidP="00E31B2B">
            <w:pPr>
              <w:pStyle w:val="Tabletext"/>
              <w:jc w:val="center"/>
              <w:rPr>
                <w:lang w:val="fr-FR"/>
              </w:rPr>
            </w:pPr>
            <w:hyperlink r:id="rId182" w:history="1">
              <w:r w:rsidR="00DC1D16" w:rsidRPr="00EB2A7A">
                <w:rPr>
                  <w:rStyle w:val="Hyperlink"/>
                  <w:lang w:val="fr-FR"/>
                </w:rPr>
                <w:t>TSAG-TD551</w:t>
              </w:r>
            </w:hyperlink>
          </w:p>
        </w:tc>
        <w:tc>
          <w:tcPr>
            <w:tcW w:w="1701" w:type="dxa"/>
          </w:tcPr>
          <w:p w14:paraId="306649BA" w14:textId="208FCED9" w:rsidR="00DC1D16" w:rsidRPr="00EB2A7A" w:rsidRDefault="00DC1D16" w:rsidP="00E31B2B">
            <w:pPr>
              <w:pStyle w:val="Tabletext"/>
              <w:jc w:val="center"/>
              <w:rPr>
                <w:bCs/>
                <w:lang w:val="fr-FR"/>
              </w:rPr>
            </w:pPr>
            <w:r w:rsidRPr="00EB2A7A">
              <w:rPr>
                <w:bCs/>
                <w:lang w:val="fr-FR"/>
              </w:rPr>
              <w:t>Commission d</w:t>
            </w:r>
            <w:r w:rsidR="00E31B2B">
              <w:rPr>
                <w:bCs/>
                <w:lang w:val="fr-FR"/>
              </w:rPr>
              <w:t>'</w:t>
            </w:r>
            <w:r w:rsidRPr="00EB2A7A">
              <w:rPr>
                <w:bCs/>
                <w:lang w:val="fr-FR"/>
              </w:rPr>
              <w:t>études 20 de l</w:t>
            </w:r>
            <w:r w:rsidR="00E31B2B">
              <w:rPr>
                <w:bCs/>
                <w:lang w:val="fr-FR"/>
              </w:rPr>
              <w:t>'</w:t>
            </w:r>
            <w:r w:rsidRPr="00EB2A7A">
              <w:rPr>
                <w:bCs/>
                <w:lang w:val="fr-FR"/>
              </w:rPr>
              <w:t xml:space="preserve">UIT-T </w:t>
            </w:r>
          </w:p>
        </w:tc>
        <w:tc>
          <w:tcPr>
            <w:tcW w:w="6095" w:type="dxa"/>
          </w:tcPr>
          <w:p w14:paraId="5F27369D" w14:textId="2332EC11" w:rsidR="00DC1D16" w:rsidRPr="00EB2A7A" w:rsidRDefault="00DC1D16" w:rsidP="00E31B2B">
            <w:pPr>
              <w:pStyle w:val="Tabletext"/>
              <w:rPr>
                <w:lang w:val="fr-FR"/>
              </w:rPr>
            </w:pPr>
            <w:r w:rsidRPr="00EB2A7A">
              <w:rPr>
                <w:lang w:val="fr-FR"/>
              </w:rPr>
              <w:t>Note de liaison [ de la CE 20 de l</w:t>
            </w:r>
            <w:r w:rsidR="00E31B2B">
              <w:rPr>
                <w:lang w:val="fr-FR"/>
              </w:rPr>
              <w:t>'</w:t>
            </w:r>
            <w:r w:rsidRPr="00EB2A7A">
              <w:rPr>
                <w:lang w:val="fr-FR"/>
              </w:rPr>
              <w:t xml:space="preserve">UIT-T]sur la création de groupes régionaux, la participation à leurs travaux et leur dissolution (établie en réponse à la LS 18 du GCNT) </w:t>
            </w:r>
          </w:p>
        </w:tc>
      </w:tr>
    </w:tbl>
    <w:p w14:paraId="55740DAF" w14:textId="77777777" w:rsidR="00DC1D16" w:rsidRDefault="00DC1D16" w:rsidP="00E31B2B">
      <w:pPr>
        <w:rPr>
          <w:rFonts w:asciiTheme="majorBidi" w:hAnsiTheme="majorBidi" w:cstheme="majorBidi"/>
          <w:lang w:val="fr-FR"/>
        </w:rPr>
      </w:pPr>
      <w:r>
        <w:rPr>
          <w:rFonts w:asciiTheme="majorBidi" w:hAnsiTheme="majorBidi" w:cstheme="majorBidi"/>
          <w:lang w:val="fr-FR"/>
        </w:rPr>
        <w:br w:type="page"/>
      </w:r>
    </w:p>
    <w:p w14:paraId="603DE6A3" w14:textId="6CA5EC88" w:rsidR="00DC1D16" w:rsidRPr="00EB2A7A" w:rsidRDefault="00DC1D16" w:rsidP="00E31B2B">
      <w:pPr>
        <w:rPr>
          <w:shd w:val="clear" w:color="auto" w:fill="FFFFFF"/>
          <w:lang w:val="fr-FR"/>
        </w:rPr>
      </w:pPr>
      <w:r w:rsidRPr="00EB2A7A">
        <w:rPr>
          <w:rFonts w:asciiTheme="majorBidi" w:hAnsiTheme="majorBidi" w:cstheme="majorBidi"/>
          <w:lang w:val="fr-FR"/>
        </w:rPr>
        <w:lastRenderedPageBreak/>
        <w:t xml:space="preserve">À la troisième réunion, le Rapporteur a également présenté le Document </w:t>
      </w:r>
      <w:hyperlink r:id="rId183" w:history="1">
        <w:r w:rsidRPr="00EB2A7A">
          <w:rPr>
            <w:rStyle w:val="Hyperlink"/>
            <w:rFonts w:asciiTheme="majorBidi" w:hAnsiTheme="majorBidi" w:cstheme="majorBidi"/>
            <w:lang w:val="fr-FR"/>
          </w:rPr>
          <w:t>TSAG-TD621</w:t>
        </w:r>
      </w:hyperlink>
      <w:r w:rsidRPr="00EB2A7A">
        <w:rPr>
          <w:rFonts w:asciiTheme="majorBidi" w:hAnsiTheme="majorBidi" w:cstheme="majorBidi"/>
          <w:lang w:val="fr-FR"/>
        </w:rPr>
        <w:t>, qui est une compilation d</w:t>
      </w:r>
      <w:r w:rsidR="00E31B2B">
        <w:rPr>
          <w:rFonts w:asciiTheme="majorBidi" w:hAnsiTheme="majorBidi" w:cstheme="majorBidi"/>
          <w:lang w:val="fr-FR"/>
        </w:rPr>
        <w:t>'</w:t>
      </w:r>
      <w:r w:rsidRPr="00EB2A7A">
        <w:rPr>
          <w:rFonts w:asciiTheme="majorBidi" w:hAnsiTheme="majorBidi" w:cstheme="majorBidi"/>
          <w:lang w:val="fr-FR"/>
        </w:rPr>
        <w:t>informations sur la création de groupes régionaux, la participation à leurs travaux et leur dissolution, telles qu</w:t>
      </w:r>
      <w:r w:rsidR="00E31B2B">
        <w:rPr>
          <w:rFonts w:asciiTheme="majorBidi" w:hAnsiTheme="majorBidi" w:cstheme="majorBidi"/>
          <w:lang w:val="fr-FR"/>
        </w:rPr>
        <w:t>'</w:t>
      </w:r>
      <w:r w:rsidRPr="00EB2A7A">
        <w:rPr>
          <w:rFonts w:asciiTheme="majorBidi" w:hAnsiTheme="majorBidi" w:cstheme="majorBidi"/>
          <w:lang w:val="fr-FR"/>
        </w:rPr>
        <w:t>elles ont été présentées par les commissions d</w:t>
      </w:r>
      <w:r w:rsidR="00E31B2B">
        <w:rPr>
          <w:rFonts w:asciiTheme="majorBidi" w:hAnsiTheme="majorBidi" w:cstheme="majorBidi"/>
          <w:lang w:val="fr-FR"/>
        </w:rPr>
        <w:t>'</w:t>
      </w:r>
      <w:r w:rsidRPr="00EB2A7A">
        <w:rPr>
          <w:rFonts w:asciiTheme="majorBidi" w:hAnsiTheme="majorBidi" w:cstheme="majorBidi"/>
          <w:lang w:val="fr-FR"/>
        </w:rPr>
        <w:t xml:space="preserve">études. Le Rapporteur a suggéré de considérer le Document </w:t>
      </w:r>
      <w:hyperlink r:id="rId184" w:history="1">
        <w:r w:rsidRPr="00EB2A7A">
          <w:rPr>
            <w:rStyle w:val="Hyperlink"/>
            <w:rFonts w:asciiTheme="majorBidi" w:hAnsiTheme="majorBidi" w:cstheme="majorBidi"/>
            <w:lang w:val="fr-FR"/>
          </w:rPr>
          <w:t>TSAG-TD621</w:t>
        </w:r>
      </w:hyperlink>
      <w:r w:rsidRPr="00EB2A7A">
        <w:rPr>
          <w:rFonts w:asciiTheme="majorBidi" w:hAnsiTheme="majorBidi" w:cstheme="majorBidi"/>
          <w:lang w:val="fr-FR"/>
        </w:rPr>
        <w:t xml:space="preserve"> comme les faits communiqués par les commissions d</w:t>
      </w:r>
      <w:r w:rsidR="00E31B2B">
        <w:rPr>
          <w:rFonts w:asciiTheme="majorBidi" w:hAnsiTheme="majorBidi" w:cstheme="majorBidi"/>
          <w:lang w:val="fr-FR"/>
        </w:rPr>
        <w:t>'</w:t>
      </w:r>
      <w:r w:rsidRPr="00EB2A7A">
        <w:rPr>
          <w:rFonts w:asciiTheme="majorBidi" w:hAnsiTheme="majorBidi" w:cstheme="majorBidi"/>
          <w:lang w:val="fr-FR"/>
        </w:rPr>
        <w:t xml:space="preserve">études pour clarifier les </w:t>
      </w:r>
      <w:r w:rsidRPr="00EB2A7A">
        <w:rPr>
          <w:rFonts w:eastAsia="Batang"/>
          <w:bCs/>
          <w:lang w:val="fr-FR"/>
        </w:rPr>
        <w:t>critères régissant actuellement la création de groupes régionaux des commissions d</w:t>
      </w:r>
      <w:r w:rsidR="00E31B2B">
        <w:rPr>
          <w:rFonts w:eastAsia="Batang"/>
          <w:bCs/>
          <w:lang w:val="fr-FR"/>
        </w:rPr>
        <w:t>'</w:t>
      </w:r>
      <w:r w:rsidRPr="00EB2A7A">
        <w:rPr>
          <w:rFonts w:eastAsia="Batang"/>
          <w:bCs/>
          <w:lang w:val="fr-FR"/>
        </w:rPr>
        <w:t>études de l</w:t>
      </w:r>
      <w:r w:rsidR="00E31B2B">
        <w:rPr>
          <w:rFonts w:eastAsia="Batang"/>
          <w:bCs/>
          <w:lang w:val="fr-FR"/>
        </w:rPr>
        <w:t>'</w:t>
      </w:r>
      <w:r w:rsidRPr="00EB2A7A">
        <w:rPr>
          <w:rFonts w:eastAsia="Batang"/>
          <w:bCs/>
          <w:lang w:val="fr-FR"/>
        </w:rPr>
        <w:t>UIT-T, la participation à leurs travaux et leur dissolution, afin de satisfaire une partie du premier objectif du mandat.</w:t>
      </w:r>
    </w:p>
    <w:p w14:paraId="41C5E2EA" w14:textId="77777777" w:rsidR="00DC1D16" w:rsidRPr="00EB2A7A" w:rsidRDefault="00DC1D16" w:rsidP="00E31B2B">
      <w:pPr>
        <w:spacing w:after="120"/>
        <w:rPr>
          <w:lang w:val="fr-FR"/>
        </w:rPr>
      </w:pPr>
      <w:r w:rsidRPr="00EB2A7A">
        <w:rPr>
          <w:lang w:val="fr-FR"/>
        </w:rPr>
        <w:t>Les contributions suivantes ont également été soumises à la réunion:</w:t>
      </w:r>
    </w:p>
    <w:p w14:paraId="5F9F13D5" w14:textId="77777777" w:rsidR="00DC1D16" w:rsidRPr="00B21312" w:rsidRDefault="00DC1D16" w:rsidP="00E31B2B">
      <w:pPr>
        <w:pStyle w:val="TableNo"/>
        <w:rPr>
          <w:sz w:val="24"/>
          <w:szCs w:val="24"/>
          <w:lang w:val="fr-FR"/>
        </w:rPr>
      </w:pPr>
      <w:r w:rsidRPr="00B21312">
        <w:rPr>
          <w:sz w:val="24"/>
          <w:szCs w:val="24"/>
          <w:lang w:val="fr-FR"/>
        </w:rPr>
        <w:t>TABLEAU 15</w:t>
      </w:r>
    </w:p>
    <w:p w14:paraId="74C8B0A3" w14:textId="77777777" w:rsidR="00DC1D16" w:rsidRPr="00B21312" w:rsidRDefault="00DC1D16" w:rsidP="00E31B2B">
      <w:pPr>
        <w:pStyle w:val="Tabletitle"/>
        <w:rPr>
          <w:sz w:val="24"/>
          <w:szCs w:val="24"/>
          <w:lang w:val="fr-FR"/>
        </w:rPr>
      </w:pPr>
      <w:r w:rsidRPr="00B21312">
        <w:rPr>
          <w:sz w:val="24"/>
          <w:szCs w:val="24"/>
          <w:lang w:val="fr-FR"/>
        </w:rPr>
        <w:t xml:space="preserve">Contributions du </w:t>
      </w:r>
      <w:r w:rsidRPr="00B21312">
        <w:rPr>
          <w:color w:val="000000"/>
          <w:sz w:val="24"/>
          <w:szCs w:val="24"/>
          <w:lang w:val="fr-FR"/>
        </w:rPr>
        <w:t>Groupe RG-CPTRG</w:t>
      </w:r>
    </w:p>
    <w:tbl>
      <w:tblPr>
        <w:tblStyle w:val="TableGrid"/>
        <w:tblW w:w="9634" w:type="dxa"/>
        <w:tblLook w:val="04A0" w:firstRow="1" w:lastRow="0" w:firstColumn="1" w:lastColumn="0" w:noHBand="0" w:noVBand="1"/>
      </w:tblPr>
      <w:tblGrid>
        <w:gridCol w:w="988"/>
        <w:gridCol w:w="1559"/>
        <w:gridCol w:w="7087"/>
      </w:tblGrid>
      <w:tr w:rsidR="00DC1D16" w:rsidRPr="00EB2A7A" w14:paraId="0DCB7D15" w14:textId="77777777" w:rsidTr="008154FC">
        <w:trPr>
          <w:tblHeader/>
        </w:trPr>
        <w:tc>
          <w:tcPr>
            <w:tcW w:w="988" w:type="dxa"/>
            <w:vAlign w:val="center"/>
          </w:tcPr>
          <w:p w14:paraId="522D4A62" w14:textId="77777777" w:rsidR="00DC1D16" w:rsidRPr="00EB2A7A" w:rsidRDefault="00DC1D16" w:rsidP="00E31B2B">
            <w:pPr>
              <w:pStyle w:val="Tablehead"/>
              <w:rPr>
                <w:lang w:val="fr-FR"/>
              </w:rPr>
            </w:pPr>
            <w:r w:rsidRPr="00EB2A7A">
              <w:rPr>
                <w:lang w:val="fr-FR"/>
              </w:rPr>
              <w:t>C</w:t>
            </w:r>
          </w:p>
        </w:tc>
        <w:tc>
          <w:tcPr>
            <w:tcW w:w="1559" w:type="dxa"/>
            <w:vAlign w:val="center"/>
          </w:tcPr>
          <w:p w14:paraId="2E8B8478" w14:textId="77777777" w:rsidR="00DC1D16" w:rsidRPr="00EB2A7A" w:rsidRDefault="00DC1D16" w:rsidP="00E31B2B">
            <w:pPr>
              <w:pStyle w:val="Tablehead"/>
              <w:rPr>
                <w:lang w:val="fr-FR"/>
              </w:rPr>
            </w:pPr>
            <w:r w:rsidRPr="00EB2A7A">
              <w:rPr>
                <w:lang w:val="fr-FR"/>
              </w:rPr>
              <w:t xml:space="preserve">Origine </w:t>
            </w:r>
          </w:p>
        </w:tc>
        <w:tc>
          <w:tcPr>
            <w:tcW w:w="7087" w:type="dxa"/>
          </w:tcPr>
          <w:p w14:paraId="3965B487" w14:textId="77777777" w:rsidR="00DC1D16" w:rsidRPr="00EB2A7A" w:rsidRDefault="00DC1D16" w:rsidP="00E31B2B">
            <w:pPr>
              <w:pStyle w:val="Tablehead"/>
              <w:rPr>
                <w:lang w:val="fr-FR"/>
              </w:rPr>
            </w:pPr>
            <w:r w:rsidRPr="00EB2A7A">
              <w:rPr>
                <w:lang w:val="fr-FR"/>
              </w:rPr>
              <w:t>Titre</w:t>
            </w:r>
          </w:p>
        </w:tc>
      </w:tr>
      <w:tr w:rsidR="00DC1D16" w:rsidRPr="00E31B2B" w14:paraId="718409DE" w14:textId="77777777" w:rsidTr="008154FC">
        <w:tc>
          <w:tcPr>
            <w:tcW w:w="988" w:type="dxa"/>
          </w:tcPr>
          <w:p w14:paraId="528A4088" w14:textId="77777777" w:rsidR="00DC1D16" w:rsidRPr="00EB2A7A" w:rsidRDefault="00E31B2B" w:rsidP="00E31B2B">
            <w:pPr>
              <w:pStyle w:val="Tabletext"/>
              <w:jc w:val="center"/>
              <w:rPr>
                <w:i/>
                <w:lang w:val="fr-FR"/>
              </w:rPr>
            </w:pPr>
            <w:hyperlink r:id="rId185" w:history="1">
              <w:r w:rsidR="00DC1D16" w:rsidRPr="00EB2A7A">
                <w:rPr>
                  <w:rStyle w:val="Hyperlink"/>
                  <w:lang w:val="fr-FR"/>
                </w:rPr>
                <w:t>TSAG-C79</w:t>
              </w:r>
            </w:hyperlink>
          </w:p>
        </w:tc>
        <w:tc>
          <w:tcPr>
            <w:tcW w:w="1559" w:type="dxa"/>
          </w:tcPr>
          <w:p w14:paraId="1CDA7A33" w14:textId="77777777" w:rsidR="00DC1D16" w:rsidRPr="00EB2A7A" w:rsidRDefault="00DC1D16" w:rsidP="00E31B2B">
            <w:pPr>
              <w:pStyle w:val="Tabletext"/>
              <w:jc w:val="center"/>
              <w:rPr>
                <w:i/>
                <w:lang w:val="fr-FR"/>
              </w:rPr>
            </w:pPr>
            <w:r w:rsidRPr="00EB2A7A">
              <w:rPr>
                <w:lang w:val="fr-FR"/>
              </w:rPr>
              <w:t>GSMA</w:t>
            </w:r>
          </w:p>
        </w:tc>
        <w:tc>
          <w:tcPr>
            <w:tcW w:w="7087" w:type="dxa"/>
          </w:tcPr>
          <w:p w14:paraId="048EB360" w14:textId="4C15BC74" w:rsidR="00DC1D16" w:rsidRPr="00EB2A7A" w:rsidRDefault="00DC1D16" w:rsidP="00E31B2B">
            <w:pPr>
              <w:pStyle w:val="Tabletext"/>
              <w:rPr>
                <w:lang w:val="fr-FR"/>
              </w:rPr>
            </w:pPr>
            <w:r w:rsidRPr="00EB2A7A">
              <w:rPr>
                <w:lang w:val="fr-FR"/>
              </w:rPr>
              <w:t xml:space="preserve">Suggestions concernant les travaux du Groupe RG-CPTRG du GCNT: participation des Membres de Secteur aux réunions des </w:t>
            </w:r>
            <w:r w:rsidRPr="00EB2A7A">
              <w:rPr>
                <w:color w:val="000000"/>
                <w:lang w:val="fr-FR"/>
              </w:rPr>
              <w:t xml:space="preserve">groupes régionaux des </w:t>
            </w:r>
            <w:r w:rsidRPr="00EB2A7A">
              <w:rPr>
                <w:lang w:val="fr-FR"/>
              </w:rPr>
              <w:t>commissions d</w:t>
            </w:r>
            <w:r w:rsidR="00E31B2B">
              <w:rPr>
                <w:lang w:val="fr-FR"/>
              </w:rPr>
              <w:t>'</w:t>
            </w:r>
            <w:r w:rsidRPr="00EB2A7A">
              <w:rPr>
                <w:lang w:val="fr-FR"/>
              </w:rPr>
              <w:t>études de septembre 2019</w:t>
            </w:r>
          </w:p>
        </w:tc>
      </w:tr>
      <w:tr w:rsidR="00DC1D16" w:rsidRPr="00E31B2B" w14:paraId="5E7472E3" w14:textId="77777777" w:rsidTr="008154FC">
        <w:tc>
          <w:tcPr>
            <w:tcW w:w="988" w:type="dxa"/>
          </w:tcPr>
          <w:p w14:paraId="717B78FD" w14:textId="77777777" w:rsidR="00DC1D16" w:rsidRPr="00EB2A7A" w:rsidRDefault="00E31B2B" w:rsidP="00E31B2B">
            <w:pPr>
              <w:pStyle w:val="Tabletext"/>
              <w:jc w:val="center"/>
              <w:rPr>
                <w:i/>
                <w:lang w:val="fr-FR"/>
              </w:rPr>
            </w:pPr>
            <w:hyperlink r:id="rId186" w:history="1">
              <w:r w:rsidR="00DC1D16" w:rsidRPr="00EB2A7A">
                <w:rPr>
                  <w:rStyle w:val="Hyperlink"/>
                  <w:lang w:val="fr-FR"/>
                </w:rPr>
                <w:t>TSAG-C80</w:t>
              </w:r>
            </w:hyperlink>
          </w:p>
        </w:tc>
        <w:tc>
          <w:tcPr>
            <w:tcW w:w="1559" w:type="dxa"/>
          </w:tcPr>
          <w:p w14:paraId="28DD7F1E" w14:textId="7EF797E9" w:rsidR="00DC1D16" w:rsidRPr="00EB2A7A" w:rsidRDefault="00DC1D16" w:rsidP="00E31B2B">
            <w:pPr>
              <w:pStyle w:val="Tabletext"/>
              <w:jc w:val="center"/>
              <w:rPr>
                <w:i/>
                <w:lang w:val="fr-FR"/>
              </w:rPr>
            </w:pPr>
            <w:r w:rsidRPr="00EB2A7A">
              <w:rPr>
                <w:lang w:val="fr-FR"/>
              </w:rPr>
              <w:t>États-Unis d</w:t>
            </w:r>
            <w:r w:rsidR="00E31B2B">
              <w:rPr>
                <w:lang w:val="fr-FR"/>
              </w:rPr>
              <w:t>'</w:t>
            </w:r>
            <w:r w:rsidRPr="00EB2A7A">
              <w:rPr>
                <w:lang w:val="fr-FR"/>
              </w:rPr>
              <w:t>Amérique</w:t>
            </w:r>
          </w:p>
        </w:tc>
        <w:tc>
          <w:tcPr>
            <w:tcW w:w="7087" w:type="dxa"/>
          </w:tcPr>
          <w:p w14:paraId="54626974" w14:textId="77777777" w:rsidR="00DC1D16" w:rsidRPr="00EB2A7A" w:rsidRDefault="00DC1D16" w:rsidP="00E31B2B">
            <w:pPr>
              <w:pStyle w:val="Tabletext"/>
              <w:rPr>
                <w:i/>
                <w:lang w:val="fr-FR"/>
              </w:rPr>
            </w:pPr>
            <w:r w:rsidRPr="00EB2A7A">
              <w:rPr>
                <w:lang w:val="fr-FR"/>
              </w:rPr>
              <w:t>Observations et suggestions concernant les travaux du Groupe RG-CPTRG du GCNT</w:t>
            </w:r>
          </w:p>
        </w:tc>
      </w:tr>
      <w:tr w:rsidR="00DC1D16" w:rsidRPr="00E31B2B" w14:paraId="656589CE" w14:textId="77777777" w:rsidTr="008154FC">
        <w:tc>
          <w:tcPr>
            <w:tcW w:w="988" w:type="dxa"/>
          </w:tcPr>
          <w:p w14:paraId="34684FF3" w14:textId="77777777" w:rsidR="00DC1D16" w:rsidRPr="00EB2A7A" w:rsidRDefault="00E31B2B" w:rsidP="00E31B2B">
            <w:pPr>
              <w:pStyle w:val="Tabletext"/>
              <w:jc w:val="center"/>
              <w:rPr>
                <w:i/>
                <w:lang w:val="fr-FR"/>
              </w:rPr>
            </w:pPr>
            <w:hyperlink r:id="rId187" w:history="1">
              <w:r w:rsidR="00DC1D16" w:rsidRPr="00EB2A7A">
                <w:rPr>
                  <w:rStyle w:val="Hyperlink"/>
                  <w:lang w:val="fr-FR"/>
                </w:rPr>
                <w:t>TSAG-C90</w:t>
              </w:r>
            </w:hyperlink>
          </w:p>
        </w:tc>
        <w:tc>
          <w:tcPr>
            <w:tcW w:w="1559" w:type="dxa"/>
          </w:tcPr>
          <w:p w14:paraId="20CFDCD2" w14:textId="77777777" w:rsidR="00DC1D16" w:rsidRPr="00EB2A7A" w:rsidRDefault="00DC1D16" w:rsidP="00E31B2B">
            <w:pPr>
              <w:pStyle w:val="Tabletext"/>
              <w:jc w:val="center"/>
              <w:rPr>
                <w:i/>
                <w:lang w:val="fr-FR"/>
              </w:rPr>
            </w:pPr>
            <w:r w:rsidRPr="00EB2A7A">
              <w:rPr>
                <w:lang w:val="fr-FR"/>
              </w:rPr>
              <w:t>Brésil</w:t>
            </w:r>
          </w:p>
        </w:tc>
        <w:tc>
          <w:tcPr>
            <w:tcW w:w="7087" w:type="dxa"/>
          </w:tcPr>
          <w:p w14:paraId="615718F6" w14:textId="5CF75652" w:rsidR="00DC1D16" w:rsidRPr="00EB2A7A" w:rsidRDefault="00DC1D16" w:rsidP="00E31B2B">
            <w:pPr>
              <w:pStyle w:val="Tabletext"/>
              <w:rPr>
                <w:i/>
                <w:lang w:val="fr-FR"/>
              </w:rPr>
            </w:pPr>
            <w:r w:rsidRPr="00EB2A7A">
              <w:rPr>
                <w:lang w:val="fr-FR"/>
              </w:rPr>
              <w:t>Précisions d</w:t>
            </w:r>
            <w:r w:rsidR="00E31B2B">
              <w:rPr>
                <w:lang w:val="fr-FR"/>
              </w:rPr>
              <w:t>'</w:t>
            </w:r>
            <w:r w:rsidRPr="00EB2A7A">
              <w:rPr>
                <w:lang w:val="fr-FR"/>
              </w:rPr>
              <w:t>ordre juridique concernant le rôle du GCNT dans la création de groupes régionaux des commissions d</w:t>
            </w:r>
            <w:r w:rsidR="00E31B2B">
              <w:rPr>
                <w:lang w:val="fr-FR"/>
              </w:rPr>
              <w:t>'</w:t>
            </w:r>
            <w:r w:rsidRPr="00EB2A7A">
              <w:rPr>
                <w:lang w:val="fr-FR"/>
              </w:rPr>
              <w:t>études de l</w:t>
            </w:r>
            <w:r w:rsidR="00E31B2B">
              <w:rPr>
                <w:lang w:val="fr-FR"/>
              </w:rPr>
              <w:t>'</w:t>
            </w:r>
            <w:r w:rsidRPr="00EB2A7A">
              <w:rPr>
                <w:lang w:val="fr-FR"/>
              </w:rPr>
              <w:t>UIT-T et les droits de participation des Membres de Secteur, des Associés et des établissements universitaires</w:t>
            </w:r>
          </w:p>
        </w:tc>
      </w:tr>
    </w:tbl>
    <w:p w14:paraId="03648805" w14:textId="59658719" w:rsidR="00DC1D16" w:rsidRPr="00EB2A7A" w:rsidRDefault="00DC1D16" w:rsidP="00E31B2B">
      <w:pPr>
        <w:rPr>
          <w:rFonts w:asciiTheme="majorBidi" w:eastAsia="Batang" w:hAnsiTheme="majorBidi" w:cstheme="majorBidi"/>
          <w:bCs/>
          <w:lang w:val="fr-FR"/>
        </w:rPr>
      </w:pPr>
      <w:r w:rsidRPr="00EB2A7A">
        <w:rPr>
          <w:rFonts w:asciiTheme="majorBidi" w:eastAsia="Batang" w:hAnsiTheme="majorBidi" w:cstheme="majorBidi"/>
          <w:bCs/>
          <w:lang w:val="fr-FR"/>
        </w:rPr>
        <w:t>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Unité des affaires juridiques (LAU) de 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 xml:space="preserve">UIT a soumis le Document </w:t>
      </w:r>
      <w:hyperlink r:id="rId188" w:history="1">
        <w:r w:rsidRPr="00EB2A7A">
          <w:rPr>
            <w:rStyle w:val="Hyperlink"/>
            <w:bCs/>
            <w:lang w:val="fr-FR"/>
          </w:rPr>
          <w:t>TSAG-TD577</w:t>
        </w:r>
      </w:hyperlink>
      <w:r w:rsidRPr="00EB2A7A">
        <w:rPr>
          <w:rStyle w:val="Hyperlink"/>
          <w:bCs/>
          <w:lang w:val="fr-FR"/>
        </w:rPr>
        <w:t>,</w:t>
      </w:r>
      <w:r w:rsidRPr="00EB2A7A">
        <w:rPr>
          <w:lang w:val="fr-FR"/>
        </w:rPr>
        <w:t xml:space="preserve"> afin d</w:t>
      </w:r>
      <w:r w:rsidR="00E31B2B">
        <w:rPr>
          <w:lang w:val="fr-FR"/>
        </w:rPr>
        <w:t>'</w:t>
      </w:r>
      <w:r w:rsidRPr="00EB2A7A">
        <w:rPr>
          <w:lang w:val="fr-FR"/>
        </w:rPr>
        <w:t>apporter des précisions</w:t>
      </w:r>
      <w:r w:rsidRPr="00EB2A7A">
        <w:rPr>
          <w:rFonts w:asciiTheme="majorBidi" w:eastAsia="Batang" w:hAnsiTheme="majorBidi" w:cstheme="majorBidi"/>
          <w:bCs/>
          <w:lang w:val="fr-FR"/>
        </w:rPr>
        <w:t xml:space="preserve"> concernant le rôle du GCNT dans la création de groupes régionaux des commissions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études de 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UIT-T et les droits de participation des Membres de Secteur, des Associés et des établissements universitaires</w:t>
      </w:r>
      <w:r w:rsidRPr="00EB2A7A">
        <w:rPr>
          <w:lang w:val="fr-FR"/>
        </w:rPr>
        <w:t>.</w:t>
      </w:r>
    </w:p>
    <w:p w14:paraId="42C2D5AC" w14:textId="77777777" w:rsidR="00DC1D16" w:rsidRPr="00EB2A7A" w:rsidRDefault="00DC1D16" w:rsidP="00E31B2B">
      <w:pPr>
        <w:spacing w:after="60"/>
        <w:rPr>
          <w:rFonts w:asciiTheme="majorBidi" w:hAnsiTheme="majorBidi" w:cstheme="majorBidi"/>
          <w:lang w:val="fr-FR"/>
        </w:rPr>
      </w:pPr>
      <w:r w:rsidRPr="00EB2A7A">
        <w:rPr>
          <w:rFonts w:asciiTheme="majorBidi" w:hAnsiTheme="majorBidi" w:cstheme="majorBidi"/>
          <w:lang w:val="fr-FR"/>
        </w:rPr>
        <w:t>À la dernière réunion du Groupe du Rapporteur, la note de liaison ci-après a également été reçue:</w:t>
      </w:r>
    </w:p>
    <w:p w14:paraId="478C079E" w14:textId="77777777" w:rsidR="00DC1D16" w:rsidRPr="00B21312" w:rsidRDefault="00DC1D16" w:rsidP="00E31B2B">
      <w:pPr>
        <w:pStyle w:val="TableNo"/>
        <w:rPr>
          <w:sz w:val="24"/>
          <w:szCs w:val="24"/>
          <w:lang w:val="fr-FR"/>
        </w:rPr>
      </w:pPr>
      <w:r w:rsidRPr="00B21312">
        <w:rPr>
          <w:sz w:val="24"/>
          <w:szCs w:val="24"/>
          <w:lang w:val="fr-FR"/>
        </w:rPr>
        <w:t>TABLEAU 16</w:t>
      </w:r>
    </w:p>
    <w:p w14:paraId="620D13F6" w14:textId="77777777" w:rsidR="00DC1D16" w:rsidRPr="00EB2A7A" w:rsidRDefault="00DC1D16" w:rsidP="00E31B2B">
      <w:pPr>
        <w:pStyle w:val="Tabletitle"/>
        <w:rPr>
          <w:lang w:val="fr-FR"/>
        </w:rPr>
      </w:pPr>
      <w:r w:rsidRPr="00B21312">
        <w:rPr>
          <w:sz w:val="24"/>
          <w:szCs w:val="24"/>
          <w:lang w:val="fr-FR"/>
        </w:rPr>
        <w:t xml:space="preserve">Note de liaison reçue par le </w:t>
      </w:r>
      <w:r w:rsidRPr="00B21312">
        <w:rPr>
          <w:color w:val="000000"/>
          <w:sz w:val="24"/>
          <w:szCs w:val="24"/>
          <w:lang w:val="fr-FR"/>
        </w:rPr>
        <w:t>Groupe RG-CPTRG</w:t>
      </w:r>
    </w:p>
    <w:tbl>
      <w:tblPr>
        <w:tblStyle w:val="TableGrid"/>
        <w:tblW w:w="9639" w:type="dxa"/>
        <w:tblInd w:w="-5" w:type="dxa"/>
        <w:tblLook w:val="04A0" w:firstRow="1" w:lastRow="0" w:firstColumn="1" w:lastColumn="0" w:noHBand="0" w:noVBand="1"/>
      </w:tblPr>
      <w:tblGrid>
        <w:gridCol w:w="993"/>
        <w:gridCol w:w="3543"/>
        <w:gridCol w:w="5103"/>
      </w:tblGrid>
      <w:tr w:rsidR="00DC1D16" w:rsidRPr="00EB2A7A" w14:paraId="25EA16FD" w14:textId="77777777" w:rsidTr="008154FC">
        <w:tc>
          <w:tcPr>
            <w:tcW w:w="993" w:type="dxa"/>
            <w:vAlign w:val="center"/>
          </w:tcPr>
          <w:p w14:paraId="2AC39CDC" w14:textId="77777777" w:rsidR="00DC1D16" w:rsidRPr="00EB2A7A" w:rsidRDefault="00DC1D16" w:rsidP="00E31B2B">
            <w:pPr>
              <w:pStyle w:val="Tablehead"/>
              <w:rPr>
                <w:lang w:val="fr-FR"/>
              </w:rPr>
            </w:pPr>
            <w:r w:rsidRPr="00EB2A7A">
              <w:rPr>
                <w:lang w:val="fr-FR"/>
              </w:rPr>
              <w:t>DT</w:t>
            </w:r>
          </w:p>
        </w:tc>
        <w:tc>
          <w:tcPr>
            <w:tcW w:w="3543" w:type="dxa"/>
            <w:vAlign w:val="center"/>
          </w:tcPr>
          <w:p w14:paraId="2D656B41" w14:textId="77777777" w:rsidR="00DC1D16" w:rsidRPr="00EB2A7A" w:rsidRDefault="00DC1D16" w:rsidP="00E31B2B">
            <w:pPr>
              <w:pStyle w:val="Tablehead"/>
              <w:rPr>
                <w:lang w:val="fr-FR"/>
              </w:rPr>
            </w:pPr>
            <w:r w:rsidRPr="00EB2A7A">
              <w:rPr>
                <w:lang w:val="fr-FR"/>
              </w:rPr>
              <w:t>Origine</w:t>
            </w:r>
          </w:p>
        </w:tc>
        <w:tc>
          <w:tcPr>
            <w:tcW w:w="5103" w:type="dxa"/>
          </w:tcPr>
          <w:p w14:paraId="26D07375" w14:textId="77777777" w:rsidR="00DC1D16" w:rsidRPr="00EB2A7A" w:rsidRDefault="00DC1D16" w:rsidP="00E31B2B">
            <w:pPr>
              <w:pStyle w:val="Tablehead"/>
              <w:rPr>
                <w:lang w:val="fr-FR"/>
              </w:rPr>
            </w:pPr>
            <w:r w:rsidRPr="00EB2A7A">
              <w:rPr>
                <w:lang w:val="fr-FR"/>
              </w:rPr>
              <w:t>Titre</w:t>
            </w:r>
          </w:p>
        </w:tc>
      </w:tr>
      <w:tr w:rsidR="00DC1D16" w:rsidRPr="00E31B2B" w14:paraId="0A345A25" w14:textId="77777777" w:rsidTr="008154FC">
        <w:tc>
          <w:tcPr>
            <w:tcW w:w="993" w:type="dxa"/>
          </w:tcPr>
          <w:p w14:paraId="2080A654" w14:textId="77777777" w:rsidR="00DC1D16" w:rsidRPr="00EB2A7A" w:rsidRDefault="00E31B2B" w:rsidP="00E31B2B">
            <w:pPr>
              <w:pStyle w:val="Tabletext"/>
              <w:jc w:val="center"/>
              <w:rPr>
                <w:lang w:val="fr-FR"/>
              </w:rPr>
            </w:pPr>
            <w:hyperlink r:id="rId189" w:history="1">
              <w:r w:rsidR="00DC1D16" w:rsidRPr="00EB2A7A">
                <w:rPr>
                  <w:rStyle w:val="Hyperlink"/>
                  <w:lang w:val="fr-FR"/>
                </w:rPr>
                <w:t>TSAG-TD707</w:t>
              </w:r>
            </w:hyperlink>
          </w:p>
        </w:tc>
        <w:tc>
          <w:tcPr>
            <w:tcW w:w="3543" w:type="dxa"/>
          </w:tcPr>
          <w:p w14:paraId="0279A3C2" w14:textId="111EB190" w:rsidR="00DC1D16" w:rsidRPr="00EB2A7A" w:rsidRDefault="00DC1D16" w:rsidP="00E31B2B">
            <w:pPr>
              <w:pStyle w:val="Tabletext"/>
              <w:jc w:val="center"/>
              <w:rPr>
                <w:lang w:val="fr-FR"/>
              </w:rPr>
            </w:pPr>
            <w:r w:rsidRPr="00EB2A7A">
              <w:rPr>
                <w:bCs/>
                <w:lang w:val="fr-FR"/>
              </w:rPr>
              <w:t>Groupe régional de la Commission d</w:t>
            </w:r>
            <w:r w:rsidR="00E31B2B">
              <w:rPr>
                <w:bCs/>
                <w:lang w:val="fr-FR"/>
              </w:rPr>
              <w:t>'</w:t>
            </w:r>
            <w:r w:rsidRPr="00EB2A7A">
              <w:rPr>
                <w:bCs/>
                <w:lang w:val="fr-FR"/>
              </w:rPr>
              <w:t>études 12 de l</w:t>
            </w:r>
            <w:r w:rsidR="00E31B2B">
              <w:rPr>
                <w:bCs/>
                <w:lang w:val="fr-FR"/>
              </w:rPr>
              <w:t>'</w:t>
            </w:r>
            <w:r w:rsidRPr="00EB2A7A">
              <w:rPr>
                <w:bCs/>
                <w:lang w:val="fr-FR"/>
              </w:rPr>
              <w:t>UIT-T pour l</w:t>
            </w:r>
            <w:r w:rsidR="00E31B2B">
              <w:rPr>
                <w:bCs/>
                <w:lang w:val="fr-FR"/>
              </w:rPr>
              <w:t>'</w:t>
            </w:r>
            <w:r w:rsidRPr="00EB2A7A">
              <w:rPr>
                <w:bCs/>
                <w:lang w:val="fr-FR"/>
              </w:rPr>
              <w:t>Afrique (SG12RG-AFR)</w:t>
            </w:r>
          </w:p>
        </w:tc>
        <w:tc>
          <w:tcPr>
            <w:tcW w:w="5103" w:type="dxa"/>
          </w:tcPr>
          <w:p w14:paraId="0F8C08A5" w14:textId="77777777" w:rsidR="00DC1D16" w:rsidRPr="00EB2A7A" w:rsidRDefault="00DC1D16" w:rsidP="00E31B2B">
            <w:pPr>
              <w:pStyle w:val="Tabletext"/>
              <w:rPr>
                <w:lang w:val="fr-FR"/>
              </w:rPr>
            </w:pPr>
            <w:r w:rsidRPr="00EB2A7A">
              <w:rPr>
                <w:lang w:val="fr-FR"/>
              </w:rPr>
              <w:t xml:space="preserve">Note de liaison reçue sur le projet de rapport du </w:t>
            </w:r>
            <w:r w:rsidRPr="00EB2A7A">
              <w:rPr>
                <w:color w:val="000000"/>
                <w:lang w:val="fr-FR"/>
              </w:rPr>
              <w:t>Groupe</w:t>
            </w:r>
            <w:r w:rsidRPr="00EB2A7A">
              <w:rPr>
                <w:lang w:val="fr-FR"/>
              </w:rPr>
              <w:t xml:space="preserve"> RG</w:t>
            </w:r>
            <w:r>
              <w:rPr>
                <w:lang w:val="fr-FR"/>
              </w:rPr>
              <w:noBreakHyphen/>
            </w:r>
            <w:r w:rsidRPr="00EB2A7A">
              <w:rPr>
                <w:lang w:val="fr-FR"/>
              </w:rPr>
              <w:t>CPTRG relatif à la création de groupes régionaux, à la participation à leurs travaux et à leur dissolution</w:t>
            </w:r>
          </w:p>
        </w:tc>
      </w:tr>
    </w:tbl>
    <w:p w14:paraId="1572EA67" w14:textId="394A5463" w:rsidR="00DC1D16" w:rsidRPr="00EB2A7A" w:rsidRDefault="00DC1D16" w:rsidP="00E31B2B">
      <w:pPr>
        <w:spacing w:after="120"/>
        <w:rPr>
          <w:rFonts w:asciiTheme="majorBidi" w:hAnsiTheme="majorBidi" w:cstheme="majorBidi"/>
          <w:lang w:val="fr-FR"/>
        </w:rPr>
      </w:pPr>
      <w:r w:rsidRPr="00EB2A7A">
        <w:rPr>
          <w:rFonts w:asciiTheme="majorBidi" w:hAnsiTheme="majorBidi" w:cstheme="majorBidi"/>
          <w:lang w:val="fr-FR"/>
        </w:rPr>
        <w:t>Deux contributions des États-Unis d</w:t>
      </w:r>
      <w:r w:rsidR="00E31B2B">
        <w:rPr>
          <w:rFonts w:asciiTheme="majorBidi" w:hAnsiTheme="majorBidi" w:cstheme="majorBidi"/>
          <w:lang w:val="fr-FR"/>
        </w:rPr>
        <w:t>'</w:t>
      </w:r>
      <w:r w:rsidRPr="00EB2A7A">
        <w:rPr>
          <w:rFonts w:asciiTheme="majorBidi" w:hAnsiTheme="majorBidi" w:cstheme="majorBidi"/>
          <w:lang w:val="fr-FR"/>
        </w:rPr>
        <w:t>Amérique ont été reçues pour la dernière réunion:</w:t>
      </w:r>
    </w:p>
    <w:p w14:paraId="7497244B" w14:textId="77777777" w:rsidR="00DC1D16" w:rsidRPr="00B21312" w:rsidRDefault="00DC1D16" w:rsidP="00E31B2B">
      <w:pPr>
        <w:pStyle w:val="TableNo"/>
        <w:rPr>
          <w:sz w:val="24"/>
          <w:szCs w:val="24"/>
          <w:lang w:val="fr-FR"/>
        </w:rPr>
      </w:pPr>
      <w:r w:rsidRPr="00B21312">
        <w:rPr>
          <w:sz w:val="24"/>
          <w:szCs w:val="24"/>
          <w:lang w:val="fr-FR"/>
        </w:rPr>
        <w:t>TABLEAU 17</w:t>
      </w:r>
    </w:p>
    <w:p w14:paraId="655837E5" w14:textId="77777777" w:rsidR="00DC1D16" w:rsidRPr="00B21312" w:rsidRDefault="00DC1D16" w:rsidP="00E31B2B">
      <w:pPr>
        <w:pStyle w:val="Tabletitle"/>
        <w:rPr>
          <w:sz w:val="24"/>
          <w:szCs w:val="24"/>
          <w:lang w:val="fr-FR"/>
        </w:rPr>
      </w:pPr>
      <w:r w:rsidRPr="00B21312">
        <w:rPr>
          <w:sz w:val="24"/>
          <w:szCs w:val="24"/>
          <w:lang w:val="fr-FR"/>
        </w:rPr>
        <w:t xml:space="preserve">Contributions du </w:t>
      </w:r>
      <w:r w:rsidRPr="00B21312">
        <w:rPr>
          <w:color w:val="000000"/>
          <w:sz w:val="24"/>
          <w:szCs w:val="24"/>
          <w:lang w:val="fr-FR"/>
        </w:rPr>
        <w:t>Groupe RG-CPTRG</w:t>
      </w:r>
    </w:p>
    <w:tbl>
      <w:tblPr>
        <w:tblStyle w:val="TableGrid"/>
        <w:tblW w:w="9634" w:type="dxa"/>
        <w:tblLook w:val="04A0" w:firstRow="1" w:lastRow="0" w:firstColumn="1" w:lastColumn="0" w:noHBand="0" w:noVBand="1"/>
      </w:tblPr>
      <w:tblGrid>
        <w:gridCol w:w="1555"/>
        <w:gridCol w:w="2976"/>
        <w:gridCol w:w="5103"/>
      </w:tblGrid>
      <w:tr w:rsidR="00DC1D16" w:rsidRPr="00EB2A7A" w14:paraId="486DD22A" w14:textId="77777777" w:rsidTr="008154FC">
        <w:tc>
          <w:tcPr>
            <w:tcW w:w="1555" w:type="dxa"/>
            <w:vAlign w:val="center"/>
          </w:tcPr>
          <w:p w14:paraId="046546B4" w14:textId="77777777" w:rsidR="00DC1D16" w:rsidRPr="00EB2A7A" w:rsidRDefault="00DC1D16" w:rsidP="00E31B2B">
            <w:pPr>
              <w:pStyle w:val="Tablehead"/>
              <w:rPr>
                <w:lang w:val="fr-FR"/>
              </w:rPr>
            </w:pPr>
            <w:r w:rsidRPr="00EB2A7A">
              <w:rPr>
                <w:lang w:val="fr-FR"/>
              </w:rPr>
              <w:t>C</w:t>
            </w:r>
          </w:p>
        </w:tc>
        <w:tc>
          <w:tcPr>
            <w:tcW w:w="2976" w:type="dxa"/>
            <w:vAlign w:val="center"/>
          </w:tcPr>
          <w:p w14:paraId="3C561A31" w14:textId="77777777" w:rsidR="00DC1D16" w:rsidRPr="00EB2A7A" w:rsidRDefault="00DC1D16" w:rsidP="00E31B2B">
            <w:pPr>
              <w:pStyle w:val="Tablehead"/>
              <w:rPr>
                <w:lang w:val="fr-FR"/>
              </w:rPr>
            </w:pPr>
            <w:r w:rsidRPr="00EB2A7A">
              <w:rPr>
                <w:lang w:val="fr-FR"/>
              </w:rPr>
              <w:t>Origine</w:t>
            </w:r>
          </w:p>
        </w:tc>
        <w:tc>
          <w:tcPr>
            <w:tcW w:w="5103" w:type="dxa"/>
          </w:tcPr>
          <w:p w14:paraId="4E37A97C" w14:textId="77777777" w:rsidR="00DC1D16" w:rsidRPr="00EB2A7A" w:rsidRDefault="00DC1D16" w:rsidP="00E31B2B">
            <w:pPr>
              <w:pStyle w:val="Tablehead"/>
              <w:rPr>
                <w:lang w:val="fr-FR"/>
              </w:rPr>
            </w:pPr>
            <w:r w:rsidRPr="00EB2A7A">
              <w:rPr>
                <w:lang w:val="fr-FR"/>
              </w:rPr>
              <w:t>Titre</w:t>
            </w:r>
          </w:p>
        </w:tc>
      </w:tr>
      <w:tr w:rsidR="00DC1D16" w:rsidRPr="00E31B2B" w14:paraId="0FAB468A" w14:textId="77777777" w:rsidTr="008154FC">
        <w:tc>
          <w:tcPr>
            <w:tcW w:w="1555" w:type="dxa"/>
          </w:tcPr>
          <w:p w14:paraId="3824601D" w14:textId="77777777" w:rsidR="00DC1D16" w:rsidRPr="00EB2A7A" w:rsidRDefault="00E31B2B" w:rsidP="00E31B2B">
            <w:pPr>
              <w:pStyle w:val="Tabletext"/>
              <w:jc w:val="center"/>
              <w:rPr>
                <w:i/>
                <w:lang w:val="fr-FR"/>
              </w:rPr>
            </w:pPr>
            <w:hyperlink r:id="rId190" w:history="1">
              <w:r w:rsidR="00DC1D16" w:rsidRPr="00EB2A7A">
                <w:rPr>
                  <w:rStyle w:val="Hyperlink"/>
                  <w:lang w:val="fr-FR"/>
                </w:rPr>
                <w:t>TSAG-C113</w:t>
              </w:r>
            </w:hyperlink>
          </w:p>
        </w:tc>
        <w:tc>
          <w:tcPr>
            <w:tcW w:w="2976" w:type="dxa"/>
          </w:tcPr>
          <w:p w14:paraId="6687FD9E" w14:textId="16D3A02D" w:rsidR="00DC1D16" w:rsidRPr="00EB2A7A" w:rsidRDefault="00DC1D16" w:rsidP="00E31B2B">
            <w:pPr>
              <w:pStyle w:val="Tabletext"/>
              <w:jc w:val="center"/>
              <w:rPr>
                <w:i/>
                <w:lang w:val="fr-FR"/>
              </w:rPr>
            </w:pPr>
            <w:r w:rsidRPr="00EB2A7A">
              <w:rPr>
                <w:rFonts w:asciiTheme="majorBidi" w:hAnsiTheme="majorBidi" w:cstheme="majorBidi"/>
                <w:lang w:val="fr-FR"/>
              </w:rPr>
              <w:t>États-Unis d</w:t>
            </w:r>
            <w:r w:rsidR="00E31B2B">
              <w:rPr>
                <w:rFonts w:asciiTheme="majorBidi" w:hAnsiTheme="majorBidi" w:cstheme="majorBidi"/>
                <w:lang w:val="fr-FR"/>
              </w:rPr>
              <w:t>'</w:t>
            </w:r>
            <w:r w:rsidRPr="00EB2A7A">
              <w:rPr>
                <w:rFonts w:asciiTheme="majorBidi" w:hAnsiTheme="majorBidi" w:cstheme="majorBidi"/>
                <w:lang w:val="fr-FR"/>
              </w:rPr>
              <w:t>Amérique</w:t>
            </w:r>
          </w:p>
        </w:tc>
        <w:tc>
          <w:tcPr>
            <w:tcW w:w="5103" w:type="dxa"/>
          </w:tcPr>
          <w:p w14:paraId="0A198260" w14:textId="77777777" w:rsidR="00DC1D16" w:rsidRPr="00EB2A7A" w:rsidRDefault="00DC1D16" w:rsidP="00E31B2B">
            <w:pPr>
              <w:pStyle w:val="Tabletext"/>
              <w:rPr>
                <w:i/>
                <w:lang w:val="fr-FR"/>
              </w:rPr>
            </w:pPr>
            <w:r w:rsidRPr="00EB2A7A">
              <w:rPr>
                <w:lang w:val="fr-FR"/>
              </w:rPr>
              <w:t xml:space="preserve">Suggestions visant à continuer de faire avancer les travaux du </w:t>
            </w:r>
            <w:r w:rsidRPr="00EB2A7A">
              <w:rPr>
                <w:color w:val="000000"/>
                <w:lang w:val="fr-FR"/>
              </w:rPr>
              <w:t xml:space="preserve">Groupe RG-CPTRG </w:t>
            </w:r>
          </w:p>
        </w:tc>
      </w:tr>
      <w:tr w:rsidR="00DC1D16" w:rsidRPr="00E31B2B" w14:paraId="1C76E8D7" w14:textId="77777777" w:rsidTr="008154FC">
        <w:tc>
          <w:tcPr>
            <w:tcW w:w="1555" w:type="dxa"/>
          </w:tcPr>
          <w:p w14:paraId="38BDCF4F" w14:textId="77777777" w:rsidR="00DC1D16" w:rsidRPr="00EB2A7A" w:rsidRDefault="00E31B2B" w:rsidP="00E31B2B">
            <w:pPr>
              <w:pStyle w:val="Tabletext"/>
              <w:jc w:val="center"/>
              <w:rPr>
                <w:i/>
                <w:lang w:val="fr-FR"/>
              </w:rPr>
            </w:pPr>
            <w:hyperlink r:id="rId191" w:history="1">
              <w:r w:rsidR="00DC1D16" w:rsidRPr="00EB2A7A">
                <w:rPr>
                  <w:rStyle w:val="Hyperlink"/>
                  <w:lang w:val="fr-FR"/>
                </w:rPr>
                <w:t>TSAG-C115</w:t>
              </w:r>
            </w:hyperlink>
          </w:p>
        </w:tc>
        <w:tc>
          <w:tcPr>
            <w:tcW w:w="2976" w:type="dxa"/>
          </w:tcPr>
          <w:p w14:paraId="64C6E5DC" w14:textId="5E5F10E8" w:rsidR="00DC1D16" w:rsidRPr="00EB2A7A" w:rsidRDefault="00DC1D16" w:rsidP="00E31B2B">
            <w:pPr>
              <w:pStyle w:val="Tabletext"/>
              <w:jc w:val="center"/>
              <w:rPr>
                <w:i/>
                <w:lang w:val="fr-FR"/>
              </w:rPr>
            </w:pPr>
            <w:r w:rsidRPr="00EB2A7A">
              <w:rPr>
                <w:rFonts w:asciiTheme="majorBidi" w:hAnsiTheme="majorBidi" w:cstheme="majorBidi"/>
                <w:lang w:val="fr-FR"/>
              </w:rPr>
              <w:t>États-Unis d</w:t>
            </w:r>
            <w:r w:rsidR="00E31B2B">
              <w:rPr>
                <w:rFonts w:asciiTheme="majorBidi" w:hAnsiTheme="majorBidi" w:cstheme="majorBidi"/>
                <w:lang w:val="fr-FR"/>
              </w:rPr>
              <w:t>'</w:t>
            </w:r>
            <w:r w:rsidRPr="00EB2A7A">
              <w:rPr>
                <w:rFonts w:asciiTheme="majorBidi" w:hAnsiTheme="majorBidi" w:cstheme="majorBidi"/>
                <w:lang w:val="fr-FR"/>
              </w:rPr>
              <w:t>Amérique</w:t>
            </w:r>
          </w:p>
        </w:tc>
        <w:tc>
          <w:tcPr>
            <w:tcW w:w="5103" w:type="dxa"/>
          </w:tcPr>
          <w:p w14:paraId="3D6D12CC" w14:textId="5D30616E" w:rsidR="00DC1D16" w:rsidRPr="00EB2A7A" w:rsidRDefault="00DC1D16" w:rsidP="00E31B2B">
            <w:pPr>
              <w:pStyle w:val="Tabletext"/>
              <w:rPr>
                <w:lang w:val="fr-FR"/>
              </w:rPr>
            </w:pPr>
            <w:r w:rsidRPr="00EB2A7A">
              <w:rPr>
                <w:lang w:val="fr-FR"/>
              </w:rPr>
              <w:t>Projet de proposition interaméricaine de la CITEL sur les groupes régionaux des commissions d</w:t>
            </w:r>
            <w:r w:rsidR="00E31B2B">
              <w:rPr>
                <w:lang w:val="fr-FR"/>
              </w:rPr>
              <w:t>'</w:t>
            </w:r>
            <w:r w:rsidRPr="00EB2A7A">
              <w:rPr>
                <w:lang w:val="fr-FR"/>
              </w:rPr>
              <w:t>études de l</w:t>
            </w:r>
            <w:r w:rsidR="00E31B2B">
              <w:rPr>
                <w:lang w:val="fr-FR"/>
              </w:rPr>
              <w:t>'</w:t>
            </w:r>
            <w:r w:rsidRPr="00EB2A7A">
              <w:rPr>
                <w:lang w:val="fr-FR"/>
              </w:rPr>
              <w:t>UIT-T (révision de la Résolution 54 de l</w:t>
            </w:r>
            <w:r w:rsidR="00E31B2B">
              <w:rPr>
                <w:lang w:val="fr-FR"/>
              </w:rPr>
              <w:t>'</w:t>
            </w:r>
            <w:r w:rsidRPr="00EB2A7A">
              <w:rPr>
                <w:lang w:val="fr-FR"/>
              </w:rPr>
              <w:t>AMNT)</w:t>
            </w:r>
          </w:p>
        </w:tc>
      </w:tr>
    </w:tbl>
    <w:p w14:paraId="18CF3395" w14:textId="77777777" w:rsidR="00DC1D16" w:rsidRPr="00EB2A7A" w:rsidRDefault="00DC1D16" w:rsidP="00E31B2B">
      <w:pPr>
        <w:pStyle w:val="Heading1"/>
        <w:spacing w:after="240"/>
        <w:rPr>
          <w:lang w:val="fr-FR"/>
        </w:rPr>
      </w:pPr>
      <w:bookmarkStart w:id="95" w:name="_Toc94876352"/>
      <w:r w:rsidRPr="00EB2A7A">
        <w:rPr>
          <w:lang w:val="fr-FR"/>
        </w:rPr>
        <w:lastRenderedPageBreak/>
        <w:t>4</w:t>
      </w:r>
      <w:r w:rsidRPr="00EB2A7A">
        <w:rPr>
          <w:lang w:val="fr-FR"/>
        </w:rPr>
        <w:tab/>
        <w:t>Résumé des discussions et résultats</w:t>
      </w:r>
      <w:bookmarkEnd w:id="95"/>
    </w:p>
    <w:tbl>
      <w:tblPr>
        <w:tblStyle w:val="TableGrid"/>
        <w:tblW w:w="0" w:type="auto"/>
        <w:tblLook w:val="04A0" w:firstRow="1" w:lastRow="0" w:firstColumn="1" w:lastColumn="0" w:noHBand="0" w:noVBand="1"/>
      </w:tblPr>
      <w:tblGrid>
        <w:gridCol w:w="1410"/>
        <w:gridCol w:w="8219"/>
      </w:tblGrid>
      <w:tr w:rsidR="00DC1D16" w:rsidRPr="00E31B2B" w14:paraId="3254A583" w14:textId="77777777" w:rsidTr="008154FC">
        <w:tc>
          <w:tcPr>
            <w:tcW w:w="1410" w:type="dxa"/>
          </w:tcPr>
          <w:p w14:paraId="5FFAACCD" w14:textId="77777777" w:rsidR="00DC1D16" w:rsidRPr="00EB2A7A" w:rsidRDefault="00DC1D16" w:rsidP="00E31B2B">
            <w:pPr>
              <w:keepNext/>
              <w:keepLines/>
              <w:rPr>
                <w:rFonts w:asciiTheme="majorBidi" w:eastAsia="Batang" w:hAnsiTheme="majorBidi" w:cstheme="majorBidi"/>
                <w:bCs/>
                <w:lang w:val="fr-FR"/>
              </w:rPr>
            </w:pPr>
            <w:r w:rsidRPr="00EB2A7A">
              <w:rPr>
                <w:rFonts w:eastAsia="Batang"/>
                <w:bCs/>
                <w:i/>
                <w:lang w:val="fr-FR"/>
              </w:rPr>
              <w:t>Objectif 1</w:t>
            </w:r>
          </w:p>
        </w:tc>
        <w:tc>
          <w:tcPr>
            <w:tcW w:w="8219" w:type="dxa"/>
          </w:tcPr>
          <w:p w14:paraId="2EC40DDD" w14:textId="0D5CE1E4" w:rsidR="00DC1D16" w:rsidRPr="00EB2A7A" w:rsidRDefault="00DC1D16" w:rsidP="00E31B2B">
            <w:pPr>
              <w:keepNext/>
              <w:keepLines/>
              <w:spacing w:after="120"/>
              <w:rPr>
                <w:rFonts w:asciiTheme="majorBidi" w:eastAsia="Batang" w:hAnsiTheme="majorBidi" w:cstheme="majorBidi"/>
                <w:bCs/>
                <w:lang w:val="fr-FR"/>
              </w:rPr>
            </w:pPr>
            <w:r w:rsidRPr="00EB2A7A">
              <w:rPr>
                <w:rFonts w:eastAsia="Batang"/>
                <w:bCs/>
                <w:lang w:val="fr-FR"/>
              </w:rPr>
              <w:t>Clarifier les critères régissant actuellement la création de groupes régionaux des commissions d</w:t>
            </w:r>
            <w:r w:rsidR="00E31B2B">
              <w:rPr>
                <w:rFonts w:eastAsia="Batang"/>
                <w:bCs/>
                <w:lang w:val="fr-FR"/>
              </w:rPr>
              <w:t>'</w:t>
            </w:r>
            <w:r w:rsidRPr="00EB2A7A">
              <w:rPr>
                <w:rFonts w:eastAsia="Batang"/>
                <w:bCs/>
                <w:lang w:val="fr-FR"/>
              </w:rPr>
              <w:t>études de l</w:t>
            </w:r>
            <w:r w:rsidR="00E31B2B">
              <w:rPr>
                <w:rFonts w:eastAsia="Batang"/>
                <w:bCs/>
                <w:lang w:val="fr-FR"/>
              </w:rPr>
              <w:t>'</w:t>
            </w:r>
            <w:r w:rsidRPr="00EB2A7A">
              <w:rPr>
                <w:rFonts w:eastAsia="Batang"/>
                <w:bCs/>
                <w:lang w:val="fr-FR"/>
              </w:rPr>
              <w:t>UIT-T, la participation à leurs travaux et leur dissolution, ainsi que les mécanismes applicables à ces critères, conformément aux orientations définies par l</w:t>
            </w:r>
            <w:r w:rsidR="00E31B2B">
              <w:rPr>
                <w:rFonts w:eastAsia="Batang"/>
                <w:bCs/>
                <w:lang w:val="fr-FR"/>
              </w:rPr>
              <w:t>'</w:t>
            </w:r>
            <w:r w:rsidRPr="00EB2A7A">
              <w:rPr>
                <w:rFonts w:eastAsia="Batang"/>
                <w:bCs/>
                <w:lang w:val="fr-FR"/>
              </w:rPr>
              <w:t>UIT, le cas échéant.</w:t>
            </w:r>
          </w:p>
        </w:tc>
      </w:tr>
    </w:tbl>
    <w:p w14:paraId="745E5E57" w14:textId="7981A241" w:rsidR="00DC1D16" w:rsidRPr="00EB2A7A" w:rsidRDefault="00DC1D16" w:rsidP="00E31B2B">
      <w:pPr>
        <w:keepNext/>
        <w:keepLines/>
        <w:tabs>
          <w:tab w:val="left" w:pos="720"/>
        </w:tabs>
        <w:rPr>
          <w:rFonts w:asciiTheme="majorBidi" w:eastAsia="Batang" w:hAnsiTheme="majorBidi" w:cstheme="majorBidi"/>
          <w:bCs/>
          <w:lang w:val="fr-FR"/>
        </w:rPr>
      </w:pPr>
      <w:r w:rsidRPr="00EB2A7A">
        <w:rPr>
          <w:rFonts w:asciiTheme="majorBidi" w:eastAsia="Batang" w:hAnsiTheme="majorBidi" w:cstheme="majorBidi"/>
          <w:bCs/>
          <w:lang w:val="fr-FR"/>
        </w:rPr>
        <w:t>Après avoir examiné les critères régissant</w:t>
      </w:r>
      <w:r w:rsidRPr="00EB2A7A">
        <w:rPr>
          <w:rFonts w:eastAsia="Batang"/>
          <w:bCs/>
          <w:lang w:val="fr-FR"/>
        </w:rPr>
        <w:t xml:space="preserve"> actuellement</w:t>
      </w:r>
      <w:r w:rsidRPr="00EB2A7A">
        <w:rPr>
          <w:rFonts w:asciiTheme="majorBidi" w:eastAsia="Batang" w:hAnsiTheme="majorBidi" w:cstheme="majorBidi"/>
          <w:bCs/>
          <w:lang w:val="fr-FR"/>
        </w:rPr>
        <w:t xml:space="preserve"> la création de groupes régionaux des commissions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études de 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UIT-T, les participants sont convenus qu</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il y avait des divergences et qu</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il n</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existait aucun critère homogène relatif à la création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un groupe régional entre les commissions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études.</w:t>
      </w:r>
    </w:p>
    <w:p w14:paraId="635621F2" w14:textId="1E2A6327" w:rsidR="00DC1D16" w:rsidRPr="00EB2A7A" w:rsidRDefault="00DC1D16" w:rsidP="00E31B2B">
      <w:pPr>
        <w:tabs>
          <w:tab w:val="left" w:pos="720"/>
        </w:tabs>
        <w:rPr>
          <w:rStyle w:val="Hyperlink"/>
          <w:rFonts w:asciiTheme="majorBidi" w:eastAsia="Batang" w:hAnsiTheme="majorBidi" w:cstheme="majorBidi"/>
          <w:bCs/>
          <w:color w:val="auto"/>
          <w:u w:val="none"/>
          <w:lang w:val="fr-FR"/>
        </w:rPr>
      </w:pPr>
      <w:r w:rsidRPr="00EB2A7A">
        <w:rPr>
          <w:rFonts w:asciiTheme="majorBidi" w:eastAsia="Batang" w:hAnsiTheme="majorBidi" w:cstheme="majorBidi"/>
          <w:bCs/>
          <w:lang w:val="fr-FR"/>
        </w:rPr>
        <w:t xml:space="preserve">Le terme </w:t>
      </w:r>
      <w:r>
        <w:rPr>
          <w:rFonts w:asciiTheme="majorBidi" w:eastAsia="Batang" w:hAnsiTheme="majorBidi" w:cstheme="majorBidi"/>
          <w:bCs/>
          <w:lang w:val="fr-FR"/>
        </w:rPr>
        <w:t>"</w:t>
      </w:r>
      <w:r w:rsidRPr="00EB2A7A">
        <w:rPr>
          <w:rFonts w:asciiTheme="majorBidi" w:eastAsia="Batang" w:hAnsiTheme="majorBidi" w:cstheme="majorBidi"/>
          <w:bCs/>
          <w:lang w:val="fr-FR"/>
        </w:rPr>
        <w:t>région</w:t>
      </w:r>
      <w:r>
        <w:rPr>
          <w:rFonts w:asciiTheme="majorBidi" w:eastAsia="Batang" w:hAnsiTheme="majorBidi" w:cstheme="majorBidi"/>
          <w:bCs/>
          <w:lang w:val="fr-FR"/>
        </w:rPr>
        <w:t>"</w:t>
      </w:r>
      <w:r w:rsidRPr="00EB2A7A">
        <w:rPr>
          <w:rFonts w:asciiTheme="majorBidi" w:eastAsia="Batang" w:hAnsiTheme="majorBidi" w:cstheme="majorBidi"/>
          <w:bCs/>
          <w:lang w:val="fr-FR"/>
        </w:rPr>
        <w:t xml:space="preserve"> n</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est pas défini, étant donné que certains États Membres ne peuvent participer qu</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 xml:space="preserve">aux réunions </w:t>
      </w:r>
      <w:r w:rsidRPr="00EB2A7A">
        <w:rPr>
          <w:rFonts w:eastAsia="Batang"/>
          <w:bCs/>
          <w:lang w:val="fr-FR"/>
        </w:rPr>
        <w:t xml:space="preserve">de groupes régionaux </w:t>
      </w:r>
      <w:r w:rsidRPr="00EB2A7A">
        <w:rPr>
          <w:rFonts w:asciiTheme="majorBidi" w:eastAsia="Batang" w:hAnsiTheme="majorBidi" w:cstheme="majorBidi"/>
          <w:bCs/>
          <w:lang w:val="fr-FR"/>
        </w:rPr>
        <w:t>dans ce qui pourrait être considéré comme leur région administrative de 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UIT. Certains États Membres appartiennent à plusieurs groupes régionaux dans une commission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études.</w:t>
      </w:r>
    </w:p>
    <w:p w14:paraId="7A6121F1" w14:textId="5B4D9618" w:rsidR="00DC1D16" w:rsidRPr="00EB2A7A" w:rsidRDefault="00DC1D16" w:rsidP="00E31B2B">
      <w:pPr>
        <w:rPr>
          <w:rFonts w:asciiTheme="majorBidi" w:eastAsia="Batang" w:hAnsiTheme="majorBidi" w:cstheme="majorBidi"/>
          <w:bCs/>
          <w:lang w:val="fr-FR"/>
        </w:rPr>
      </w:pPr>
      <w:r w:rsidRPr="00EB2A7A">
        <w:rPr>
          <w:rFonts w:asciiTheme="majorBidi" w:eastAsia="Batang" w:hAnsiTheme="majorBidi" w:cstheme="majorBidi"/>
          <w:bCs/>
          <w:lang w:val="fr-FR"/>
        </w:rPr>
        <w:t>Bien que certains membres aient souligné la nécessité de définir ce que 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 xml:space="preserve">on entend par </w:t>
      </w:r>
      <w:r>
        <w:rPr>
          <w:rFonts w:asciiTheme="majorBidi" w:eastAsia="Batang" w:hAnsiTheme="majorBidi" w:cstheme="majorBidi"/>
          <w:bCs/>
          <w:lang w:val="fr-FR"/>
        </w:rPr>
        <w:t>"</w:t>
      </w:r>
      <w:r w:rsidRPr="00EB2A7A">
        <w:rPr>
          <w:rFonts w:asciiTheme="majorBidi" w:eastAsia="Batang" w:hAnsiTheme="majorBidi" w:cstheme="majorBidi"/>
          <w:bCs/>
          <w:lang w:val="fr-FR"/>
        </w:rPr>
        <w:t>région</w:t>
      </w:r>
      <w:r>
        <w:rPr>
          <w:rFonts w:asciiTheme="majorBidi" w:eastAsia="Batang" w:hAnsiTheme="majorBidi" w:cstheme="majorBidi"/>
          <w:bCs/>
          <w:lang w:val="fr-FR"/>
        </w:rPr>
        <w:t>"</w:t>
      </w:r>
      <w:r w:rsidRPr="00EB2A7A">
        <w:rPr>
          <w:rFonts w:asciiTheme="majorBidi" w:eastAsia="Batang" w:hAnsiTheme="majorBidi" w:cstheme="majorBidi"/>
          <w:bCs/>
          <w:lang w:val="fr-FR"/>
        </w:rPr>
        <w:t>,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autres ont indiqué qu</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 xml:space="preserve">il fallait en priorité conserver une certaine souplesse concernant le terme </w:t>
      </w:r>
      <w:r>
        <w:rPr>
          <w:rFonts w:asciiTheme="majorBidi" w:eastAsia="Batang" w:hAnsiTheme="majorBidi" w:cstheme="majorBidi"/>
          <w:bCs/>
          <w:lang w:val="fr-FR"/>
        </w:rPr>
        <w:t>"</w:t>
      </w:r>
      <w:r w:rsidRPr="00EB2A7A">
        <w:rPr>
          <w:rFonts w:asciiTheme="majorBidi" w:eastAsia="Batang" w:hAnsiTheme="majorBidi" w:cstheme="majorBidi"/>
          <w:bCs/>
          <w:lang w:val="fr-FR"/>
        </w:rPr>
        <w:t>région</w:t>
      </w:r>
      <w:r>
        <w:rPr>
          <w:rFonts w:asciiTheme="majorBidi" w:eastAsia="Batang" w:hAnsiTheme="majorBidi" w:cstheme="majorBidi"/>
          <w:bCs/>
          <w:lang w:val="fr-FR"/>
        </w:rPr>
        <w:t>"</w:t>
      </w:r>
      <w:r w:rsidRPr="00EB2A7A">
        <w:rPr>
          <w:rFonts w:asciiTheme="majorBidi" w:eastAsia="Batang" w:hAnsiTheme="majorBidi" w:cstheme="majorBidi"/>
          <w:bCs/>
          <w:lang w:val="fr-FR"/>
        </w:rPr>
        <w:t xml:space="preserve"> pour permettre à chaque commission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 xml:space="preserve">études de créer des groupes régionaux en fonction du </w:t>
      </w:r>
      <w:r w:rsidRPr="00EB2A7A">
        <w:rPr>
          <w:color w:val="000000"/>
          <w:lang w:val="fr-FR"/>
        </w:rPr>
        <w:t xml:space="preserve">thème traité. </w:t>
      </w:r>
    </w:p>
    <w:p w14:paraId="7B60235E" w14:textId="78271F65" w:rsidR="00DC1D16" w:rsidRPr="00EB2A7A" w:rsidRDefault="00DC1D16" w:rsidP="00E31B2B">
      <w:pPr>
        <w:rPr>
          <w:rFonts w:asciiTheme="majorBidi" w:eastAsia="Batang" w:hAnsiTheme="majorBidi" w:cstheme="majorBidi"/>
          <w:bCs/>
          <w:lang w:val="fr-FR"/>
        </w:rPr>
      </w:pPr>
      <w:r w:rsidRPr="00EB2A7A">
        <w:rPr>
          <w:rFonts w:asciiTheme="majorBidi" w:eastAsia="Batang" w:hAnsiTheme="majorBidi" w:cstheme="majorBidi"/>
          <w:bCs/>
          <w:lang w:val="fr-FR"/>
        </w:rPr>
        <w:t>Certains membres ont estimé qu</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il était important de maintenir le statu quo, selon lequel la participation pleine et entière aux réunions des groupes régionaux est réservée aux États Membres et aux Membres de Secteur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une région.</w:t>
      </w:r>
      <w:r w:rsidRPr="00EB2A7A">
        <w:rPr>
          <w:lang w:val="fr-FR"/>
        </w:rPr>
        <w:t xml:space="preserve"> </w:t>
      </w:r>
      <w:r w:rsidRPr="00EB2A7A">
        <w:rPr>
          <w:rFonts w:asciiTheme="majorBidi" w:eastAsia="Batang" w:hAnsiTheme="majorBidi" w:cstheme="majorBidi"/>
          <w:bCs/>
          <w:lang w:val="fr-FR"/>
        </w:rPr>
        <w:t>De même, ils ont souligné la nécessité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établir un dialogue au niveau régional concernant certains thèmes, selon le mandat de la commission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études. En revanche,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autres membres ont insisté sur 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importance de donner accès au dialogue régional aux organisations internationales présentes dans la région.</w:t>
      </w:r>
    </w:p>
    <w:p w14:paraId="3239C110" w14:textId="4C36C808" w:rsidR="00DC1D16" w:rsidRPr="00EB2A7A" w:rsidRDefault="00DC1D16" w:rsidP="00E31B2B">
      <w:pPr>
        <w:rPr>
          <w:rFonts w:asciiTheme="majorBidi" w:eastAsia="Batang" w:hAnsiTheme="majorBidi" w:cstheme="majorBidi"/>
          <w:bCs/>
          <w:lang w:val="fr-FR"/>
        </w:rPr>
      </w:pPr>
      <w:r w:rsidRPr="00EB2A7A">
        <w:rPr>
          <w:rFonts w:asciiTheme="majorBidi" w:eastAsia="Batang" w:hAnsiTheme="majorBidi" w:cstheme="majorBidi"/>
          <w:bCs/>
          <w:lang w:val="fr-FR"/>
        </w:rPr>
        <w:t>Lors des discussions de la quatrième réunion, le Groupe RG-CPTRG a été informé que le Groupe régional de la Commission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études 3 pour 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Europe et le Bassin méditerranéen (SG3RG-EURM) était inactif depuis plus de deux périodes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études.</w:t>
      </w:r>
    </w:p>
    <w:p w14:paraId="6CB05CA6" w14:textId="4181DB2F" w:rsidR="00DC1D16" w:rsidRPr="00EB2A7A" w:rsidRDefault="00DC1D16" w:rsidP="00E31B2B">
      <w:pPr>
        <w:rPr>
          <w:rFonts w:asciiTheme="majorBidi" w:eastAsia="Batang" w:hAnsiTheme="majorBidi" w:cstheme="majorBidi"/>
          <w:bCs/>
          <w:lang w:val="fr-FR"/>
        </w:rPr>
      </w:pPr>
      <w:r w:rsidRPr="00EB2A7A">
        <w:rPr>
          <w:rFonts w:asciiTheme="majorBidi" w:eastAsia="Batang" w:hAnsiTheme="majorBidi" w:cstheme="majorBidi"/>
          <w:bCs/>
          <w:lang w:val="fr-FR"/>
        </w:rPr>
        <w:t>Les participants ont discuté de la question de savoir si la création de groupes régionaux devait être traitée comme les Questions approuvées par le GCNT dans l</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intervalle entre deux AMNT, ou s</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il fallait maintenir le statu quo selon lequel, comme pour les groupes de travail, la création de groupes régionaux est approuvée par les commissions d</w:t>
      </w:r>
      <w:r w:rsidR="00E31B2B">
        <w:rPr>
          <w:rFonts w:asciiTheme="majorBidi" w:eastAsia="Batang" w:hAnsiTheme="majorBidi" w:cstheme="majorBidi"/>
          <w:bCs/>
          <w:lang w:val="fr-FR"/>
        </w:rPr>
        <w:t>'</w:t>
      </w:r>
      <w:r w:rsidRPr="00EB2A7A">
        <w:rPr>
          <w:rFonts w:asciiTheme="majorBidi" w:eastAsia="Batang" w:hAnsiTheme="majorBidi" w:cstheme="majorBidi"/>
          <w:bCs/>
          <w:lang w:val="fr-FR"/>
        </w:rPr>
        <w:t>études de rattachement.</w:t>
      </w:r>
    </w:p>
    <w:p w14:paraId="44DF4457" w14:textId="144F2F8C" w:rsidR="00DC1D16" w:rsidRPr="00EB2A7A" w:rsidRDefault="00DC1D16" w:rsidP="00E31B2B">
      <w:pPr>
        <w:rPr>
          <w:lang w:val="fr-FR"/>
        </w:rPr>
      </w:pPr>
      <w:r w:rsidRPr="00EB2A7A">
        <w:rPr>
          <w:lang w:val="fr-FR"/>
        </w:rPr>
        <w:t>L</w:t>
      </w:r>
      <w:r w:rsidR="00E31B2B">
        <w:rPr>
          <w:lang w:val="fr-FR"/>
        </w:rPr>
        <w:t>'</w:t>
      </w:r>
      <w:r w:rsidRPr="00EB2A7A">
        <w:rPr>
          <w:lang w:val="fr-FR"/>
        </w:rPr>
        <w:t>Unité des affaires juridiques de l</w:t>
      </w:r>
      <w:r w:rsidR="00E31B2B">
        <w:rPr>
          <w:lang w:val="fr-FR"/>
        </w:rPr>
        <w:t>'</w:t>
      </w:r>
      <w:r w:rsidRPr="00EB2A7A">
        <w:rPr>
          <w:lang w:val="fr-FR"/>
        </w:rPr>
        <w:t>UIT est d</w:t>
      </w:r>
      <w:r w:rsidR="00E31B2B">
        <w:rPr>
          <w:lang w:val="fr-FR"/>
        </w:rPr>
        <w:t>'</w:t>
      </w:r>
      <w:r w:rsidRPr="00EB2A7A">
        <w:rPr>
          <w:lang w:val="fr-FR"/>
        </w:rPr>
        <w:t>avis qu</w:t>
      </w:r>
      <w:r w:rsidR="00E31B2B">
        <w:rPr>
          <w:lang w:val="fr-FR"/>
        </w:rPr>
        <w:t>'</w:t>
      </w:r>
      <w:r w:rsidRPr="00EB2A7A">
        <w:rPr>
          <w:lang w:val="fr-FR"/>
        </w:rPr>
        <w:t>en accordant aux commissions d</w:t>
      </w:r>
      <w:r w:rsidR="00E31B2B">
        <w:rPr>
          <w:lang w:val="fr-FR"/>
        </w:rPr>
        <w:t>'</w:t>
      </w:r>
      <w:r w:rsidRPr="00EB2A7A">
        <w:rPr>
          <w:lang w:val="fr-FR"/>
        </w:rPr>
        <w:t>études de rattachement le pouvoir d</w:t>
      </w:r>
      <w:r w:rsidR="00E31B2B">
        <w:rPr>
          <w:lang w:val="fr-FR"/>
        </w:rPr>
        <w:t>'</w:t>
      </w:r>
      <w:r w:rsidRPr="00EB2A7A">
        <w:rPr>
          <w:lang w:val="fr-FR"/>
        </w:rPr>
        <w:t>élaborer et d</w:t>
      </w:r>
      <w:r w:rsidR="00E31B2B">
        <w:rPr>
          <w:lang w:val="fr-FR"/>
        </w:rPr>
        <w:t>'</w:t>
      </w:r>
      <w:r w:rsidRPr="00EB2A7A">
        <w:rPr>
          <w:lang w:val="fr-FR"/>
        </w:rPr>
        <w:t>approuver le mandat et les méthodes de travail des groupes régionaux, l</w:t>
      </w:r>
      <w:r w:rsidR="00E31B2B">
        <w:rPr>
          <w:lang w:val="fr-FR"/>
        </w:rPr>
        <w:t>'</w:t>
      </w:r>
      <w:r w:rsidRPr="00EB2A7A">
        <w:rPr>
          <w:lang w:val="fr-FR"/>
        </w:rPr>
        <w:t xml:space="preserve">AMNT leur a conféré le pouvoir nécessaire pour créer des groupes régionaux dans les domaines qui les intéressent. Cette interprétation est confirmée par la pratique suivie de longue date par les parties. </w:t>
      </w:r>
    </w:p>
    <w:p w14:paraId="444D9725" w14:textId="0EA5001C" w:rsidR="00DC1D16" w:rsidRPr="00EB2A7A" w:rsidRDefault="00DC1D16" w:rsidP="00E31B2B">
      <w:pPr>
        <w:spacing w:after="120"/>
        <w:rPr>
          <w:lang w:val="fr-FR"/>
        </w:rPr>
      </w:pPr>
      <w:r w:rsidRPr="00EB2A7A">
        <w:rPr>
          <w:lang w:val="fr-FR"/>
        </w:rPr>
        <w:t>Les participants sont convenus qu</w:t>
      </w:r>
      <w:r w:rsidR="00E31B2B">
        <w:rPr>
          <w:lang w:val="fr-FR"/>
        </w:rPr>
        <w:t>'</w:t>
      </w:r>
      <w:r w:rsidRPr="00EB2A7A">
        <w:rPr>
          <w:lang w:val="fr-FR"/>
        </w:rPr>
        <w:t>une décision de l</w:t>
      </w:r>
      <w:r w:rsidR="00E31B2B">
        <w:rPr>
          <w:lang w:val="fr-FR"/>
        </w:rPr>
        <w:t>'</w:t>
      </w:r>
      <w:r w:rsidRPr="00EB2A7A">
        <w:rPr>
          <w:lang w:val="fr-FR"/>
        </w:rPr>
        <w:t>AMNT sur le mécanisme de gouvernance était nécessaire.</w:t>
      </w:r>
    </w:p>
    <w:tbl>
      <w:tblPr>
        <w:tblStyle w:val="TableGrid"/>
        <w:tblW w:w="0" w:type="auto"/>
        <w:tblLook w:val="04A0" w:firstRow="1" w:lastRow="0" w:firstColumn="1" w:lastColumn="0" w:noHBand="0" w:noVBand="1"/>
      </w:tblPr>
      <w:tblGrid>
        <w:gridCol w:w="1410"/>
        <w:gridCol w:w="8219"/>
      </w:tblGrid>
      <w:tr w:rsidR="00DC1D16" w:rsidRPr="00E31B2B" w14:paraId="67C70017" w14:textId="77777777" w:rsidTr="008154FC">
        <w:tc>
          <w:tcPr>
            <w:tcW w:w="1410" w:type="dxa"/>
          </w:tcPr>
          <w:p w14:paraId="6FAC429A" w14:textId="77777777" w:rsidR="00DC1D16" w:rsidRPr="00EB2A7A" w:rsidRDefault="00DC1D16" w:rsidP="00E31B2B">
            <w:pPr>
              <w:rPr>
                <w:rFonts w:asciiTheme="majorBidi" w:eastAsia="Batang" w:hAnsiTheme="majorBidi" w:cstheme="majorBidi"/>
                <w:bCs/>
                <w:lang w:val="fr-FR"/>
              </w:rPr>
            </w:pPr>
            <w:r w:rsidRPr="00EB2A7A">
              <w:rPr>
                <w:rFonts w:eastAsia="Batang"/>
                <w:bCs/>
                <w:i/>
                <w:lang w:val="fr-FR"/>
              </w:rPr>
              <w:t>Objectif 2</w:t>
            </w:r>
          </w:p>
        </w:tc>
        <w:tc>
          <w:tcPr>
            <w:tcW w:w="8219" w:type="dxa"/>
          </w:tcPr>
          <w:p w14:paraId="3E83F7D2" w14:textId="4346DDCE" w:rsidR="00DC1D16" w:rsidRPr="00EB2A7A" w:rsidRDefault="00DC1D16" w:rsidP="00E31B2B">
            <w:pPr>
              <w:spacing w:after="120"/>
              <w:rPr>
                <w:rFonts w:asciiTheme="majorBidi" w:eastAsia="Batang" w:hAnsiTheme="majorBidi" w:cstheme="majorBidi"/>
                <w:bCs/>
                <w:lang w:val="fr-FR"/>
              </w:rPr>
            </w:pPr>
            <w:r w:rsidRPr="00EB2A7A">
              <w:rPr>
                <w:rFonts w:eastAsia="Batang"/>
                <w:bCs/>
                <w:lang w:val="fr-FR"/>
              </w:rPr>
              <w:t>Passer en revue les Résolutions 1, 2, 22 et 54 de l</w:t>
            </w:r>
            <w:r w:rsidR="00E31B2B">
              <w:rPr>
                <w:rFonts w:eastAsia="Batang"/>
                <w:bCs/>
                <w:lang w:val="fr-FR"/>
              </w:rPr>
              <w:t>'</w:t>
            </w:r>
            <w:r w:rsidRPr="00EB2A7A">
              <w:rPr>
                <w:rFonts w:eastAsia="Batang"/>
                <w:bCs/>
                <w:lang w:val="fr-FR"/>
              </w:rPr>
              <w:t xml:space="preserve">AMNT, en vue de les </w:t>
            </w:r>
            <w:r w:rsidRPr="00B21312">
              <w:rPr>
                <w:rFonts w:eastAsia="Batang"/>
                <w:bCs/>
                <w:lang w:val="fr-FR"/>
              </w:rPr>
              <w:t>examiner</w:t>
            </w:r>
            <w:r w:rsidRPr="00EB2A7A">
              <w:rPr>
                <w:rFonts w:eastAsia="Batang"/>
                <w:bCs/>
                <w:lang w:val="fr-FR"/>
              </w:rPr>
              <w:t xml:space="preserve"> et de les réviser, selon le cas, </w:t>
            </w:r>
            <w:r w:rsidRPr="00EB2A7A">
              <w:rPr>
                <w:color w:val="000000"/>
                <w:lang w:val="fr-FR"/>
              </w:rPr>
              <w:t xml:space="preserve">pour </w:t>
            </w:r>
            <w:r w:rsidRPr="00EB2A7A">
              <w:rPr>
                <w:rFonts w:eastAsia="Batang"/>
                <w:bCs/>
                <w:lang w:val="fr-FR"/>
              </w:rPr>
              <w:t>clarifier les critères régissant la création de groupes régionaux et leur dissolution et présenter un rapport au GCNT.</w:t>
            </w:r>
          </w:p>
        </w:tc>
      </w:tr>
    </w:tbl>
    <w:p w14:paraId="585B5329" w14:textId="13490424" w:rsidR="00DC1D16" w:rsidRPr="00EB2A7A" w:rsidRDefault="00DC1D16" w:rsidP="00E31B2B">
      <w:pPr>
        <w:rPr>
          <w:lang w:val="fr-FR"/>
        </w:rPr>
      </w:pPr>
      <w:r w:rsidRPr="00EB2A7A">
        <w:rPr>
          <w:lang w:val="fr-FR"/>
        </w:rPr>
        <w:t xml:space="preserve">Les participants ont noté que le Document </w:t>
      </w:r>
      <w:hyperlink r:id="rId192" w:history="1">
        <w:r w:rsidRPr="00EB2A7A">
          <w:rPr>
            <w:rStyle w:val="Hyperlink"/>
            <w:lang w:val="fr-FR"/>
          </w:rPr>
          <w:t>TSAG-C115</w:t>
        </w:r>
      </w:hyperlink>
      <w:r w:rsidRPr="00EB2A7A">
        <w:rPr>
          <w:lang w:val="fr-FR"/>
        </w:rPr>
        <w:t>, qui est un projet de proposition interaméricaine de la CITEL sur les groupes régionaux des commissions d</w:t>
      </w:r>
      <w:r w:rsidR="00E31B2B">
        <w:rPr>
          <w:lang w:val="fr-FR"/>
        </w:rPr>
        <w:t>'</w:t>
      </w:r>
      <w:r w:rsidRPr="00EB2A7A">
        <w:rPr>
          <w:lang w:val="fr-FR"/>
        </w:rPr>
        <w:t>études de l</w:t>
      </w:r>
      <w:r w:rsidR="00E31B2B">
        <w:rPr>
          <w:lang w:val="fr-FR"/>
        </w:rPr>
        <w:t>'</w:t>
      </w:r>
      <w:r w:rsidRPr="00EB2A7A">
        <w:rPr>
          <w:lang w:val="fr-FR"/>
        </w:rPr>
        <w:t>UIT-T (révision de la Résolution 54 de l</w:t>
      </w:r>
      <w:r w:rsidR="00E31B2B">
        <w:rPr>
          <w:lang w:val="fr-FR"/>
        </w:rPr>
        <w:t>'</w:t>
      </w:r>
      <w:r w:rsidRPr="00EB2A7A">
        <w:rPr>
          <w:lang w:val="fr-FR"/>
        </w:rPr>
        <w:t>AMNT), avait été présenté par les États-Unis d</w:t>
      </w:r>
      <w:r w:rsidR="00E31B2B">
        <w:rPr>
          <w:lang w:val="fr-FR"/>
        </w:rPr>
        <w:t>'</w:t>
      </w:r>
      <w:r w:rsidRPr="00EB2A7A">
        <w:rPr>
          <w:lang w:val="fr-FR"/>
        </w:rPr>
        <w:t>Amérique à la réunion pour information, la révision étant toujours à l</w:t>
      </w:r>
      <w:r w:rsidR="00E31B2B">
        <w:rPr>
          <w:lang w:val="fr-FR"/>
        </w:rPr>
        <w:t>'</w:t>
      </w:r>
      <w:r w:rsidRPr="00EB2A7A">
        <w:rPr>
          <w:lang w:val="fr-FR"/>
        </w:rPr>
        <w:t>étude à la CITEL.</w:t>
      </w:r>
    </w:p>
    <w:p w14:paraId="42923FCF" w14:textId="2BBA70A9" w:rsidR="00DC1D16" w:rsidRPr="00EB2A7A" w:rsidRDefault="00DC1D16" w:rsidP="00E31B2B">
      <w:pPr>
        <w:spacing w:after="120"/>
        <w:rPr>
          <w:lang w:val="fr-FR"/>
        </w:rPr>
      </w:pPr>
      <w:r w:rsidRPr="00EB2A7A">
        <w:rPr>
          <w:lang w:val="fr-FR"/>
        </w:rPr>
        <w:lastRenderedPageBreak/>
        <w:t>Les participants sont convenus que les contributions et les propositions de modification des Résolutions pertinentes seraient examinées par l</w:t>
      </w:r>
      <w:r w:rsidR="00E31B2B">
        <w:rPr>
          <w:lang w:val="fr-FR"/>
        </w:rPr>
        <w:t>'</w:t>
      </w:r>
      <w:r w:rsidRPr="00EB2A7A">
        <w:rPr>
          <w:lang w:val="fr-FR"/>
        </w:rPr>
        <w:t>AMNT-20</w:t>
      </w:r>
      <w:r w:rsidRPr="00EB2A7A">
        <w:rPr>
          <w:rFonts w:asciiTheme="majorBidi" w:eastAsia="Batang" w:hAnsiTheme="majorBidi" w:cstheme="majorBidi"/>
          <w:bCs/>
          <w:lang w:val="fr-FR"/>
        </w:rPr>
        <w:t>.</w:t>
      </w:r>
    </w:p>
    <w:tbl>
      <w:tblPr>
        <w:tblStyle w:val="TableGrid"/>
        <w:tblW w:w="0" w:type="auto"/>
        <w:tblLook w:val="04A0" w:firstRow="1" w:lastRow="0" w:firstColumn="1" w:lastColumn="0" w:noHBand="0" w:noVBand="1"/>
      </w:tblPr>
      <w:tblGrid>
        <w:gridCol w:w="1410"/>
        <w:gridCol w:w="8219"/>
      </w:tblGrid>
      <w:tr w:rsidR="00DC1D16" w:rsidRPr="00E31B2B" w14:paraId="3633DEE9" w14:textId="77777777" w:rsidTr="008154FC">
        <w:tc>
          <w:tcPr>
            <w:tcW w:w="1410" w:type="dxa"/>
          </w:tcPr>
          <w:p w14:paraId="7FA6C1F6" w14:textId="77777777" w:rsidR="00DC1D16" w:rsidRPr="00EB2A7A" w:rsidRDefault="00DC1D16" w:rsidP="00E31B2B">
            <w:pPr>
              <w:keepNext/>
              <w:keepLines/>
              <w:spacing w:after="120"/>
              <w:rPr>
                <w:rFonts w:asciiTheme="majorBidi" w:eastAsia="Batang" w:hAnsiTheme="majorBidi" w:cstheme="majorBidi"/>
                <w:bCs/>
                <w:lang w:val="fr-FR"/>
              </w:rPr>
            </w:pPr>
            <w:r w:rsidRPr="00EB2A7A">
              <w:rPr>
                <w:rFonts w:eastAsia="Batang"/>
                <w:bCs/>
                <w:i/>
                <w:lang w:val="fr-FR"/>
              </w:rPr>
              <w:t>Objectif 3</w:t>
            </w:r>
          </w:p>
        </w:tc>
        <w:tc>
          <w:tcPr>
            <w:tcW w:w="8219" w:type="dxa"/>
          </w:tcPr>
          <w:p w14:paraId="3B6BEB6F" w14:textId="1005F334" w:rsidR="00DC1D16" w:rsidRPr="00EB2A7A" w:rsidRDefault="00DC1D16" w:rsidP="00E31B2B">
            <w:pPr>
              <w:keepNext/>
              <w:keepLines/>
              <w:spacing w:after="120"/>
              <w:rPr>
                <w:rFonts w:asciiTheme="majorBidi" w:eastAsia="Batang" w:hAnsiTheme="majorBidi" w:cstheme="majorBidi"/>
                <w:bCs/>
                <w:lang w:val="fr-FR"/>
              </w:rPr>
            </w:pPr>
            <w:r w:rsidRPr="00EB2A7A">
              <w:rPr>
                <w:rFonts w:eastAsia="Batang"/>
                <w:bCs/>
                <w:lang w:val="fr-FR"/>
              </w:rPr>
              <w:t>Dans le contexte de l</w:t>
            </w:r>
            <w:r w:rsidR="00E31B2B">
              <w:rPr>
                <w:rFonts w:eastAsia="Batang"/>
                <w:bCs/>
                <w:lang w:val="fr-FR"/>
              </w:rPr>
              <w:t>'</w:t>
            </w:r>
            <w:r w:rsidRPr="00EB2A7A">
              <w:rPr>
                <w:rFonts w:eastAsia="Batang"/>
                <w:bCs/>
                <w:lang w:val="fr-FR"/>
              </w:rPr>
              <w:t>article 3 de la Constitution de l</w:t>
            </w:r>
            <w:r w:rsidR="00E31B2B">
              <w:rPr>
                <w:rFonts w:eastAsia="Batang"/>
                <w:bCs/>
                <w:lang w:val="fr-FR"/>
              </w:rPr>
              <w:t>'</w:t>
            </w:r>
            <w:r w:rsidRPr="00EB2A7A">
              <w:rPr>
                <w:rFonts w:eastAsia="Batang"/>
                <w:bCs/>
                <w:lang w:val="fr-FR"/>
              </w:rPr>
              <w:t>UIT, passer en revue les Résolutions 1, 2, 22 et 54 de l</w:t>
            </w:r>
            <w:r w:rsidR="00E31B2B">
              <w:rPr>
                <w:rFonts w:eastAsia="Batang"/>
                <w:bCs/>
                <w:lang w:val="fr-FR"/>
              </w:rPr>
              <w:t>'</w:t>
            </w:r>
            <w:r w:rsidRPr="00EB2A7A">
              <w:rPr>
                <w:rFonts w:eastAsia="Batang"/>
                <w:bCs/>
                <w:lang w:val="fr-FR"/>
              </w:rPr>
              <w:t xml:space="preserve">AMNT, en vue de les </w:t>
            </w:r>
            <w:r w:rsidRPr="00B21312">
              <w:rPr>
                <w:rFonts w:eastAsia="Batang"/>
                <w:bCs/>
                <w:lang w:val="fr-FR"/>
              </w:rPr>
              <w:t>examiner</w:t>
            </w:r>
            <w:r w:rsidRPr="00EB2A7A">
              <w:rPr>
                <w:rFonts w:eastAsia="Batang"/>
                <w:bCs/>
                <w:lang w:val="fr-FR"/>
              </w:rPr>
              <w:t xml:space="preserve"> et de les réviser, selon le cas, pour clarifier les critères régissant la participation aux réunions des groupes régionaux et présenter un rapport au GCNT.</w:t>
            </w:r>
          </w:p>
        </w:tc>
      </w:tr>
    </w:tbl>
    <w:p w14:paraId="7EFB6576" w14:textId="29E2C276" w:rsidR="00DC1D16" w:rsidRPr="00EB2A7A" w:rsidRDefault="00DC1D16" w:rsidP="00E31B2B">
      <w:pPr>
        <w:keepNext/>
        <w:keepLines/>
        <w:tabs>
          <w:tab w:val="left" w:pos="720"/>
        </w:tabs>
        <w:rPr>
          <w:lang w:val="fr-FR"/>
        </w:rPr>
      </w:pPr>
      <w:r w:rsidRPr="00EB2A7A">
        <w:rPr>
          <w:lang w:val="fr-FR"/>
        </w:rPr>
        <w:t>L</w:t>
      </w:r>
      <w:r w:rsidR="00E31B2B">
        <w:rPr>
          <w:lang w:val="fr-FR"/>
        </w:rPr>
        <w:t>'</w:t>
      </w:r>
      <w:r w:rsidRPr="00EB2A7A">
        <w:rPr>
          <w:lang w:val="fr-FR"/>
        </w:rPr>
        <w:t>Unité des affaires juridiques de l</w:t>
      </w:r>
      <w:r w:rsidR="00E31B2B">
        <w:rPr>
          <w:lang w:val="fr-FR"/>
        </w:rPr>
        <w:t>'</w:t>
      </w:r>
      <w:r w:rsidRPr="00EB2A7A">
        <w:rPr>
          <w:lang w:val="fr-FR"/>
        </w:rPr>
        <w:t>UIT est d</w:t>
      </w:r>
      <w:r w:rsidR="00E31B2B">
        <w:rPr>
          <w:lang w:val="fr-FR"/>
        </w:rPr>
        <w:t>'</w:t>
      </w:r>
      <w:r w:rsidRPr="00EB2A7A">
        <w:rPr>
          <w:lang w:val="fr-FR"/>
        </w:rPr>
        <w:t>avis que les États Membres et les Membres de Secteur qui ne sont pas issus de la région concernée ont le droit d</w:t>
      </w:r>
      <w:r w:rsidR="00E31B2B">
        <w:rPr>
          <w:lang w:val="fr-FR"/>
        </w:rPr>
        <w:t>'</w:t>
      </w:r>
      <w:r w:rsidRPr="00EB2A7A">
        <w:rPr>
          <w:lang w:val="fr-FR"/>
        </w:rPr>
        <w:t>assister aux réunions régionales pertinentes en qualité d</w:t>
      </w:r>
      <w:r w:rsidR="00E31B2B">
        <w:rPr>
          <w:lang w:val="fr-FR"/>
        </w:rPr>
        <w:t>'</w:t>
      </w:r>
      <w:r w:rsidRPr="00EB2A7A">
        <w:rPr>
          <w:lang w:val="fr-FR"/>
        </w:rPr>
        <w:t>observateurs.</w:t>
      </w:r>
    </w:p>
    <w:p w14:paraId="0D705163" w14:textId="08A49D14" w:rsidR="00DC1D16" w:rsidRPr="00EB2A7A" w:rsidRDefault="00DC1D16" w:rsidP="00E31B2B">
      <w:pPr>
        <w:keepNext/>
        <w:keepLines/>
        <w:tabs>
          <w:tab w:val="left" w:pos="720"/>
        </w:tabs>
        <w:rPr>
          <w:lang w:val="fr-FR"/>
        </w:rPr>
      </w:pPr>
      <w:r w:rsidRPr="00EB2A7A">
        <w:rPr>
          <w:lang w:val="fr-FR"/>
        </w:rPr>
        <w:t>Il a également été demandé à l</w:t>
      </w:r>
      <w:r w:rsidR="00E31B2B">
        <w:rPr>
          <w:lang w:val="fr-FR"/>
        </w:rPr>
        <w:t>'</w:t>
      </w:r>
      <w:r w:rsidRPr="00EB2A7A">
        <w:rPr>
          <w:lang w:val="fr-FR"/>
        </w:rPr>
        <w:t>Unité des affaires juridiques de l</w:t>
      </w:r>
      <w:r w:rsidR="00E31B2B">
        <w:rPr>
          <w:lang w:val="fr-FR"/>
        </w:rPr>
        <w:t>'</w:t>
      </w:r>
      <w:r w:rsidRPr="00EB2A7A">
        <w:rPr>
          <w:lang w:val="fr-FR"/>
        </w:rPr>
        <w:t xml:space="preserve">UIT de préciser pourquoi le Document </w:t>
      </w:r>
      <w:hyperlink r:id="rId193" w:history="1">
        <w:r w:rsidRPr="00EB2A7A">
          <w:rPr>
            <w:rStyle w:val="Hyperlink"/>
            <w:bCs/>
            <w:lang w:val="fr-FR"/>
          </w:rPr>
          <w:t>TSAG-TD577</w:t>
        </w:r>
      </w:hyperlink>
      <w:r w:rsidRPr="00EB2A7A">
        <w:rPr>
          <w:rStyle w:val="Hyperlink"/>
          <w:bCs/>
          <w:u w:val="none"/>
          <w:lang w:val="fr-FR"/>
        </w:rPr>
        <w:t xml:space="preserve"> </w:t>
      </w:r>
      <w:r w:rsidRPr="00EB2A7A">
        <w:rPr>
          <w:lang w:val="fr-FR"/>
        </w:rPr>
        <w:t>ne contenait pas d</w:t>
      </w:r>
      <w:r w:rsidR="00E31B2B">
        <w:rPr>
          <w:lang w:val="fr-FR"/>
        </w:rPr>
        <w:t>'</w:t>
      </w:r>
      <w:r w:rsidRPr="00EB2A7A">
        <w:rPr>
          <w:lang w:val="fr-FR"/>
        </w:rPr>
        <w:t>avis concernant les organisations intergouvernementales régionales, les organisations intergouvernementales exploitant des systèmes à satellites, ainsi que les organisations régionales et autres organisations internationales de télécommunication, de normalisation, de financement ou de développement, comme indiqué aux numéros 269B, 269C et 231de la Convention de l</w:t>
      </w:r>
      <w:r w:rsidR="00E31B2B">
        <w:rPr>
          <w:lang w:val="fr-FR"/>
        </w:rPr>
        <w:t>'</w:t>
      </w:r>
      <w:r w:rsidRPr="00EB2A7A">
        <w:rPr>
          <w:lang w:val="fr-FR"/>
        </w:rPr>
        <w:t>UIT. L</w:t>
      </w:r>
      <w:r w:rsidR="00E31B2B">
        <w:rPr>
          <w:lang w:val="fr-FR"/>
        </w:rPr>
        <w:t>'</w:t>
      </w:r>
      <w:r w:rsidRPr="00EB2A7A">
        <w:rPr>
          <w:lang w:val="fr-FR"/>
        </w:rPr>
        <w:t>Unité des affaires juridiques de l</w:t>
      </w:r>
      <w:r w:rsidR="00E31B2B">
        <w:rPr>
          <w:lang w:val="fr-FR"/>
        </w:rPr>
        <w:t>'</w:t>
      </w:r>
      <w:r w:rsidRPr="00EB2A7A">
        <w:rPr>
          <w:lang w:val="fr-FR"/>
        </w:rPr>
        <w:t>UIT a expliqué que les dispositions en question n</w:t>
      </w:r>
      <w:r w:rsidR="00E31B2B">
        <w:rPr>
          <w:lang w:val="fr-FR"/>
        </w:rPr>
        <w:t>'</w:t>
      </w:r>
      <w:r w:rsidRPr="00EB2A7A">
        <w:rPr>
          <w:lang w:val="fr-FR"/>
        </w:rPr>
        <w:t>établissaient pas de catégories de membres de l</w:t>
      </w:r>
      <w:r w:rsidR="00E31B2B">
        <w:rPr>
          <w:lang w:val="fr-FR"/>
        </w:rPr>
        <w:t>'</w:t>
      </w:r>
      <w:r w:rsidRPr="00EB2A7A">
        <w:rPr>
          <w:lang w:val="fr-FR"/>
        </w:rPr>
        <w:t>UIT distinctes pour ces organisations et que dans le Document TSAG-TD577, les droits de participation n</w:t>
      </w:r>
      <w:r w:rsidR="00E31B2B">
        <w:rPr>
          <w:lang w:val="fr-FR"/>
        </w:rPr>
        <w:t>'</w:t>
      </w:r>
      <w:r w:rsidRPr="00EB2A7A">
        <w:rPr>
          <w:lang w:val="fr-FR"/>
        </w:rPr>
        <w:t>étaient examinés qu</w:t>
      </w:r>
      <w:r w:rsidR="00E31B2B">
        <w:rPr>
          <w:lang w:val="fr-FR"/>
        </w:rPr>
        <w:t>'</w:t>
      </w:r>
      <w:r w:rsidRPr="00EB2A7A">
        <w:rPr>
          <w:lang w:val="fr-FR"/>
        </w:rPr>
        <w:t>au regard des possibilités existantes de participation aux activités de l</w:t>
      </w:r>
      <w:r w:rsidR="00E31B2B">
        <w:rPr>
          <w:lang w:val="fr-FR"/>
        </w:rPr>
        <w:t>'</w:t>
      </w:r>
      <w:r w:rsidRPr="00EB2A7A">
        <w:rPr>
          <w:lang w:val="fr-FR"/>
        </w:rPr>
        <w:t>Union, comme indiqué dans les textes fondamentaux: États Membres (article 2 de la Constitution), Membres des Secteurs (article 3 de la Constitution), Associés (numéro 241A de la Convention) et établissements universitaires (Résolution 169 de la Conférence de plénipotentiaires). Par conséquent, dans le cadre actuel, le droit desdites organisations de participer aux travaux des groupes régionaux des commissions d</w:t>
      </w:r>
      <w:r w:rsidR="00E31B2B">
        <w:rPr>
          <w:lang w:val="fr-FR"/>
        </w:rPr>
        <w:t>'</w:t>
      </w:r>
      <w:r w:rsidRPr="00EB2A7A">
        <w:rPr>
          <w:lang w:val="fr-FR"/>
        </w:rPr>
        <w:t>études de l</w:t>
      </w:r>
      <w:r w:rsidR="00E31B2B">
        <w:rPr>
          <w:lang w:val="fr-FR"/>
        </w:rPr>
        <w:t>'</w:t>
      </w:r>
      <w:r w:rsidRPr="00EB2A7A">
        <w:rPr>
          <w:lang w:val="fr-FR"/>
        </w:rPr>
        <w:t>UIT-T dépend de leur adhésion à l</w:t>
      </w:r>
      <w:r w:rsidR="00E31B2B">
        <w:rPr>
          <w:lang w:val="fr-FR"/>
        </w:rPr>
        <w:t>'</w:t>
      </w:r>
      <w:r w:rsidRPr="00EB2A7A">
        <w:rPr>
          <w:lang w:val="fr-FR"/>
        </w:rPr>
        <w:t>UIT-T.</w:t>
      </w:r>
    </w:p>
    <w:p w14:paraId="28EEFDA3" w14:textId="77777777" w:rsidR="00DC1D16" w:rsidRPr="00EB2A7A" w:rsidRDefault="00DC1D16" w:rsidP="00E31B2B">
      <w:pPr>
        <w:pStyle w:val="Heading1"/>
        <w:rPr>
          <w:lang w:val="fr-FR"/>
        </w:rPr>
      </w:pPr>
      <w:bookmarkStart w:id="96" w:name="_Toc94876353"/>
      <w:r w:rsidRPr="00EB2A7A">
        <w:rPr>
          <w:lang w:val="fr-FR"/>
        </w:rPr>
        <w:t>5</w:t>
      </w:r>
      <w:r w:rsidRPr="00EB2A7A">
        <w:rPr>
          <w:lang w:val="fr-FR"/>
        </w:rPr>
        <w:tab/>
        <w:t>Conclusion</w:t>
      </w:r>
      <w:bookmarkEnd w:id="96"/>
    </w:p>
    <w:p w14:paraId="7385124E" w14:textId="1D8A5B38" w:rsidR="00DC1D16" w:rsidRPr="00EB2A7A" w:rsidRDefault="00DC1D16" w:rsidP="00E31B2B">
      <w:pPr>
        <w:rPr>
          <w:lang w:val="fr-FR"/>
        </w:rPr>
      </w:pPr>
      <w:r w:rsidRPr="00EB2A7A">
        <w:rPr>
          <w:rFonts w:eastAsia="Batang"/>
          <w:bCs/>
          <w:lang w:val="fr-FR"/>
        </w:rPr>
        <w:t>Les participants à la réunion du Groupe RG-CPTRG tenue le mardi 11 février 2020 sont convenus que les objectifs fixés dans le mandat avaient été atteints et qu</w:t>
      </w:r>
      <w:r w:rsidR="00E31B2B">
        <w:rPr>
          <w:rFonts w:eastAsia="Batang"/>
          <w:bCs/>
          <w:lang w:val="fr-FR"/>
        </w:rPr>
        <w:t>'</w:t>
      </w:r>
      <w:r w:rsidRPr="00EB2A7A">
        <w:rPr>
          <w:rFonts w:eastAsia="Batang"/>
          <w:bCs/>
          <w:lang w:val="fr-FR"/>
        </w:rPr>
        <w:t>aucune autre réunion n</w:t>
      </w:r>
      <w:r w:rsidR="00E31B2B">
        <w:rPr>
          <w:rFonts w:eastAsia="Batang"/>
          <w:bCs/>
          <w:lang w:val="fr-FR"/>
        </w:rPr>
        <w:t>'</w:t>
      </w:r>
      <w:r w:rsidRPr="00EB2A7A">
        <w:rPr>
          <w:rFonts w:eastAsia="Batang"/>
          <w:bCs/>
          <w:lang w:val="fr-FR"/>
        </w:rPr>
        <w:t xml:space="preserve">était nécessaire. Il a été décidé, lors de la quatrième réunion, de soumettre le présent rapport au GCNT, conformément au mandat du Groupe et en vue de la dissolution du Groupe RG-CPTRG. </w:t>
      </w:r>
    </w:p>
    <w:p w14:paraId="531C2E19" w14:textId="77777777" w:rsidR="00DC1D16" w:rsidRPr="00EB2A7A" w:rsidRDefault="00DC1D16" w:rsidP="00E31B2B">
      <w:pPr>
        <w:rPr>
          <w:lang w:val="fr-FR"/>
        </w:rPr>
      </w:pPr>
      <w:r w:rsidRPr="00EB2A7A">
        <w:rPr>
          <w:lang w:val="fr-FR"/>
        </w:rPr>
        <w:br w:type="page"/>
      </w:r>
    </w:p>
    <w:p w14:paraId="7B216758" w14:textId="314BC66A" w:rsidR="00DC1D16" w:rsidRPr="00EB2A7A" w:rsidRDefault="00DC1D16" w:rsidP="00E31B2B">
      <w:pPr>
        <w:pStyle w:val="Appendixtitle"/>
        <w:rPr>
          <w:lang w:val="fr-FR"/>
        </w:rPr>
      </w:pPr>
      <w:bookmarkStart w:id="97" w:name="_Toc94876354"/>
      <w:bookmarkStart w:id="98" w:name="_Toc93408229"/>
      <w:r w:rsidRPr="00EB2A7A">
        <w:rPr>
          <w:lang w:val="fr-FR"/>
        </w:rPr>
        <w:lastRenderedPageBreak/>
        <w:t>Appendice I du Document 23 de l</w:t>
      </w:r>
      <w:r w:rsidR="00E31B2B">
        <w:rPr>
          <w:lang w:val="fr-FR"/>
        </w:rPr>
        <w:t>'</w:t>
      </w:r>
      <w:r w:rsidRPr="00EB2A7A">
        <w:rPr>
          <w:lang w:val="fr-FR"/>
        </w:rPr>
        <w:t xml:space="preserve">AMNT-20 </w:t>
      </w:r>
      <w:r w:rsidRPr="00EB2A7A">
        <w:rPr>
          <w:lang w:val="fr-FR"/>
        </w:rPr>
        <w:br/>
      </w:r>
      <w:r w:rsidRPr="00EB2A7A">
        <w:rPr>
          <w:lang w:val="fr-FR"/>
        </w:rPr>
        <w:br/>
        <w:t>Projet de plan d</w:t>
      </w:r>
      <w:r w:rsidR="00E31B2B">
        <w:rPr>
          <w:lang w:val="fr-FR"/>
        </w:rPr>
        <w:t>'</w:t>
      </w:r>
      <w:r w:rsidRPr="00EB2A7A">
        <w:rPr>
          <w:lang w:val="fr-FR"/>
        </w:rPr>
        <w:t>action aux fins de l</w:t>
      </w:r>
      <w:r w:rsidR="00E31B2B">
        <w:rPr>
          <w:lang w:val="fr-FR"/>
        </w:rPr>
        <w:t>'</w:t>
      </w:r>
      <w:r w:rsidRPr="00EB2A7A">
        <w:rPr>
          <w:lang w:val="fr-FR"/>
        </w:rPr>
        <w:t>an</w:t>
      </w:r>
      <w:r>
        <w:rPr>
          <w:lang w:val="fr-FR"/>
        </w:rPr>
        <w:t>alyse de la restructuration des </w:t>
      </w:r>
      <w:r w:rsidRPr="00EB2A7A">
        <w:rPr>
          <w:lang w:val="fr-FR"/>
        </w:rPr>
        <w:t>commissions d</w:t>
      </w:r>
      <w:r w:rsidR="00E31B2B">
        <w:rPr>
          <w:lang w:val="fr-FR"/>
        </w:rPr>
        <w:t>'</w:t>
      </w:r>
      <w:r w:rsidRPr="00EB2A7A">
        <w:rPr>
          <w:lang w:val="fr-FR"/>
        </w:rPr>
        <w:t>études de l</w:t>
      </w:r>
      <w:r w:rsidR="00E31B2B">
        <w:rPr>
          <w:lang w:val="fr-FR"/>
        </w:rPr>
        <w:t>'</w:t>
      </w:r>
      <w:r w:rsidRPr="00EB2A7A">
        <w:rPr>
          <w:lang w:val="fr-FR"/>
        </w:rPr>
        <w:t>UIT-T</w:t>
      </w:r>
      <w:bookmarkEnd w:id="97"/>
      <w:r w:rsidRPr="00EB2A7A">
        <w:rPr>
          <w:lang w:val="fr-FR"/>
        </w:rPr>
        <w:t xml:space="preserve"> </w:t>
      </w:r>
    </w:p>
    <w:p w14:paraId="4B869B3F" w14:textId="77777777" w:rsidR="00DC1D16" w:rsidRPr="00EB2A7A" w:rsidRDefault="00DC1D16" w:rsidP="00E31B2B">
      <w:pPr>
        <w:pStyle w:val="Heading2"/>
        <w:rPr>
          <w:lang w:val="fr-FR"/>
        </w:rPr>
      </w:pPr>
      <w:bookmarkStart w:id="99" w:name="_Toc94876355"/>
      <w:bookmarkEnd w:id="98"/>
      <w:r w:rsidRPr="00EB2A7A">
        <w:rPr>
          <w:lang w:val="fr-FR"/>
        </w:rPr>
        <w:t>I.1</w:t>
      </w:r>
      <w:r w:rsidRPr="00EB2A7A">
        <w:rPr>
          <w:lang w:val="fr-FR"/>
        </w:rPr>
        <w:tab/>
        <w:t>Introduction</w:t>
      </w:r>
      <w:bookmarkEnd w:id="99"/>
    </w:p>
    <w:p w14:paraId="05FE9888" w14:textId="7F2F69D5" w:rsidR="00DC1D16" w:rsidRPr="00EB2A7A" w:rsidRDefault="00DC1D16" w:rsidP="00E31B2B">
      <w:pPr>
        <w:rPr>
          <w:lang w:val="fr-FR"/>
        </w:rPr>
      </w:pPr>
      <w:r w:rsidRPr="00EB2A7A">
        <w:rPr>
          <w:lang w:val="fr-FR"/>
        </w:rPr>
        <w:t>Le présent plan d</w:t>
      </w:r>
      <w:r w:rsidR="00E31B2B">
        <w:rPr>
          <w:lang w:val="fr-FR"/>
        </w:rPr>
        <w:t>'</w:t>
      </w:r>
      <w:r w:rsidRPr="00EB2A7A">
        <w:rPr>
          <w:lang w:val="fr-FR"/>
        </w:rPr>
        <w:t>action</w:t>
      </w:r>
      <w:r w:rsidR="000F2B29">
        <w:rPr>
          <w:lang w:val="fr-FR"/>
        </w:rPr>
        <w:t xml:space="preserve"> a pour objet de procéder à</w:t>
      </w:r>
      <w:r w:rsidR="00E31B2B">
        <w:rPr>
          <w:lang w:val="fr-FR"/>
        </w:rPr>
        <w:t xml:space="preserve"> </w:t>
      </w:r>
      <w:r w:rsidRPr="00EB2A7A">
        <w:rPr>
          <w:lang w:val="fr-FR"/>
        </w:rPr>
        <w:t>un examen approfondi des possibilités de restructuration de l</w:t>
      </w:r>
      <w:r w:rsidR="00E31B2B">
        <w:rPr>
          <w:lang w:val="fr-FR"/>
        </w:rPr>
        <w:t>'</w:t>
      </w:r>
      <w:r w:rsidRPr="00EB2A7A">
        <w:rPr>
          <w:lang w:val="fr-FR"/>
        </w:rPr>
        <w:t>UIT-T, fondé sur une analyse empirique, en vue de rendre l</w:t>
      </w:r>
      <w:r w:rsidR="00E31B2B">
        <w:rPr>
          <w:lang w:val="fr-FR"/>
        </w:rPr>
        <w:t>'</w:t>
      </w:r>
      <w:r w:rsidRPr="00EB2A7A">
        <w:rPr>
          <w:lang w:val="fr-FR"/>
        </w:rPr>
        <w:t>UIT</w:t>
      </w:r>
      <w:r w:rsidRPr="00EB2A7A">
        <w:rPr>
          <w:lang w:val="fr-FR"/>
        </w:rPr>
        <w:noBreakHyphen/>
        <w:t>T plus efficace, efficient, en adéquation avec sa mission, tourné vers l</w:t>
      </w:r>
      <w:r w:rsidR="00E31B2B">
        <w:rPr>
          <w:lang w:val="fr-FR"/>
        </w:rPr>
        <w:t>'</w:t>
      </w:r>
      <w:r w:rsidRPr="00EB2A7A">
        <w:rPr>
          <w:lang w:val="fr-FR"/>
        </w:rPr>
        <w:t>avenir et inclusif. Il est axé sur la façon concrète de procéder à l</w:t>
      </w:r>
      <w:r w:rsidR="00E31B2B">
        <w:rPr>
          <w:lang w:val="fr-FR"/>
        </w:rPr>
        <w:t>'</w:t>
      </w:r>
      <w:r w:rsidRPr="00EB2A7A">
        <w:rPr>
          <w:lang w:val="fr-FR"/>
        </w:rPr>
        <w:t>analyse de la structure de l</w:t>
      </w:r>
      <w:r w:rsidR="00E31B2B">
        <w:rPr>
          <w:lang w:val="fr-FR"/>
        </w:rPr>
        <w:t>'</w:t>
      </w:r>
      <w:r w:rsidRPr="00EB2A7A">
        <w:rPr>
          <w:lang w:val="fr-FR"/>
        </w:rPr>
        <w:t>UIT-T</w:t>
      </w:r>
      <w:r w:rsidR="000F2B29">
        <w:rPr>
          <w:lang w:val="fr-FR"/>
        </w:rPr>
        <w:t xml:space="preserve">, afin que </w:t>
      </w:r>
      <w:r w:rsidR="000F2B29" w:rsidRPr="00EB2A7A">
        <w:rPr>
          <w:lang w:val="fr-FR"/>
        </w:rPr>
        <w:t>l</w:t>
      </w:r>
      <w:r w:rsidR="00E31B2B">
        <w:rPr>
          <w:lang w:val="fr-FR"/>
        </w:rPr>
        <w:t>'</w:t>
      </w:r>
      <w:r w:rsidR="000F2B29" w:rsidRPr="00EB2A7A">
        <w:rPr>
          <w:lang w:val="fr-FR"/>
        </w:rPr>
        <w:t>AMNT-24</w:t>
      </w:r>
      <w:r w:rsidRPr="00EB2A7A">
        <w:rPr>
          <w:lang w:val="fr-FR"/>
        </w:rPr>
        <w:t xml:space="preserve"> </w:t>
      </w:r>
      <w:r w:rsidR="000F2B29">
        <w:rPr>
          <w:lang w:val="fr-FR"/>
        </w:rPr>
        <w:t>approuve</w:t>
      </w:r>
      <w:r w:rsidR="00E31B2B">
        <w:rPr>
          <w:lang w:val="fr-FR"/>
        </w:rPr>
        <w:t xml:space="preserve"> </w:t>
      </w:r>
      <w:r w:rsidRPr="00EB2A7A">
        <w:rPr>
          <w:lang w:val="fr-FR"/>
        </w:rPr>
        <w:t>éventuelle</w:t>
      </w:r>
      <w:r w:rsidR="000F2B29">
        <w:rPr>
          <w:lang w:val="fr-FR"/>
        </w:rPr>
        <w:t>ment</w:t>
      </w:r>
      <w:r w:rsidR="00E31B2B">
        <w:rPr>
          <w:lang w:val="fr-FR"/>
        </w:rPr>
        <w:t xml:space="preserve"> la restructuration</w:t>
      </w:r>
      <w:r w:rsidRPr="00EB2A7A">
        <w:rPr>
          <w:lang w:val="fr-FR"/>
        </w:rPr>
        <w:t xml:space="preserve">, </w:t>
      </w:r>
      <w:r w:rsidR="000F2B29">
        <w:rPr>
          <w:lang w:val="fr-FR"/>
        </w:rPr>
        <w:t>au lieu</w:t>
      </w:r>
      <w:r w:rsidR="00E31B2B">
        <w:rPr>
          <w:lang w:val="fr-FR"/>
        </w:rPr>
        <w:t xml:space="preserve"> </w:t>
      </w:r>
      <w:r w:rsidR="000F2B29">
        <w:rPr>
          <w:lang w:val="fr-FR"/>
        </w:rPr>
        <w:t>d</w:t>
      </w:r>
      <w:r w:rsidR="00E31B2B">
        <w:rPr>
          <w:lang w:val="fr-FR"/>
        </w:rPr>
        <w:t>'</w:t>
      </w:r>
      <w:r w:rsidR="000F2B29">
        <w:rPr>
          <w:lang w:val="fr-FR"/>
        </w:rPr>
        <w:t xml:space="preserve">effectuer </w:t>
      </w:r>
      <w:r w:rsidRPr="00EB2A7A">
        <w:rPr>
          <w:lang w:val="fr-FR"/>
        </w:rPr>
        <w:t>un simple examen des principes généraux de haut niveau.</w:t>
      </w:r>
    </w:p>
    <w:p w14:paraId="132E4850" w14:textId="00ED0605" w:rsidR="00DC1D16" w:rsidRPr="00EB2A7A" w:rsidRDefault="00DC1D16" w:rsidP="00E31B2B">
      <w:pPr>
        <w:rPr>
          <w:lang w:val="fr-FR"/>
        </w:rPr>
      </w:pPr>
      <w:r w:rsidRPr="00EB2A7A">
        <w:rPr>
          <w:lang w:val="fr-FR"/>
        </w:rPr>
        <w:t>Le texte du présent plan d</w:t>
      </w:r>
      <w:r w:rsidR="00E31B2B">
        <w:rPr>
          <w:lang w:val="fr-FR"/>
        </w:rPr>
        <w:t>'</w:t>
      </w:r>
      <w:r w:rsidRPr="00EB2A7A">
        <w:rPr>
          <w:lang w:val="fr-FR"/>
        </w:rPr>
        <w:t xml:space="preserve">action </w:t>
      </w:r>
      <w:r w:rsidR="000F2B29">
        <w:rPr>
          <w:lang w:val="fr-FR"/>
        </w:rPr>
        <w:t>repose</w:t>
      </w:r>
      <w:r w:rsidRPr="00EB2A7A">
        <w:rPr>
          <w:lang w:val="fr-FR"/>
        </w:rPr>
        <w:t xml:space="preserve"> sur les contributions soumises par les Membres dans le cadre d</w:t>
      </w:r>
      <w:r w:rsidR="00E31B2B">
        <w:rPr>
          <w:lang w:val="fr-FR"/>
        </w:rPr>
        <w:t>'</w:t>
      </w:r>
      <w:r w:rsidRPr="00EB2A7A">
        <w:rPr>
          <w:lang w:val="fr-FR"/>
        </w:rPr>
        <w:t xml:space="preserve">un groupe de travail par correspondance, </w:t>
      </w:r>
      <w:r w:rsidR="000F2B29">
        <w:rPr>
          <w:lang w:val="fr-FR"/>
        </w:rPr>
        <w:t>compte tenu du</w:t>
      </w:r>
      <w:r w:rsidRPr="00EB2A7A">
        <w:rPr>
          <w:lang w:val="fr-FR"/>
        </w:rPr>
        <w:t xml:space="preserve"> mandat approuvé lors de la réunion de janvier 2021</w:t>
      </w:r>
      <w:r w:rsidR="000F2B29" w:rsidRPr="000F2B29">
        <w:rPr>
          <w:lang w:val="fr-FR"/>
        </w:rPr>
        <w:t xml:space="preserve"> </w:t>
      </w:r>
      <w:r w:rsidR="000F2B29">
        <w:rPr>
          <w:lang w:val="fr-FR"/>
        </w:rPr>
        <w:t>du </w:t>
      </w:r>
      <w:r w:rsidR="000F2B29" w:rsidRPr="00EB2A7A">
        <w:rPr>
          <w:lang w:val="fr-FR"/>
        </w:rPr>
        <w:t>GCNT</w:t>
      </w:r>
      <w:r w:rsidRPr="00EB2A7A">
        <w:rPr>
          <w:lang w:val="fr-FR"/>
        </w:rPr>
        <w:t>,</w:t>
      </w:r>
      <w:r w:rsidR="00E31B2B">
        <w:rPr>
          <w:lang w:val="fr-FR"/>
        </w:rPr>
        <w:t xml:space="preserve"> </w:t>
      </w:r>
      <w:r w:rsidR="00A10C2E">
        <w:rPr>
          <w:lang w:val="fr-FR"/>
        </w:rPr>
        <w:t>groupe</w:t>
      </w:r>
      <w:r w:rsidR="00A10C2E" w:rsidRPr="00EB2A7A">
        <w:rPr>
          <w:lang w:val="fr-FR"/>
        </w:rPr>
        <w:t xml:space="preserve"> </w:t>
      </w:r>
      <w:r w:rsidR="00A10C2E">
        <w:rPr>
          <w:lang w:val="fr-FR"/>
        </w:rPr>
        <w:t>qui a</w:t>
      </w:r>
      <w:r w:rsidR="00E31B2B">
        <w:rPr>
          <w:lang w:val="fr-FR"/>
        </w:rPr>
        <w:t xml:space="preserve"> </w:t>
      </w:r>
      <w:r w:rsidRPr="00EB2A7A">
        <w:rPr>
          <w:lang w:val="fr-FR"/>
        </w:rPr>
        <w:t>poursuivi</w:t>
      </w:r>
      <w:r w:rsidR="00A10C2E">
        <w:rPr>
          <w:lang w:val="fr-FR"/>
        </w:rPr>
        <w:t xml:space="preserve"> ses travaux </w:t>
      </w:r>
      <w:r w:rsidRPr="00EB2A7A">
        <w:rPr>
          <w:lang w:val="fr-FR"/>
        </w:rPr>
        <w:t>sous l</w:t>
      </w:r>
      <w:r w:rsidR="00E31B2B">
        <w:rPr>
          <w:lang w:val="fr-FR"/>
        </w:rPr>
        <w:t>'</w:t>
      </w:r>
      <w:r w:rsidRPr="00EB2A7A">
        <w:rPr>
          <w:lang w:val="fr-FR"/>
        </w:rPr>
        <w:t>égide du Groupe du Rapporteur du GCNT sur le programme de travail et la structure des commissions d</w:t>
      </w:r>
      <w:r w:rsidR="00E31B2B">
        <w:rPr>
          <w:lang w:val="fr-FR"/>
        </w:rPr>
        <w:t>'</w:t>
      </w:r>
      <w:r w:rsidRPr="00EB2A7A">
        <w:rPr>
          <w:lang w:val="fr-FR"/>
        </w:rPr>
        <w:t>études (RG</w:t>
      </w:r>
      <w:r w:rsidRPr="00EB2A7A">
        <w:rPr>
          <w:lang w:val="fr-FR"/>
        </w:rPr>
        <w:noBreakHyphen/>
        <w:t xml:space="preserve">WP). </w:t>
      </w:r>
    </w:p>
    <w:p w14:paraId="7198F3A9" w14:textId="77777777" w:rsidR="00DC1D16" w:rsidRPr="00EB2A7A" w:rsidRDefault="00DC1D16" w:rsidP="00E31B2B">
      <w:pPr>
        <w:pStyle w:val="Heading2"/>
        <w:rPr>
          <w:lang w:val="fr-FR"/>
        </w:rPr>
      </w:pPr>
      <w:bookmarkStart w:id="100" w:name="_Toc94876356"/>
      <w:r w:rsidRPr="00EB2A7A">
        <w:rPr>
          <w:lang w:val="fr-FR"/>
        </w:rPr>
        <w:t>I.2</w:t>
      </w:r>
      <w:r w:rsidRPr="00EB2A7A">
        <w:rPr>
          <w:lang w:val="fr-FR"/>
        </w:rPr>
        <w:tab/>
        <w:t>Considérations générales</w:t>
      </w:r>
      <w:bookmarkEnd w:id="100"/>
    </w:p>
    <w:p w14:paraId="13C888FE" w14:textId="52FD5E89" w:rsidR="00DC1D16" w:rsidRPr="00EB2A7A" w:rsidRDefault="00DC1D16" w:rsidP="00E31B2B">
      <w:pPr>
        <w:rPr>
          <w:lang w:val="fr-FR"/>
        </w:rPr>
      </w:pPr>
      <w:r w:rsidRPr="00EB2A7A">
        <w:rPr>
          <w:lang w:val="fr-FR"/>
        </w:rPr>
        <w:t>Les éléments de réflexion proposés par le Directeur du TSB sur la restructuration des commissions d</w:t>
      </w:r>
      <w:r w:rsidR="00E31B2B">
        <w:rPr>
          <w:lang w:val="fr-FR"/>
        </w:rPr>
        <w:t>'</w:t>
      </w:r>
      <w:r w:rsidRPr="00EB2A7A">
        <w:rPr>
          <w:lang w:val="fr-FR"/>
        </w:rPr>
        <w:t xml:space="preserve">études dans </w:t>
      </w:r>
      <w:r w:rsidR="00A10C2E">
        <w:rPr>
          <w:lang w:val="fr-FR"/>
        </w:rPr>
        <w:t>le cadre des travaux préparatoires</w:t>
      </w:r>
      <w:r w:rsidRPr="00EB2A7A">
        <w:rPr>
          <w:lang w:val="fr-FR"/>
        </w:rPr>
        <w:t xml:space="preserve"> de l</w:t>
      </w:r>
      <w:r w:rsidR="00E31B2B">
        <w:rPr>
          <w:lang w:val="fr-FR"/>
        </w:rPr>
        <w:t>'</w:t>
      </w:r>
      <w:r w:rsidRPr="00EB2A7A">
        <w:rPr>
          <w:lang w:val="fr-FR"/>
        </w:rPr>
        <w:t>AMNT-20 ont</w:t>
      </w:r>
      <w:r w:rsidR="00A10C2E">
        <w:rPr>
          <w:lang w:val="fr-FR"/>
        </w:rPr>
        <w:t xml:space="preserve"> amené</w:t>
      </w:r>
      <w:r w:rsidR="00E31B2B">
        <w:rPr>
          <w:lang w:val="fr-FR"/>
        </w:rPr>
        <w:t xml:space="preserve"> </w:t>
      </w:r>
      <w:r w:rsidRPr="00EB2A7A">
        <w:rPr>
          <w:lang w:val="fr-FR"/>
        </w:rPr>
        <w:t>les participants à la réunion du GCNT à débattre de l</w:t>
      </w:r>
      <w:r w:rsidR="00E31B2B">
        <w:rPr>
          <w:lang w:val="fr-FR"/>
        </w:rPr>
        <w:t>'</w:t>
      </w:r>
      <w:r w:rsidRPr="00EB2A7A">
        <w:rPr>
          <w:lang w:val="fr-FR"/>
        </w:rPr>
        <w:t>éventuelle restructuration future des commissions d</w:t>
      </w:r>
      <w:r w:rsidR="00E31B2B">
        <w:rPr>
          <w:lang w:val="fr-FR"/>
        </w:rPr>
        <w:t>'</w:t>
      </w:r>
      <w:r w:rsidRPr="00EB2A7A">
        <w:rPr>
          <w:lang w:val="fr-FR"/>
        </w:rPr>
        <w:t>études (CE) de l</w:t>
      </w:r>
      <w:r w:rsidR="00E31B2B">
        <w:rPr>
          <w:lang w:val="fr-FR"/>
        </w:rPr>
        <w:t>'</w:t>
      </w:r>
      <w:r w:rsidRPr="00EB2A7A">
        <w:rPr>
          <w:lang w:val="fr-FR"/>
        </w:rPr>
        <w:t>UIT-T. On considère qu</w:t>
      </w:r>
      <w:r w:rsidR="00E31B2B">
        <w:rPr>
          <w:lang w:val="fr-FR"/>
        </w:rPr>
        <w:t>'</w:t>
      </w:r>
      <w:r w:rsidRPr="00EB2A7A">
        <w:rPr>
          <w:lang w:val="fr-FR"/>
        </w:rPr>
        <w:t>il s</w:t>
      </w:r>
      <w:r w:rsidR="00E31B2B">
        <w:rPr>
          <w:lang w:val="fr-FR"/>
        </w:rPr>
        <w:t>'</w:t>
      </w:r>
      <w:r w:rsidRPr="00EB2A7A">
        <w:rPr>
          <w:lang w:val="fr-FR"/>
        </w:rPr>
        <w:t>agit d</w:t>
      </w:r>
      <w:r w:rsidR="00E31B2B">
        <w:rPr>
          <w:lang w:val="fr-FR"/>
        </w:rPr>
        <w:t>'</w:t>
      </w:r>
      <w:r w:rsidRPr="00EB2A7A">
        <w:rPr>
          <w:lang w:val="fr-FR"/>
        </w:rPr>
        <w:t>une</w:t>
      </w:r>
      <w:r w:rsidR="00E31B2B">
        <w:rPr>
          <w:lang w:val="fr-FR"/>
        </w:rPr>
        <w:t xml:space="preserve"> </w:t>
      </w:r>
      <w:r w:rsidR="00A10C2E">
        <w:rPr>
          <w:lang w:val="fr-FR"/>
        </w:rPr>
        <w:t>évolution</w:t>
      </w:r>
      <w:r w:rsidR="00A10C2E" w:rsidRPr="00EB2A7A">
        <w:rPr>
          <w:lang w:val="fr-FR"/>
        </w:rPr>
        <w:t xml:space="preserve"> </w:t>
      </w:r>
      <w:r w:rsidRPr="00EB2A7A">
        <w:rPr>
          <w:lang w:val="fr-FR"/>
        </w:rPr>
        <w:t>positive pour</w:t>
      </w:r>
      <w:r w:rsidR="00E31B2B">
        <w:rPr>
          <w:lang w:val="fr-FR"/>
        </w:rPr>
        <w:t xml:space="preserve"> </w:t>
      </w:r>
      <w:r w:rsidR="00A10C2E">
        <w:rPr>
          <w:lang w:val="fr-FR"/>
        </w:rPr>
        <w:t xml:space="preserve">intensifier </w:t>
      </w:r>
      <w:r w:rsidRPr="00EB2A7A">
        <w:rPr>
          <w:lang w:val="fr-FR"/>
        </w:rPr>
        <w:t xml:space="preserve">les travaux du Secteur et </w:t>
      </w:r>
      <w:r w:rsidR="00A10C2E">
        <w:rPr>
          <w:lang w:val="fr-FR"/>
        </w:rPr>
        <w:t>de tenir compte</w:t>
      </w:r>
      <w:r w:rsidR="00E31B2B">
        <w:rPr>
          <w:lang w:val="fr-FR"/>
        </w:rPr>
        <w:t xml:space="preserve"> </w:t>
      </w:r>
      <w:r w:rsidRPr="00EB2A7A">
        <w:rPr>
          <w:lang w:val="fr-FR"/>
        </w:rPr>
        <w:t>de l</w:t>
      </w:r>
      <w:r w:rsidR="00E31B2B">
        <w:rPr>
          <w:lang w:val="fr-FR"/>
        </w:rPr>
        <w:t>'</w:t>
      </w:r>
      <w:r w:rsidRPr="00EB2A7A">
        <w:rPr>
          <w:lang w:val="fr-FR"/>
        </w:rPr>
        <w:t xml:space="preserve">évolution technologique </w:t>
      </w:r>
      <w:r w:rsidR="00A10C2E">
        <w:rPr>
          <w:lang w:val="fr-FR"/>
        </w:rPr>
        <w:t>ainsi que de</w:t>
      </w:r>
      <w:r w:rsidR="00A10C2E" w:rsidRPr="00EB2A7A">
        <w:rPr>
          <w:lang w:val="fr-FR"/>
        </w:rPr>
        <w:t xml:space="preserve"> </w:t>
      </w:r>
      <w:r w:rsidRPr="00EB2A7A">
        <w:rPr>
          <w:lang w:val="fr-FR"/>
        </w:rPr>
        <w:t xml:space="preserve">la continuité des activités du Secteur en toutes circonstances, </w:t>
      </w:r>
      <w:r w:rsidR="00A10C2E">
        <w:rPr>
          <w:lang w:val="fr-FR"/>
        </w:rPr>
        <w:t>et</w:t>
      </w:r>
      <w:r w:rsidR="00E31B2B">
        <w:rPr>
          <w:lang w:val="fr-FR"/>
        </w:rPr>
        <w:t xml:space="preserve"> </w:t>
      </w:r>
      <w:r w:rsidRPr="00EB2A7A">
        <w:rPr>
          <w:lang w:val="fr-FR"/>
        </w:rPr>
        <w:t xml:space="preserve">pour accélérer les travaux </w:t>
      </w:r>
      <w:r w:rsidR="00A10C2E">
        <w:rPr>
          <w:lang w:val="fr-FR"/>
        </w:rPr>
        <w:t xml:space="preserve">de façon à </w:t>
      </w:r>
      <w:r w:rsidRPr="00EB2A7A">
        <w:rPr>
          <w:lang w:val="fr-FR"/>
        </w:rPr>
        <w:t>élaborer les</w:t>
      </w:r>
      <w:r w:rsidR="00E31B2B">
        <w:rPr>
          <w:lang w:val="fr-FR"/>
        </w:rPr>
        <w:t xml:space="preserve"> </w:t>
      </w:r>
      <w:r w:rsidRPr="00EB2A7A">
        <w:rPr>
          <w:lang w:val="fr-FR"/>
        </w:rPr>
        <w:t xml:space="preserve">recommandations </w:t>
      </w:r>
      <w:r w:rsidR="00A10C2E">
        <w:rPr>
          <w:lang w:val="fr-FR"/>
        </w:rPr>
        <w:t xml:space="preserve">les mieux adaptées </w:t>
      </w:r>
      <w:r w:rsidRPr="00EB2A7A">
        <w:rPr>
          <w:lang w:val="fr-FR"/>
        </w:rPr>
        <w:t>et les normes souhaitées par le Secteur.</w:t>
      </w:r>
    </w:p>
    <w:p w14:paraId="0F3C2FA6" w14:textId="38707287" w:rsidR="00DC1D16" w:rsidRPr="00EB2A7A" w:rsidRDefault="00DC1D16" w:rsidP="00E31B2B">
      <w:pPr>
        <w:rPr>
          <w:lang w:val="fr-FR"/>
        </w:rPr>
      </w:pPr>
      <w:r w:rsidRPr="00EB2A7A">
        <w:rPr>
          <w:lang w:val="fr-FR"/>
        </w:rPr>
        <w:t>Un certain nombre de membres du GCNT ont reconnu qu</w:t>
      </w:r>
      <w:r w:rsidR="00E31B2B">
        <w:rPr>
          <w:lang w:val="fr-FR"/>
        </w:rPr>
        <w:t>'</w:t>
      </w:r>
      <w:r w:rsidRPr="00EB2A7A">
        <w:rPr>
          <w:lang w:val="fr-FR"/>
        </w:rPr>
        <w:t>il était important d</w:t>
      </w:r>
      <w:r w:rsidR="00E31B2B">
        <w:rPr>
          <w:lang w:val="fr-FR"/>
        </w:rPr>
        <w:t>'</w:t>
      </w:r>
      <w:r w:rsidRPr="00EB2A7A">
        <w:rPr>
          <w:lang w:val="fr-FR"/>
        </w:rPr>
        <w:t>examiner la structure des commissions d</w:t>
      </w:r>
      <w:r w:rsidR="00E31B2B">
        <w:rPr>
          <w:lang w:val="fr-FR"/>
        </w:rPr>
        <w:t>'</w:t>
      </w:r>
      <w:r w:rsidRPr="00EB2A7A">
        <w:rPr>
          <w:lang w:val="fr-FR"/>
        </w:rPr>
        <w:t>études de l</w:t>
      </w:r>
      <w:r w:rsidR="00E31B2B">
        <w:rPr>
          <w:lang w:val="fr-FR"/>
        </w:rPr>
        <w:t>'</w:t>
      </w:r>
      <w:r w:rsidRPr="00EB2A7A">
        <w:rPr>
          <w:lang w:val="fr-FR"/>
        </w:rPr>
        <w:t>UIT-T</w:t>
      </w:r>
      <w:r w:rsidR="00A10C2E">
        <w:rPr>
          <w:lang w:val="fr-FR"/>
        </w:rPr>
        <w:t>,</w:t>
      </w:r>
      <w:r w:rsidR="00E31B2B">
        <w:rPr>
          <w:lang w:val="fr-FR"/>
        </w:rPr>
        <w:t xml:space="preserve"> </w:t>
      </w:r>
      <w:r w:rsidRPr="00EB2A7A">
        <w:rPr>
          <w:lang w:val="fr-FR"/>
        </w:rPr>
        <w:t>celle-ci n</w:t>
      </w:r>
      <w:r w:rsidR="00E31B2B">
        <w:rPr>
          <w:lang w:val="fr-FR"/>
        </w:rPr>
        <w:t>'</w:t>
      </w:r>
      <w:r w:rsidRPr="00EB2A7A">
        <w:rPr>
          <w:lang w:val="fr-FR"/>
        </w:rPr>
        <w:t>a</w:t>
      </w:r>
      <w:r w:rsidR="00A10C2E">
        <w:rPr>
          <w:lang w:val="fr-FR"/>
        </w:rPr>
        <w:t>yant</w:t>
      </w:r>
      <w:r w:rsidRPr="00EB2A7A">
        <w:rPr>
          <w:lang w:val="fr-FR"/>
        </w:rPr>
        <w:t xml:space="preserve"> guère </w:t>
      </w:r>
      <w:r w:rsidR="00A10C2E">
        <w:rPr>
          <w:lang w:val="fr-FR"/>
        </w:rPr>
        <w:t xml:space="preserve">été modifiée </w:t>
      </w:r>
      <w:r w:rsidRPr="00EB2A7A">
        <w:rPr>
          <w:lang w:val="fr-FR"/>
        </w:rPr>
        <w:t xml:space="preserve">depuis 2008, alors </w:t>
      </w:r>
      <w:r w:rsidR="00A10C2E">
        <w:rPr>
          <w:lang w:val="fr-FR"/>
        </w:rPr>
        <w:t xml:space="preserve">même </w:t>
      </w:r>
      <w:r w:rsidRPr="00EB2A7A">
        <w:rPr>
          <w:lang w:val="fr-FR"/>
        </w:rPr>
        <w:t xml:space="preserve">que </w:t>
      </w:r>
      <w:r w:rsidR="00A10C2E" w:rsidRPr="00EB2A7A">
        <w:rPr>
          <w:lang w:val="fr-FR"/>
        </w:rPr>
        <w:t>l</w:t>
      </w:r>
      <w:r w:rsidR="00A10C2E">
        <w:rPr>
          <w:lang w:val="fr-FR"/>
        </w:rPr>
        <w:t>es</w:t>
      </w:r>
      <w:r w:rsidR="00A10C2E" w:rsidRPr="00EB2A7A">
        <w:rPr>
          <w:lang w:val="fr-FR"/>
        </w:rPr>
        <w:t xml:space="preserve"> </w:t>
      </w:r>
      <w:r w:rsidRPr="00EB2A7A">
        <w:rPr>
          <w:lang w:val="fr-FR"/>
        </w:rPr>
        <w:t>technologie</w:t>
      </w:r>
      <w:r w:rsidR="00A10C2E">
        <w:rPr>
          <w:lang w:val="fr-FR"/>
        </w:rPr>
        <w:t>s</w:t>
      </w:r>
      <w:r w:rsidRPr="00EB2A7A">
        <w:rPr>
          <w:lang w:val="fr-FR"/>
        </w:rPr>
        <w:t xml:space="preserve"> </w:t>
      </w:r>
      <w:r w:rsidR="00A10C2E">
        <w:rPr>
          <w:lang w:val="fr-FR"/>
        </w:rPr>
        <w:t>évoluaient</w:t>
      </w:r>
      <w:r w:rsidRPr="00EB2A7A">
        <w:rPr>
          <w:lang w:val="fr-FR"/>
        </w:rPr>
        <w:t xml:space="preserve"> </w:t>
      </w:r>
    </w:p>
    <w:p w14:paraId="12FCAFB3" w14:textId="6D14DB19" w:rsidR="00DC1D16" w:rsidRPr="00EB2A7A" w:rsidRDefault="00A10C2E" w:rsidP="00E31B2B">
      <w:pPr>
        <w:rPr>
          <w:highlight w:val="cyan"/>
          <w:lang w:val="fr-FR"/>
        </w:rPr>
      </w:pPr>
      <w:r>
        <w:rPr>
          <w:lang w:val="fr-FR"/>
        </w:rPr>
        <w:t>Plusieurs</w:t>
      </w:r>
      <w:r w:rsidR="00DC1D16" w:rsidRPr="00EB2A7A">
        <w:rPr>
          <w:lang w:val="fr-FR"/>
        </w:rPr>
        <w:t xml:space="preserve"> membres du GCNT ont mis en évidence la nécessité de mener une étude</w:t>
      </w:r>
      <w:r w:rsidR="00E31B2B">
        <w:rPr>
          <w:lang w:val="fr-FR"/>
        </w:rPr>
        <w:t xml:space="preserve"> </w:t>
      </w:r>
      <w:r w:rsidR="00DC1D16" w:rsidRPr="00EB2A7A">
        <w:rPr>
          <w:lang w:val="fr-FR"/>
        </w:rPr>
        <w:t>appel</w:t>
      </w:r>
      <w:r>
        <w:rPr>
          <w:lang w:val="fr-FR"/>
        </w:rPr>
        <w:t>ant</w:t>
      </w:r>
      <w:r w:rsidR="00E31B2B">
        <w:rPr>
          <w:lang w:val="fr-FR"/>
        </w:rPr>
        <w:t xml:space="preserve"> </w:t>
      </w:r>
      <w:r w:rsidR="00DC1D16" w:rsidRPr="00EB2A7A">
        <w:rPr>
          <w:lang w:val="fr-FR"/>
        </w:rPr>
        <w:t>un examen des fonctions de normalisation de l</w:t>
      </w:r>
      <w:r w:rsidR="00E31B2B">
        <w:rPr>
          <w:lang w:val="fr-FR"/>
        </w:rPr>
        <w:t>'</w:t>
      </w:r>
      <w:r w:rsidR="00DC1D16" w:rsidRPr="00EB2A7A">
        <w:rPr>
          <w:lang w:val="fr-FR"/>
        </w:rPr>
        <w:t>UIT-T</w:t>
      </w:r>
      <w:r>
        <w:rPr>
          <w:lang w:val="fr-FR"/>
        </w:rPr>
        <w:t>,</w:t>
      </w:r>
      <w:r w:rsidR="00E31B2B">
        <w:rPr>
          <w:lang w:val="fr-FR"/>
        </w:rPr>
        <w:t xml:space="preserve"> </w:t>
      </w:r>
      <w:r>
        <w:rPr>
          <w:lang w:val="fr-FR"/>
        </w:rPr>
        <w:t>pour veiller à ce</w:t>
      </w:r>
      <w:r w:rsidR="00DC1D16" w:rsidRPr="00EB2A7A">
        <w:rPr>
          <w:lang w:val="fr-FR"/>
        </w:rPr>
        <w:t xml:space="preserve"> que la structure de l</w:t>
      </w:r>
      <w:r w:rsidR="00E31B2B">
        <w:rPr>
          <w:lang w:val="fr-FR"/>
        </w:rPr>
        <w:t>'</w:t>
      </w:r>
      <w:r w:rsidR="00DC1D16" w:rsidRPr="00EB2A7A">
        <w:rPr>
          <w:lang w:val="fr-FR"/>
        </w:rPr>
        <w:t>UIT-T répond</w:t>
      </w:r>
      <w:r>
        <w:rPr>
          <w:lang w:val="fr-FR"/>
        </w:rPr>
        <w:t>e</w:t>
      </w:r>
      <w:r w:rsidR="00DC1D16" w:rsidRPr="00EB2A7A">
        <w:rPr>
          <w:lang w:val="fr-FR"/>
        </w:rPr>
        <w:t xml:space="preserve"> aux besoins de normalisation des membres et du secteur privé en général.</w:t>
      </w:r>
    </w:p>
    <w:p w14:paraId="02ED28F1" w14:textId="5D149293" w:rsidR="00DC1D16" w:rsidRPr="00EB2A7A" w:rsidRDefault="00DC1D16" w:rsidP="00E31B2B">
      <w:pPr>
        <w:pStyle w:val="Heading2"/>
        <w:rPr>
          <w:lang w:val="fr-FR"/>
        </w:rPr>
      </w:pPr>
      <w:bookmarkStart w:id="101" w:name="_Toc94876357"/>
      <w:r w:rsidRPr="00EB2A7A">
        <w:rPr>
          <w:lang w:val="fr-FR"/>
        </w:rPr>
        <w:t>I.3</w:t>
      </w:r>
      <w:r w:rsidRPr="00EB2A7A">
        <w:rPr>
          <w:lang w:val="fr-FR"/>
        </w:rPr>
        <w:tab/>
        <w:t>Informations nécessaires à l</w:t>
      </w:r>
      <w:r w:rsidR="00E31B2B">
        <w:rPr>
          <w:lang w:val="fr-FR"/>
        </w:rPr>
        <w:t>'</w:t>
      </w:r>
      <w:r w:rsidRPr="00EB2A7A">
        <w:rPr>
          <w:lang w:val="fr-FR"/>
        </w:rPr>
        <w:t>analyse de la restructuration (principes et mesures)</w:t>
      </w:r>
      <w:bookmarkEnd w:id="101"/>
    </w:p>
    <w:p w14:paraId="5F4860E4" w14:textId="2FDBF9DF" w:rsidR="00DC1D16" w:rsidRPr="00EB2A7A" w:rsidRDefault="00DC1D16" w:rsidP="00E31B2B">
      <w:pPr>
        <w:rPr>
          <w:lang w:val="fr-FR" w:eastAsia="zh-CN"/>
        </w:rPr>
      </w:pPr>
      <w:r w:rsidRPr="00EB2A7A">
        <w:rPr>
          <w:lang w:val="fr-FR" w:eastAsia="zh-CN"/>
        </w:rPr>
        <w:t>La solution de restructuration des commissions d</w:t>
      </w:r>
      <w:r w:rsidR="00E31B2B">
        <w:rPr>
          <w:lang w:val="fr-FR" w:eastAsia="zh-CN"/>
        </w:rPr>
        <w:t>'</w:t>
      </w:r>
      <w:r w:rsidRPr="00EB2A7A">
        <w:rPr>
          <w:lang w:val="fr-FR" w:eastAsia="zh-CN"/>
        </w:rPr>
        <w:t>études de l</w:t>
      </w:r>
      <w:r w:rsidR="00E31B2B">
        <w:rPr>
          <w:lang w:val="fr-FR" w:eastAsia="zh-CN"/>
        </w:rPr>
        <w:t>'</w:t>
      </w:r>
      <w:r w:rsidRPr="00EB2A7A">
        <w:rPr>
          <w:lang w:val="fr-FR" w:eastAsia="zh-CN"/>
        </w:rPr>
        <w:t>UIT-T devrait contribuer à la mission et aux activités à long terme de l</w:t>
      </w:r>
      <w:r w:rsidR="00E31B2B">
        <w:rPr>
          <w:lang w:val="fr-FR" w:eastAsia="zh-CN"/>
        </w:rPr>
        <w:t>'</w:t>
      </w:r>
      <w:r w:rsidRPr="00EB2A7A">
        <w:rPr>
          <w:lang w:val="fr-FR" w:eastAsia="zh-CN"/>
        </w:rPr>
        <w:t>UIT-T. Les options de restructuration examinées devraient alimenter le</w:t>
      </w:r>
      <w:r w:rsidR="0060646A">
        <w:rPr>
          <w:lang w:val="fr-FR" w:eastAsia="zh-CN"/>
        </w:rPr>
        <w:t>s</w:t>
      </w:r>
      <w:r w:rsidRPr="00EB2A7A">
        <w:rPr>
          <w:lang w:val="fr-FR" w:eastAsia="zh-CN"/>
        </w:rPr>
        <w:t xml:space="preserve"> débat</w:t>
      </w:r>
      <w:r w:rsidR="0060646A">
        <w:rPr>
          <w:lang w:val="fr-FR" w:eastAsia="zh-CN"/>
        </w:rPr>
        <w:t>s</w:t>
      </w:r>
      <w:r w:rsidRPr="00EB2A7A">
        <w:rPr>
          <w:lang w:val="fr-FR" w:eastAsia="zh-CN"/>
        </w:rPr>
        <w:t xml:space="preserve"> des </w:t>
      </w:r>
      <w:r w:rsidR="0060646A">
        <w:rPr>
          <w:lang w:val="fr-FR" w:eastAsia="zh-CN"/>
        </w:rPr>
        <w:t>M</w:t>
      </w:r>
      <w:r w:rsidR="0060646A" w:rsidRPr="00EB2A7A">
        <w:rPr>
          <w:lang w:val="fr-FR" w:eastAsia="zh-CN"/>
        </w:rPr>
        <w:t xml:space="preserve">embres </w:t>
      </w:r>
      <w:r w:rsidRPr="00EB2A7A">
        <w:rPr>
          <w:lang w:val="fr-FR" w:eastAsia="zh-CN"/>
        </w:rPr>
        <w:t>de l</w:t>
      </w:r>
      <w:r w:rsidR="00E31B2B">
        <w:rPr>
          <w:lang w:val="fr-FR" w:eastAsia="zh-CN"/>
        </w:rPr>
        <w:t>'</w:t>
      </w:r>
      <w:r w:rsidRPr="00EB2A7A">
        <w:rPr>
          <w:lang w:val="fr-FR" w:eastAsia="zh-CN"/>
        </w:rPr>
        <w:t xml:space="preserve">UIT-T. Les </w:t>
      </w:r>
      <w:r w:rsidR="0060646A">
        <w:rPr>
          <w:lang w:val="fr-FR" w:eastAsia="zh-CN"/>
        </w:rPr>
        <w:t>M</w:t>
      </w:r>
      <w:r w:rsidR="0060646A" w:rsidRPr="00EB2A7A">
        <w:rPr>
          <w:lang w:val="fr-FR" w:eastAsia="zh-CN"/>
        </w:rPr>
        <w:t xml:space="preserve">embres </w:t>
      </w:r>
      <w:r w:rsidRPr="00EB2A7A">
        <w:rPr>
          <w:lang w:val="fr-FR" w:eastAsia="zh-CN"/>
        </w:rPr>
        <w:t>auront</w:t>
      </w:r>
      <w:r w:rsidR="00E31B2B">
        <w:rPr>
          <w:lang w:val="fr-FR" w:eastAsia="zh-CN"/>
        </w:rPr>
        <w:t xml:space="preserve"> </w:t>
      </w:r>
      <w:r w:rsidR="0060646A">
        <w:rPr>
          <w:lang w:val="fr-FR" w:eastAsia="zh-CN"/>
        </w:rPr>
        <w:t>à leur tour</w:t>
      </w:r>
      <w:r w:rsidR="0060646A" w:rsidRPr="00EB2A7A">
        <w:rPr>
          <w:lang w:val="fr-FR" w:eastAsia="zh-CN"/>
        </w:rPr>
        <w:t xml:space="preserve"> </w:t>
      </w:r>
      <w:r w:rsidRPr="00EB2A7A">
        <w:rPr>
          <w:lang w:val="fr-FR" w:eastAsia="zh-CN"/>
        </w:rPr>
        <w:t xml:space="preserve">besoin, pour leurs </w:t>
      </w:r>
      <w:r w:rsidR="0060646A">
        <w:rPr>
          <w:lang w:val="fr-FR" w:eastAsia="zh-CN"/>
        </w:rPr>
        <w:t>échanges de vues</w:t>
      </w:r>
      <w:r w:rsidRPr="00EB2A7A">
        <w:rPr>
          <w:lang w:val="fr-FR" w:eastAsia="zh-CN"/>
        </w:rPr>
        <w:t>, des résultats de la mise en œuvre du plan d</w:t>
      </w:r>
      <w:r w:rsidR="00E31B2B">
        <w:rPr>
          <w:lang w:val="fr-FR" w:eastAsia="zh-CN"/>
        </w:rPr>
        <w:t>'</w:t>
      </w:r>
      <w:r w:rsidRPr="00EB2A7A">
        <w:rPr>
          <w:lang w:val="fr-FR" w:eastAsia="zh-CN"/>
        </w:rPr>
        <w:t>action, afin de</w:t>
      </w:r>
      <w:r w:rsidR="00E31B2B">
        <w:rPr>
          <w:lang w:val="fr-FR" w:eastAsia="zh-CN"/>
        </w:rPr>
        <w:t xml:space="preserve"> </w:t>
      </w:r>
      <w:r w:rsidR="0060646A">
        <w:rPr>
          <w:lang w:val="fr-FR" w:eastAsia="zh-CN"/>
        </w:rPr>
        <w:t>pouvoir s</w:t>
      </w:r>
      <w:r w:rsidR="00E31B2B">
        <w:rPr>
          <w:lang w:val="fr-FR" w:eastAsia="zh-CN"/>
        </w:rPr>
        <w:t>'</w:t>
      </w:r>
      <w:r w:rsidR="0060646A">
        <w:rPr>
          <w:lang w:val="fr-FR" w:eastAsia="zh-CN"/>
        </w:rPr>
        <w:t>appuyer sur</w:t>
      </w:r>
      <w:r w:rsidRPr="00EB2A7A">
        <w:rPr>
          <w:lang w:val="fr-FR" w:eastAsia="zh-CN"/>
        </w:rPr>
        <w:t xml:space="preserve"> un ensemble de critères généraux</w:t>
      </w:r>
      <w:r w:rsidR="0060646A">
        <w:rPr>
          <w:lang w:val="fr-FR" w:eastAsia="zh-CN"/>
        </w:rPr>
        <w:t xml:space="preserve"> </w:t>
      </w:r>
      <w:r w:rsidRPr="00EB2A7A">
        <w:rPr>
          <w:lang w:val="fr-FR" w:eastAsia="zh-CN"/>
        </w:rPr>
        <w:t>pour l</w:t>
      </w:r>
      <w:r w:rsidR="00E31B2B">
        <w:rPr>
          <w:lang w:val="fr-FR" w:eastAsia="zh-CN"/>
        </w:rPr>
        <w:t>'</w:t>
      </w:r>
      <w:r w:rsidRPr="00EB2A7A">
        <w:rPr>
          <w:lang w:val="fr-FR" w:eastAsia="zh-CN"/>
        </w:rPr>
        <w:t>évaluation de la restructuration des commissions d</w:t>
      </w:r>
      <w:r w:rsidR="00E31B2B">
        <w:rPr>
          <w:lang w:val="fr-FR" w:eastAsia="zh-CN"/>
        </w:rPr>
        <w:t>'</w:t>
      </w:r>
      <w:r w:rsidRPr="00EB2A7A">
        <w:rPr>
          <w:lang w:val="fr-FR" w:eastAsia="zh-CN"/>
        </w:rPr>
        <w:t>études de l</w:t>
      </w:r>
      <w:r w:rsidR="00E31B2B">
        <w:rPr>
          <w:lang w:val="fr-FR" w:eastAsia="zh-CN"/>
        </w:rPr>
        <w:t>'</w:t>
      </w:r>
      <w:r w:rsidRPr="00EB2A7A">
        <w:rPr>
          <w:lang w:val="fr-FR" w:eastAsia="zh-CN"/>
        </w:rPr>
        <w:t>UIT-T</w:t>
      </w:r>
      <w:r w:rsidRPr="00EB2A7A">
        <w:rPr>
          <w:bCs/>
          <w:lang w:val="fr-FR" w:eastAsia="zh-CN"/>
        </w:rPr>
        <w:t>.</w:t>
      </w:r>
    </w:p>
    <w:p w14:paraId="76BA05A3" w14:textId="409B2E71" w:rsidR="00DC1D16" w:rsidRPr="00EB2A7A" w:rsidRDefault="00DC1D16" w:rsidP="00E31B2B">
      <w:pPr>
        <w:rPr>
          <w:rFonts w:cstheme="minorHAnsi"/>
          <w:color w:val="000000"/>
          <w:lang w:val="fr-FR"/>
        </w:rPr>
      </w:pPr>
      <w:r w:rsidRPr="00EB2A7A">
        <w:rPr>
          <w:rFonts w:cstheme="minorHAnsi"/>
          <w:color w:val="000000"/>
          <w:lang w:val="fr-FR"/>
        </w:rPr>
        <w:t>Le processus d</w:t>
      </w:r>
      <w:r w:rsidR="00E31B2B">
        <w:rPr>
          <w:rFonts w:cstheme="minorHAnsi"/>
          <w:color w:val="000000"/>
          <w:lang w:val="fr-FR"/>
        </w:rPr>
        <w:t>'</w:t>
      </w:r>
      <w:r w:rsidRPr="00EB2A7A">
        <w:rPr>
          <w:rFonts w:cstheme="minorHAnsi"/>
          <w:color w:val="000000"/>
          <w:lang w:val="fr-FR"/>
        </w:rPr>
        <w:t>examen prendra en compte à la fois des mesures quantitatives et des questions qualitatives axées sur les politiques. Les principales informations requises pour évaluer chacune des options de restructuration reposeront essentiellement sur les principes et</w:t>
      </w:r>
      <w:r w:rsidR="00E31B2B">
        <w:rPr>
          <w:rFonts w:cstheme="minorHAnsi"/>
          <w:color w:val="000000"/>
          <w:lang w:val="fr-FR"/>
        </w:rPr>
        <w:t xml:space="preserve"> </w:t>
      </w:r>
      <w:r w:rsidRPr="00EB2A7A">
        <w:rPr>
          <w:rFonts w:cstheme="minorHAnsi"/>
          <w:color w:val="000000"/>
          <w:lang w:val="fr-FR"/>
        </w:rPr>
        <w:t xml:space="preserve">mesures convenus par les </w:t>
      </w:r>
      <w:r w:rsidR="0060646A">
        <w:rPr>
          <w:rFonts w:cstheme="minorHAnsi"/>
          <w:color w:val="000000"/>
          <w:lang w:val="fr-FR"/>
        </w:rPr>
        <w:t>m</w:t>
      </w:r>
      <w:r w:rsidR="0060646A" w:rsidRPr="00EB2A7A">
        <w:rPr>
          <w:rFonts w:cstheme="minorHAnsi"/>
          <w:color w:val="000000"/>
          <w:lang w:val="fr-FR"/>
        </w:rPr>
        <w:t xml:space="preserve">embres </w:t>
      </w:r>
      <w:r w:rsidRPr="00EB2A7A">
        <w:rPr>
          <w:rFonts w:cstheme="minorHAnsi"/>
          <w:color w:val="000000"/>
          <w:lang w:val="fr-FR"/>
        </w:rPr>
        <w:t>de l</w:t>
      </w:r>
      <w:r w:rsidR="00E31B2B">
        <w:rPr>
          <w:rFonts w:cstheme="minorHAnsi"/>
          <w:color w:val="000000"/>
          <w:lang w:val="fr-FR"/>
        </w:rPr>
        <w:t>'</w:t>
      </w:r>
      <w:r w:rsidRPr="00EB2A7A">
        <w:rPr>
          <w:rFonts w:cstheme="minorHAnsi"/>
          <w:color w:val="000000"/>
          <w:lang w:val="fr-FR"/>
        </w:rPr>
        <w:t>UIT.</w:t>
      </w:r>
    </w:p>
    <w:p w14:paraId="5B6F66BC" w14:textId="77777777" w:rsidR="00E31B2B" w:rsidRDefault="00E31B2B" w:rsidP="00E31B2B">
      <w:pPr>
        <w:pStyle w:val="Heading3"/>
        <w:rPr>
          <w:lang w:val="fr-FR"/>
        </w:rPr>
      </w:pPr>
      <w:r>
        <w:rPr>
          <w:lang w:val="fr-FR"/>
        </w:rPr>
        <w:br w:type="page"/>
      </w:r>
    </w:p>
    <w:p w14:paraId="597723E4" w14:textId="7CD03ADF" w:rsidR="00DC1D16" w:rsidRPr="00EB2A7A" w:rsidRDefault="00DC1D16" w:rsidP="00E31B2B">
      <w:pPr>
        <w:pStyle w:val="Heading3"/>
        <w:rPr>
          <w:lang w:val="fr-FR"/>
        </w:rPr>
      </w:pPr>
      <w:r w:rsidRPr="00EB2A7A">
        <w:rPr>
          <w:lang w:val="fr-FR"/>
        </w:rPr>
        <w:lastRenderedPageBreak/>
        <w:t>I.3.1</w:t>
      </w:r>
      <w:r w:rsidRPr="00EB2A7A">
        <w:rPr>
          <w:lang w:val="fr-FR"/>
        </w:rPr>
        <w:tab/>
        <w:t>Principes</w:t>
      </w:r>
    </w:p>
    <w:p w14:paraId="4AA8CE66" w14:textId="1292C36C" w:rsidR="00DC1D16" w:rsidRPr="00EB2A7A" w:rsidRDefault="00DC1D16" w:rsidP="00E31B2B">
      <w:pPr>
        <w:rPr>
          <w:bCs/>
          <w:lang w:val="fr-FR" w:eastAsia="zh-CN"/>
        </w:rPr>
      </w:pPr>
      <w:r w:rsidRPr="00EB2A7A">
        <w:rPr>
          <w:bCs/>
          <w:lang w:val="fr-FR" w:eastAsia="zh-CN"/>
        </w:rPr>
        <w:t>Les sept principes de haut niveau établis par l</w:t>
      </w:r>
      <w:r w:rsidR="00E31B2B">
        <w:rPr>
          <w:bCs/>
          <w:lang w:val="fr-FR" w:eastAsia="zh-CN"/>
        </w:rPr>
        <w:t>'</w:t>
      </w:r>
      <w:r w:rsidRPr="00EB2A7A">
        <w:rPr>
          <w:bCs/>
          <w:lang w:val="fr-FR" w:eastAsia="zh-CN"/>
        </w:rPr>
        <w:t>AMNT-16 et le</w:t>
      </w:r>
      <w:r w:rsidR="0060646A">
        <w:rPr>
          <w:bCs/>
          <w:lang w:val="fr-FR" w:eastAsia="zh-CN"/>
        </w:rPr>
        <w:t>s</w:t>
      </w:r>
      <w:r w:rsidR="00E31B2B">
        <w:rPr>
          <w:bCs/>
          <w:lang w:val="fr-FR" w:eastAsia="zh-CN"/>
        </w:rPr>
        <w:t xml:space="preserve"> </w:t>
      </w:r>
      <w:r w:rsidRPr="00EB2A7A">
        <w:rPr>
          <w:bCs/>
          <w:lang w:val="fr-FR" w:eastAsia="zh-CN"/>
        </w:rPr>
        <w:t>explication</w:t>
      </w:r>
      <w:r w:rsidR="0060646A">
        <w:rPr>
          <w:bCs/>
          <w:lang w:val="fr-FR" w:eastAsia="zh-CN"/>
        </w:rPr>
        <w:t>s</w:t>
      </w:r>
      <w:r w:rsidRPr="00EB2A7A">
        <w:rPr>
          <w:bCs/>
          <w:lang w:val="fr-FR" w:eastAsia="zh-CN"/>
        </w:rPr>
        <w:t xml:space="preserve"> détaillée</w:t>
      </w:r>
      <w:r w:rsidR="0060646A">
        <w:rPr>
          <w:bCs/>
          <w:lang w:val="fr-FR" w:eastAsia="zh-CN"/>
        </w:rPr>
        <w:t>s qui s</w:t>
      </w:r>
      <w:r w:rsidR="00E31B2B">
        <w:rPr>
          <w:bCs/>
          <w:lang w:val="fr-FR" w:eastAsia="zh-CN"/>
        </w:rPr>
        <w:t>'</w:t>
      </w:r>
      <w:r w:rsidR="0060646A">
        <w:rPr>
          <w:bCs/>
          <w:lang w:val="fr-FR" w:eastAsia="zh-CN"/>
        </w:rPr>
        <w:t>y rapportent</w:t>
      </w:r>
      <w:r w:rsidR="00E31B2B">
        <w:rPr>
          <w:bCs/>
          <w:lang w:val="fr-FR" w:eastAsia="zh-CN"/>
        </w:rPr>
        <w:t xml:space="preserve"> </w:t>
      </w:r>
      <w:r w:rsidRPr="00EB2A7A">
        <w:rPr>
          <w:bCs/>
          <w:lang w:val="fr-FR" w:eastAsia="zh-CN"/>
        </w:rPr>
        <w:t>(voir l</w:t>
      </w:r>
      <w:r w:rsidR="00E31B2B">
        <w:rPr>
          <w:bCs/>
          <w:lang w:val="fr-FR" w:eastAsia="zh-CN"/>
        </w:rPr>
        <w:t>'</w:t>
      </w:r>
      <w:hyperlink r:id="rId194" w:history="1">
        <w:r w:rsidRPr="00EB2A7A">
          <w:rPr>
            <w:rStyle w:val="Hyperlink"/>
            <w:lang w:val="fr-FR"/>
          </w:rPr>
          <w:t>Annexe</w:t>
        </w:r>
        <w:r>
          <w:rPr>
            <w:rStyle w:val="Hyperlink"/>
            <w:lang w:val="fr-FR"/>
          </w:rPr>
          <w:t> </w:t>
        </w:r>
        <w:r w:rsidRPr="00EB2A7A">
          <w:rPr>
            <w:rStyle w:val="Hyperlink"/>
            <w:lang w:val="fr-FR"/>
          </w:rPr>
          <w:t>A du Document TD457-R2</w:t>
        </w:r>
      </w:hyperlink>
      <w:r w:rsidRPr="00EB2A7A">
        <w:rPr>
          <w:rFonts w:cstheme="minorHAnsi"/>
          <w:lang w:val="fr-FR"/>
        </w:rPr>
        <w:t xml:space="preserve"> </w:t>
      </w:r>
      <w:r w:rsidRPr="00EB2A7A">
        <w:rPr>
          <w:bCs/>
          <w:lang w:val="fr-FR" w:eastAsia="zh-CN"/>
        </w:rPr>
        <w:t>et le Document TD937-R1) devraient être utilisés pour examiner les avantages de chacune des options de restructuration possibles dans les résultats du plan d</w:t>
      </w:r>
      <w:r w:rsidR="00E31B2B">
        <w:rPr>
          <w:bCs/>
          <w:lang w:val="fr-FR" w:eastAsia="zh-CN"/>
        </w:rPr>
        <w:t>'</w:t>
      </w:r>
      <w:r w:rsidRPr="00EB2A7A">
        <w:rPr>
          <w:bCs/>
          <w:lang w:val="fr-FR" w:eastAsia="zh-CN"/>
        </w:rPr>
        <w:t>action</w:t>
      </w:r>
      <w:r w:rsidRPr="00EB2A7A">
        <w:rPr>
          <w:rFonts w:cstheme="minorHAnsi"/>
          <w:lang w:val="fr-FR"/>
        </w:rPr>
        <w:t xml:space="preserve">. </w:t>
      </w:r>
    </w:p>
    <w:p w14:paraId="49030076" w14:textId="77777777" w:rsidR="00DC1D16" w:rsidRPr="00EB2A7A" w:rsidRDefault="00DC1D16" w:rsidP="00E31B2B">
      <w:pPr>
        <w:rPr>
          <w:lang w:val="fr-FR" w:eastAsia="ja-JP"/>
        </w:rPr>
      </w:pPr>
      <w:r w:rsidRPr="00EB2A7A">
        <w:rPr>
          <w:lang w:val="fr-FR" w:eastAsia="ja-JP"/>
        </w:rPr>
        <w:t xml:space="preserve">Les sept principes de haut niveau sont énoncés ci-après: </w:t>
      </w:r>
    </w:p>
    <w:p w14:paraId="13358DCE" w14:textId="77777777" w:rsidR="00DC1D16" w:rsidRPr="00EB2A7A" w:rsidRDefault="00DC1D16" w:rsidP="00E31B2B">
      <w:pPr>
        <w:pStyle w:val="enumlev1"/>
        <w:rPr>
          <w:lang w:val="fr-FR"/>
        </w:rPr>
      </w:pPr>
      <w:r w:rsidRPr="00EB2A7A">
        <w:rPr>
          <w:lang w:val="fr-FR"/>
        </w:rPr>
        <w:t>A</w:t>
      </w:r>
      <w:r>
        <w:rPr>
          <w:lang w:val="fr-FR"/>
        </w:rPr>
        <w:t>)</w:t>
      </w:r>
      <w:r w:rsidRPr="00EB2A7A">
        <w:rPr>
          <w:lang w:val="fr-FR"/>
        </w:rPr>
        <w:tab/>
        <w:t>Structure optimisée</w:t>
      </w:r>
    </w:p>
    <w:p w14:paraId="088DD0A3" w14:textId="77777777" w:rsidR="00DC1D16" w:rsidRPr="00EB2A7A" w:rsidRDefault="00DC1D16" w:rsidP="00E31B2B">
      <w:pPr>
        <w:pStyle w:val="enumlev1"/>
        <w:rPr>
          <w:lang w:val="fr-FR"/>
        </w:rPr>
      </w:pPr>
      <w:r w:rsidRPr="00EB2A7A">
        <w:rPr>
          <w:lang w:val="fr-FR"/>
        </w:rPr>
        <w:t>B</w:t>
      </w:r>
      <w:r>
        <w:rPr>
          <w:lang w:val="fr-FR"/>
        </w:rPr>
        <w:t>)</w:t>
      </w:r>
      <w:r w:rsidRPr="00EB2A7A">
        <w:rPr>
          <w:lang w:val="fr-FR"/>
        </w:rPr>
        <w:tab/>
        <w:t>Mandats clairs</w:t>
      </w:r>
    </w:p>
    <w:p w14:paraId="4389A48D" w14:textId="14047BA7" w:rsidR="00DC1D16" w:rsidRPr="00EB2A7A" w:rsidRDefault="00DC1D16" w:rsidP="00E31B2B">
      <w:pPr>
        <w:pStyle w:val="enumlev1"/>
        <w:rPr>
          <w:lang w:val="fr-FR"/>
        </w:rPr>
      </w:pPr>
      <w:r w:rsidRPr="00EB2A7A">
        <w:rPr>
          <w:lang w:val="fr-FR"/>
        </w:rPr>
        <w:t>C</w:t>
      </w:r>
      <w:r>
        <w:rPr>
          <w:lang w:val="fr-FR"/>
        </w:rPr>
        <w:t>)</w:t>
      </w:r>
      <w:r w:rsidRPr="00EB2A7A">
        <w:rPr>
          <w:lang w:val="fr-FR"/>
        </w:rPr>
        <w:tab/>
      </w:r>
      <w:r w:rsidR="0060646A">
        <w:rPr>
          <w:lang w:val="fr-FR"/>
        </w:rPr>
        <w:t>Renforcement de la c</w:t>
      </w:r>
      <w:r w:rsidR="0060646A" w:rsidRPr="00EB2A7A">
        <w:rPr>
          <w:lang w:val="fr-FR"/>
        </w:rPr>
        <w:t xml:space="preserve">oordination </w:t>
      </w:r>
      <w:r w:rsidRPr="00EB2A7A">
        <w:rPr>
          <w:lang w:val="fr-FR"/>
        </w:rPr>
        <w:t xml:space="preserve">et </w:t>
      </w:r>
      <w:r w:rsidR="0060646A">
        <w:rPr>
          <w:lang w:val="fr-FR"/>
        </w:rPr>
        <w:t xml:space="preserve">de la </w:t>
      </w:r>
      <w:r w:rsidRPr="00EB2A7A">
        <w:rPr>
          <w:lang w:val="fr-FR"/>
        </w:rPr>
        <w:t>coopération</w:t>
      </w:r>
      <w:r w:rsidR="00E31B2B">
        <w:rPr>
          <w:lang w:val="fr-FR"/>
        </w:rPr>
        <w:t xml:space="preserve"> </w:t>
      </w:r>
    </w:p>
    <w:p w14:paraId="127A9CED" w14:textId="77777777" w:rsidR="00DC1D16" w:rsidRPr="00EB2A7A" w:rsidRDefault="00DC1D16" w:rsidP="00E31B2B">
      <w:pPr>
        <w:pStyle w:val="enumlev1"/>
        <w:rPr>
          <w:lang w:val="fr-FR"/>
        </w:rPr>
      </w:pPr>
      <w:r w:rsidRPr="00EB2A7A">
        <w:rPr>
          <w:lang w:val="fr-FR"/>
        </w:rPr>
        <w:t>D</w:t>
      </w:r>
      <w:r>
        <w:rPr>
          <w:lang w:val="fr-FR"/>
        </w:rPr>
        <w:t>)</w:t>
      </w:r>
      <w:r w:rsidRPr="00EB2A7A">
        <w:rPr>
          <w:lang w:val="fr-FR"/>
        </w:rPr>
        <w:tab/>
        <w:t>Rentabilité économique et attractivité</w:t>
      </w:r>
    </w:p>
    <w:p w14:paraId="04E2F290" w14:textId="77777777" w:rsidR="00DC1D16" w:rsidRPr="00EB2A7A" w:rsidRDefault="00DC1D16" w:rsidP="00E31B2B">
      <w:pPr>
        <w:pStyle w:val="enumlev1"/>
        <w:rPr>
          <w:lang w:val="fr-FR"/>
        </w:rPr>
      </w:pPr>
      <w:r w:rsidRPr="00EB2A7A">
        <w:rPr>
          <w:lang w:val="fr-FR"/>
        </w:rPr>
        <w:t>E</w:t>
      </w:r>
      <w:r>
        <w:rPr>
          <w:lang w:val="fr-FR"/>
        </w:rPr>
        <w:t>)</w:t>
      </w:r>
      <w:r w:rsidRPr="00EB2A7A">
        <w:rPr>
          <w:lang w:val="fr-FR"/>
        </w:rPr>
        <w:tab/>
        <w:t>Méthodes de travail efficientes et efficaces</w:t>
      </w:r>
    </w:p>
    <w:p w14:paraId="11803636" w14:textId="77777777" w:rsidR="00DC1D16" w:rsidRPr="00EB2A7A" w:rsidRDefault="00DC1D16" w:rsidP="00E31B2B">
      <w:pPr>
        <w:pStyle w:val="enumlev1"/>
        <w:rPr>
          <w:lang w:val="fr-FR"/>
        </w:rPr>
      </w:pPr>
      <w:r w:rsidRPr="00EB2A7A">
        <w:rPr>
          <w:lang w:val="fr-FR"/>
        </w:rPr>
        <w:t>F</w:t>
      </w:r>
      <w:r>
        <w:rPr>
          <w:lang w:val="fr-FR"/>
        </w:rPr>
        <w:t>)</w:t>
      </w:r>
      <w:r w:rsidRPr="00EB2A7A">
        <w:rPr>
          <w:lang w:val="fr-FR"/>
        </w:rPr>
        <w:tab/>
        <w:t>Identification rapide des besoins en matière de normalisation</w:t>
      </w:r>
    </w:p>
    <w:p w14:paraId="7EAC7C6C" w14:textId="2B41A2D5" w:rsidR="00DC1D16" w:rsidRPr="00EB2A7A" w:rsidRDefault="00DC1D16" w:rsidP="00E31B2B">
      <w:pPr>
        <w:pStyle w:val="enumlev1"/>
        <w:rPr>
          <w:color w:val="000000"/>
          <w:lang w:val="fr-FR"/>
        </w:rPr>
      </w:pPr>
      <w:r w:rsidRPr="00EB2A7A">
        <w:rPr>
          <w:lang w:val="fr-FR"/>
        </w:rPr>
        <w:t>G</w:t>
      </w:r>
      <w:r>
        <w:rPr>
          <w:lang w:val="fr-FR"/>
        </w:rPr>
        <w:t>)</w:t>
      </w:r>
      <w:r w:rsidRPr="00EB2A7A">
        <w:rPr>
          <w:lang w:val="fr-FR"/>
        </w:rPr>
        <w:tab/>
      </w:r>
      <w:r w:rsidRPr="00EB2A7A">
        <w:rPr>
          <w:color w:val="000000"/>
          <w:lang w:val="fr-FR"/>
        </w:rPr>
        <w:t>Contribution à la réduction de l</w:t>
      </w:r>
      <w:r w:rsidR="00E31B2B">
        <w:rPr>
          <w:color w:val="000000"/>
          <w:lang w:val="fr-FR"/>
        </w:rPr>
        <w:t>'</w:t>
      </w:r>
      <w:r w:rsidRPr="00EB2A7A">
        <w:rPr>
          <w:color w:val="000000"/>
          <w:lang w:val="fr-FR"/>
        </w:rPr>
        <w:t>écart en matière de normalisation</w:t>
      </w:r>
    </w:p>
    <w:p w14:paraId="3A2E2E06" w14:textId="3D246671" w:rsidR="00DC1D16" w:rsidRPr="00EB2A7A" w:rsidRDefault="00DC1D16" w:rsidP="00E31B2B">
      <w:pPr>
        <w:rPr>
          <w:lang w:val="fr-FR"/>
        </w:rPr>
      </w:pPr>
      <w:r w:rsidRPr="00EB2A7A">
        <w:rPr>
          <w:lang w:val="fr-FR"/>
        </w:rPr>
        <w:t>Les autres éléments à prendre en compte sont</w:t>
      </w:r>
      <w:r w:rsidR="00E31B2B">
        <w:rPr>
          <w:lang w:val="fr-FR"/>
        </w:rPr>
        <w:t xml:space="preserve"> </w:t>
      </w:r>
      <w:r w:rsidRPr="00EB2A7A">
        <w:rPr>
          <w:lang w:val="fr-FR"/>
        </w:rPr>
        <w:t>les suivants:</w:t>
      </w:r>
    </w:p>
    <w:p w14:paraId="18A88083" w14:textId="67182BC4" w:rsidR="00DC1D16" w:rsidRPr="00FB14F2" w:rsidRDefault="00DC1D16" w:rsidP="00E31B2B">
      <w:pPr>
        <w:pStyle w:val="enumlev1"/>
        <w:rPr>
          <w:lang w:val="fr-FR"/>
        </w:rPr>
      </w:pPr>
      <w:r w:rsidRPr="00FB14F2">
        <w:rPr>
          <w:lang w:val="fr-FR"/>
        </w:rPr>
        <w:t>1)</w:t>
      </w:r>
      <w:r w:rsidRPr="00FB14F2">
        <w:rPr>
          <w:lang w:val="fr-FR"/>
        </w:rPr>
        <w:tab/>
      </w:r>
      <w:r w:rsidR="002B5F36">
        <w:rPr>
          <w:lang w:val="fr-FR"/>
        </w:rPr>
        <w:t>Il convient d</w:t>
      </w:r>
      <w:r w:rsidR="00E31B2B">
        <w:rPr>
          <w:lang w:val="fr-FR"/>
        </w:rPr>
        <w:t>'</w:t>
      </w:r>
      <w:r w:rsidR="002B5F36">
        <w:rPr>
          <w:lang w:val="fr-FR"/>
        </w:rPr>
        <w:t>élaborer les</w:t>
      </w:r>
      <w:r w:rsidR="002B5F36" w:rsidRPr="00FB14F2">
        <w:rPr>
          <w:lang w:val="fr-FR"/>
        </w:rPr>
        <w:t xml:space="preserve"> </w:t>
      </w:r>
      <w:r w:rsidRPr="00FB14F2">
        <w:rPr>
          <w:lang w:val="fr-FR"/>
        </w:rPr>
        <w:t xml:space="preserve">normes </w:t>
      </w:r>
      <w:r w:rsidR="002B5F36">
        <w:rPr>
          <w:lang w:val="fr-FR"/>
        </w:rPr>
        <w:t>en faisant appel aux</w:t>
      </w:r>
      <w:r w:rsidRPr="00FB14F2">
        <w:rPr>
          <w:lang w:val="fr-FR"/>
        </w:rPr>
        <w:t xml:space="preserve"> compétences </w:t>
      </w:r>
      <w:r w:rsidR="00307269">
        <w:rPr>
          <w:lang w:val="fr-FR"/>
        </w:rPr>
        <w:t xml:space="preserve">techniques </w:t>
      </w:r>
      <w:r w:rsidRPr="00FB14F2">
        <w:rPr>
          <w:lang w:val="fr-FR"/>
        </w:rPr>
        <w:t xml:space="preserve">et </w:t>
      </w:r>
      <w:r w:rsidR="002B5F36">
        <w:rPr>
          <w:lang w:val="fr-FR"/>
        </w:rPr>
        <w:t xml:space="preserve">aux connaissances </w:t>
      </w:r>
      <w:r w:rsidRPr="00FB14F2">
        <w:rPr>
          <w:lang w:val="fr-FR"/>
        </w:rPr>
        <w:t>nécessaires pour garantir un résultat concret.</w:t>
      </w:r>
    </w:p>
    <w:p w14:paraId="1356DD63" w14:textId="4B9C8A2F" w:rsidR="00DC1D16" w:rsidRPr="00FB14F2" w:rsidRDefault="00DC1D16" w:rsidP="00E31B2B">
      <w:pPr>
        <w:pStyle w:val="enumlev1"/>
        <w:rPr>
          <w:rStyle w:val="jlqj4b"/>
          <w:lang w:val="fr-FR"/>
        </w:rPr>
      </w:pPr>
      <w:r w:rsidRPr="00FB14F2">
        <w:rPr>
          <w:lang w:val="fr-FR"/>
        </w:rPr>
        <w:t>2)</w:t>
      </w:r>
      <w:r w:rsidRPr="00FB14F2">
        <w:rPr>
          <w:lang w:val="fr-FR"/>
        </w:rPr>
        <w:tab/>
        <w:t xml:space="preserve">Il convient </w:t>
      </w:r>
      <w:r w:rsidR="002B5F36">
        <w:rPr>
          <w:lang w:val="fr-FR"/>
        </w:rPr>
        <w:t>d</w:t>
      </w:r>
      <w:r w:rsidR="00E31B2B">
        <w:rPr>
          <w:lang w:val="fr-FR"/>
        </w:rPr>
        <w:t>'</w:t>
      </w:r>
      <w:r w:rsidRPr="00FB14F2">
        <w:rPr>
          <w:lang w:val="fr-FR"/>
        </w:rPr>
        <w:t>éviter</w:t>
      </w:r>
      <w:r w:rsidR="00E31B2B">
        <w:rPr>
          <w:lang w:val="fr-FR"/>
        </w:rPr>
        <w:t xml:space="preserve"> </w:t>
      </w:r>
      <w:r w:rsidR="00307269">
        <w:rPr>
          <w:lang w:val="fr-FR"/>
        </w:rPr>
        <w:t>tout chevau</w:t>
      </w:r>
      <w:r w:rsidR="00E31B2B">
        <w:rPr>
          <w:lang w:val="fr-FR"/>
        </w:rPr>
        <w:t>c</w:t>
      </w:r>
      <w:r w:rsidR="00307269">
        <w:rPr>
          <w:lang w:val="fr-FR"/>
        </w:rPr>
        <w:t>hement</w:t>
      </w:r>
      <w:r w:rsidRPr="00FB14F2">
        <w:rPr>
          <w:lang w:val="fr-FR"/>
        </w:rPr>
        <w:t xml:space="preserve"> des activ</w:t>
      </w:r>
      <w:r>
        <w:rPr>
          <w:lang w:val="fr-FR"/>
        </w:rPr>
        <w:t>ités de normalisation entre les </w:t>
      </w:r>
      <w:r w:rsidRPr="00FB14F2">
        <w:rPr>
          <w:lang w:val="fr-FR"/>
        </w:rPr>
        <w:t>commissions d</w:t>
      </w:r>
      <w:r w:rsidR="00E31B2B">
        <w:rPr>
          <w:lang w:val="fr-FR"/>
        </w:rPr>
        <w:t>'</w:t>
      </w:r>
      <w:r w:rsidRPr="00FB14F2">
        <w:rPr>
          <w:lang w:val="fr-FR"/>
        </w:rPr>
        <w:t>études de l</w:t>
      </w:r>
      <w:r w:rsidR="00E31B2B">
        <w:rPr>
          <w:lang w:val="fr-FR"/>
        </w:rPr>
        <w:t>'</w:t>
      </w:r>
      <w:r w:rsidRPr="00FB14F2">
        <w:rPr>
          <w:lang w:val="fr-FR"/>
        </w:rPr>
        <w:t xml:space="preserve">UIT-T et, conformément </w:t>
      </w:r>
      <w:r>
        <w:rPr>
          <w:lang w:val="fr-FR"/>
        </w:rPr>
        <w:t>à la Résolution 71 (Rév. Dubaï, </w:t>
      </w:r>
      <w:r w:rsidRPr="00FB14F2">
        <w:rPr>
          <w:lang w:val="fr-FR"/>
        </w:rPr>
        <w:t>2018) de la Conférence de plénipotentiaires de l</w:t>
      </w:r>
      <w:r w:rsidR="00E31B2B">
        <w:rPr>
          <w:lang w:val="fr-FR"/>
        </w:rPr>
        <w:t>'</w:t>
      </w:r>
      <w:r w:rsidRPr="00FB14F2">
        <w:rPr>
          <w:lang w:val="fr-FR"/>
        </w:rPr>
        <w:t>UIT</w:t>
      </w:r>
      <w:r w:rsidR="002B5F36">
        <w:rPr>
          <w:lang w:val="fr-FR"/>
        </w:rPr>
        <w:t xml:space="preserve"> et</w:t>
      </w:r>
      <w:r w:rsidR="00E31B2B">
        <w:rPr>
          <w:lang w:val="fr-FR"/>
        </w:rPr>
        <w:t xml:space="preserve"> </w:t>
      </w:r>
      <w:r w:rsidR="002B5F36">
        <w:rPr>
          <w:lang w:val="fr-FR"/>
        </w:rPr>
        <w:t xml:space="preserve">de </w:t>
      </w:r>
      <w:r w:rsidRPr="00FB14F2">
        <w:rPr>
          <w:lang w:val="fr-FR"/>
        </w:rPr>
        <w:t>réduire autant que possible les incompatibilités entre les normes de l</w:t>
      </w:r>
      <w:r w:rsidR="00E31B2B">
        <w:rPr>
          <w:lang w:val="fr-FR"/>
        </w:rPr>
        <w:t>'</w:t>
      </w:r>
      <w:r w:rsidRPr="00FB14F2">
        <w:rPr>
          <w:lang w:val="fr-FR"/>
        </w:rPr>
        <w:t>UIT et celles d</w:t>
      </w:r>
      <w:r w:rsidR="00E31B2B">
        <w:rPr>
          <w:lang w:val="fr-FR"/>
        </w:rPr>
        <w:t>'</w:t>
      </w:r>
      <w:r w:rsidRPr="00FB14F2">
        <w:rPr>
          <w:lang w:val="fr-FR"/>
        </w:rPr>
        <w:t>autres organisations de normalisation mondiales.</w:t>
      </w:r>
      <w:r w:rsidR="002B5F36">
        <w:rPr>
          <w:lang w:val="fr-FR"/>
        </w:rPr>
        <w:t xml:space="preserve"> T</w:t>
      </w:r>
      <w:r w:rsidR="002B5F36" w:rsidRPr="00FB14F2">
        <w:rPr>
          <w:lang w:val="fr-FR"/>
        </w:rPr>
        <w:t>outefois</w:t>
      </w:r>
      <w:r w:rsidR="002B5F36">
        <w:rPr>
          <w:lang w:val="fr-FR"/>
        </w:rPr>
        <w:t>,</w:t>
      </w:r>
      <w:r w:rsidRPr="00FB14F2">
        <w:rPr>
          <w:lang w:val="fr-FR"/>
        </w:rPr>
        <w:t xml:space="preserve"> </w:t>
      </w:r>
      <w:r w:rsidR="002B5F36">
        <w:rPr>
          <w:lang w:val="fr-FR"/>
        </w:rPr>
        <w:t>i</w:t>
      </w:r>
      <w:r w:rsidRPr="00FB14F2">
        <w:rPr>
          <w:lang w:val="fr-FR"/>
        </w:rPr>
        <w:t xml:space="preserve">l </w:t>
      </w:r>
      <w:r w:rsidR="002B5F36">
        <w:rPr>
          <w:lang w:val="fr-FR"/>
        </w:rPr>
        <w:t>y a lieu de</w:t>
      </w:r>
      <w:r w:rsidRPr="00FB14F2">
        <w:rPr>
          <w:lang w:val="fr-FR"/>
        </w:rPr>
        <w:t xml:space="preserve"> de noter que l</w:t>
      </w:r>
      <w:r w:rsidR="00E31B2B">
        <w:rPr>
          <w:lang w:val="fr-FR"/>
        </w:rPr>
        <w:t>'</w:t>
      </w:r>
      <w:r w:rsidRPr="00FB14F2">
        <w:rPr>
          <w:lang w:val="fr-FR"/>
        </w:rPr>
        <w:t>étude des relations entre l</w:t>
      </w:r>
      <w:r w:rsidR="00E31B2B">
        <w:rPr>
          <w:lang w:val="fr-FR"/>
        </w:rPr>
        <w:t>'</w:t>
      </w:r>
      <w:r w:rsidRPr="00FB14F2">
        <w:rPr>
          <w:lang w:val="fr-FR"/>
        </w:rPr>
        <w:t>UIT-T et d</w:t>
      </w:r>
      <w:r w:rsidR="00E31B2B">
        <w:rPr>
          <w:lang w:val="fr-FR"/>
        </w:rPr>
        <w:t>'</w:t>
      </w:r>
      <w:r w:rsidRPr="00FB14F2">
        <w:rPr>
          <w:lang w:val="fr-FR"/>
        </w:rPr>
        <w:t xml:space="preserve">autres organisations de normalisation dans le </w:t>
      </w:r>
      <w:r w:rsidR="002B5F36">
        <w:rPr>
          <w:lang w:val="fr-FR"/>
        </w:rPr>
        <w:t xml:space="preserve">cadre du </w:t>
      </w:r>
      <w:r w:rsidRPr="00FB14F2">
        <w:rPr>
          <w:lang w:val="fr-FR"/>
        </w:rPr>
        <w:t>processus de restructuration ne doit pas faire double emploi avec les travaux menés par d</w:t>
      </w:r>
      <w:r w:rsidR="00E31B2B">
        <w:rPr>
          <w:lang w:val="fr-FR"/>
        </w:rPr>
        <w:t>'</w:t>
      </w:r>
      <w:r w:rsidRPr="00FB14F2">
        <w:rPr>
          <w:lang w:val="fr-FR"/>
        </w:rPr>
        <w:t xml:space="preserve">autres Groupes du Rapporteur du GCNT, </w:t>
      </w:r>
      <w:r w:rsidR="002B5F36">
        <w:rPr>
          <w:lang w:val="fr-FR"/>
        </w:rPr>
        <w:t>par exemple</w:t>
      </w:r>
      <w:r w:rsidRPr="00FB14F2">
        <w:rPr>
          <w:lang w:val="fr-FR"/>
        </w:rPr>
        <w:t xml:space="preserve"> </w:t>
      </w:r>
      <w:r w:rsidR="002B5F36">
        <w:rPr>
          <w:lang w:val="fr-FR"/>
        </w:rPr>
        <w:t xml:space="preserve">le </w:t>
      </w:r>
      <w:r w:rsidR="002B5F36" w:rsidRPr="00FB14F2">
        <w:rPr>
          <w:lang w:val="fr-FR"/>
        </w:rPr>
        <w:t>Groupe</w:t>
      </w:r>
      <w:r w:rsidR="00E31B2B">
        <w:rPr>
          <w:lang w:val="fr-FR"/>
        </w:rPr>
        <w:t xml:space="preserve"> </w:t>
      </w:r>
      <w:r w:rsidR="002B5F36" w:rsidRPr="00FB14F2">
        <w:rPr>
          <w:lang w:val="fr-FR"/>
        </w:rPr>
        <w:t xml:space="preserve">du Rapporteur </w:t>
      </w:r>
      <w:r w:rsidRPr="00FB14F2">
        <w:rPr>
          <w:lang w:val="fr-FR"/>
        </w:rPr>
        <w:t>sur le renforcement de la coopération ou sur les méthodes de travail.</w:t>
      </w:r>
    </w:p>
    <w:p w14:paraId="0677D07F" w14:textId="458E723A" w:rsidR="00DC1D16" w:rsidRPr="00FB14F2" w:rsidRDefault="00DC1D16" w:rsidP="00E31B2B">
      <w:pPr>
        <w:pStyle w:val="enumlev1"/>
        <w:rPr>
          <w:lang w:val="fr-FR"/>
        </w:rPr>
      </w:pPr>
      <w:r w:rsidRPr="00FB14F2">
        <w:rPr>
          <w:lang w:val="fr-FR"/>
        </w:rPr>
        <w:t>3)</w:t>
      </w:r>
      <w:r w:rsidRPr="00FB14F2">
        <w:rPr>
          <w:lang w:val="fr-FR"/>
        </w:rPr>
        <w:tab/>
        <w:t>Le nombre actuel est-il stable et, s</w:t>
      </w:r>
      <w:r w:rsidR="00E31B2B">
        <w:rPr>
          <w:lang w:val="fr-FR"/>
        </w:rPr>
        <w:t>'</w:t>
      </w:r>
      <w:r w:rsidRPr="00FB14F2">
        <w:rPr>
          <w:lang w:val="fr-FR"/>
        </w:rPr>
        <w:t>il existe une proposition visant à créer un nouveau groupe d</w:t>
      </w:r>
      <w:r w:rsidR="00E31B2B">
        <w:rPr>
          <w:lang w:val="fr-FR"/>
        </w:rPr>
        <w:t>'</w:t>
      </w:r>
      <w:r w:rsidRPr="00FB14F2">
        <w:rPr>
          <w:lang w:val="fr-FR"/>
        </w:rPr>
        <w:t>étude</w:t>
      </w:r>
      <w:r>
        <w:rPr>
          <w:lang w:val="fr-FR"/>
        </w:rPr>
        <w:t>s</w:t>
      </w:r>
      <w:r w:rsidRPr="00FB14F2">
        <w:rPr>
          <w:lang w:val="fr-FR"/>
        </w:rPr>
        <w:t>, le nombre total d</w:t>
      </w:r>
      <w:r w:rsidR="002A6961">
        <w:rPr>
          <w:lang w:val="fr-FR"/>
        </w:rPr>
        <w:t>evra</w:t>
      </w:r>
      <w:r w:rsidRPr="00FB14F2">
        <w:rPr>
          <w:lang w:val="fr-FR"/>
        </w:rPr>
        <w:t>it-il être maintenu?</w:t>
      </w:r>
    </w:p>
    <w:p w14:paraId="3D864E16" w14:textId="09EE7802" w:rsidR="00DC1D16" w:rsidRPr="00FB14F2" w:rsidRDefault="00DC1D16" w:rsidP="00E31B2B">
      <w:pPr>
        <w:pStyle w:val="enumlev1"/>
        <w:rPr>
          <w:lang w:val="fr-FR"/>
        </w:rPr>
      </w:pPr>
      <w:r w:rsidRPr="00FB14F2">
        <w:rPr>
          <w:lang w:val="fr-FR"/>
        </w:rPr>
        <w:t>4)</w:t>
      </w:r>
      <w:r w:rsidRPr="00FB14F2">
        <w:rPr>
          <w:lang w:val="fr-FR"/>
        </w:rPr>
        <w:tab/>
        <w:t>Quel est le nombre approprié de Questions au sein des commissions d</w:t>
      </w:r>
      <w:r w:rsidR="00E31B2B">
        <w:rPr>
          <w:lang w:val="fr-FR"/>
        </w:rPr>
        <w:t>'</w:t>
      </w:r>
      <w:r w:rsidRPr="00FB14F2">
        <w:rPr>
          <w:lang w:val="fr-FR"/>
        </w:rPr>
        <w:t>études pour faciliter la mobilisation et la participation des membres, ainsi que l</w:t>
      </w:r>
      <w:r w:rsidR="00E31B2B">
        <w:rPr>
          <w:lang w:val="fr-FR"/>
        </w:rPr>
        <w:t>'</w:t>
      </w:r>
      <w:r w:rsidRPr="00FB14F2">
        <w:rPr>
          <w:lang w:val="fr-FR"/>
        </w:rPr>
        <w:t>efficacité de l</w:t>
      </w:r>
      <w:r w:rsidR="00E31B2B">
        <w:rPr>
          <w:lang w:val="fr-FR"/>
        </w:rPr>
        <w:t>'</w:t>
      </w:r>
      <w:r w:rsidRPr="00FB14F2">
        <w:rPr>
          <w:lang w:val="fr-FR"/>
        </w:rPr>
        <w:t>attribution des sujets d</w:t>
      </w:r>
      <w:r w:rsidR="00E31B2B">
        <w:rPr>
          <w:lang w:val="fr-FR"/>
        </w:rPr>
        <w:t>'</w:t>
      </w:r>
      <w:r w:rsidRPr="00FB14F2">
        <w:rPr>
          <w:lang w:val="fr-FR"/>
        </w:rPr>
        <w:t xml:space="preserve">étude entre les </w:t>
      </w:r>
      <w:r w:rsidR="002B5F36">
        <w:rPr>
          <w:lang w:val="fr-FR"/>
        </w:rPr>
        <w:t>responsables de l</w:t>
      </w:r>
      <w:r w:rsidR="00E31B2B">
        <w:rPr>
          <w:lang w:val="fr-FR"/>
        </w:rPr>
        <w:t>'</w:t>
      </w:r>
      <w:r w:rsidR="002B5F36">
        <w:rPr>
          <w:lang w:val="fr-FR"/>
        </w:rPr>
        <w:t>étude des Q</w:t>
      </w:r>
      <w:r w:rsidR="002B5F36" w:rsidRPr="00FB14F2">
        <w:rPr>
          <w:lang w:val="fr-FR"/>
        </w:rPr>
        <w:t>uestions</w:t>
      </w:r>
      <w:r w:rsidRPr="00FB14F2">
        <w:rPr>
          <w:lang w:val="fr-FR"/>
        </w:rPr>
        <w:t>?</w:t>
      </w:r>
    </w:p>
    <w:p w14:paraId="646E7370" w14:textId="423B220E" w:rsidR="00DC1D16" w:rsidRPr="00FB14F2" w:rsidRDefault="00DC1D16" w:rsidP="00E31B2B">
      <w:pPr>
        <w:pStyle w:val="enumlev1"/>
        <w:rPr>
          <w:lang w:val="fr-FR"/>
        </w:rPr>
      </w:pPr>
      <w:r w:rsidRPr="00FB14F2">
        <w:rPr>
          <w:lang w:val="fr-FR"/>
        </w:rPr>
        <w:t>5)</w:t>
      </w:r>
      <w:r w:rsidRPr="00FB14F2">
        <w:rPr>
          <w:lang w:val="fr-FR"/>
        </w:rPr>
        <w:tab/>
        <w:t>La normalisation des technologies nouvelles et émergentes devrait-elle être intégrée dans les commissions d</w:t>
      </w:r>
      <w:r w:rsidR="00E31B2B">
        <w:rPr>
          <w:lang w:val="fr-FR"/>
        </w:rPr>
        <w:t>'</w:t>
      </w:r>
      <w:r w:rsidRPr="00FB14F2">
        <w:rPr>
          <w:lang w:val="fr-FR"/>
        </w:rPr>
        <w:t>études existantes et fusionnée dans les Questions</w:t>
      </w:r>
      <w:r w:rsidR="00E31B2B">
        <w:rPr>
          <w:lang w:val="fr-FR"/>
        </w:rPr>
        <w:t xml:space="preserve"> </w:t>
      </w:r>
      <w:r w:rsidR="002A6961">
        <w:rPr>
          <w:lang w:val="fr-FR"/>
        </w:rPr>
        <w:t>moyennant</w:t>
      </w:r>
      <w:r w:rsidR="00E31B2B">
        <w:rPr>
          <w:lang w:val="fr-FR"/>
        </w:rPr>
        <w:t xml:space="preserve"> </w:t>
      </w:r>
      <w:r w:rsidRPr="00FB14F2">
        <w:rPr>
          <w:lang w:val="fr-FR"/>
        </w:rPr>
        <w:t>la révision des Questions existantes et</w:t>
      </w:r>
      <w:r w:rsidR="002A6961">
        <w:rPr>
          <w:lang w:val="fr-FR"/>
        </w:rPr>
        <w:t xml:space="preserve"> la formulation</w:t>
      </w:r>
      <w:r w:rsidR="00E31B2B">
        <w:rPr>
          <w:lang w:val="fr-FR"/>
        </w:rPr>
        <w:t xml:space="preserve"> </w:t>
      </w:r>
      <w:r w:rsidRPr="00FB14F2">
        <w:rPr>
          <w:lang w:val="fr-FR"/>
        </w:rPr>
        <w:t>de nouveaux sujets d</w:t>
      </w:r>
      <w:r w:rsidR="00E31B2B">
        <w:rPr>
          <w:lang w:val="fr-FR"/>
        </w:rPr>
        <w:t>'</w:t>
      </w:r>
      <w:r w:rsidRPr="00FB14F2">
        <w:rPr>
          <w:lang w:val="fr-FR"/>
        </w:rPr>
        <w:t>étude, s</w:t>
      </w:r>
      <w:r w:rsidR="00E31B2B">
        <w:rPr>
          <w:lang w:val="fr-FR"/>
        </w:rPr>
        <w:t>'</w:t>
      </w:r>
      <w:r w:rsidRPr="00FB14F2">
        <w:rPr>
          <w:lang w:val="fr-FR"/>
        </w:rPr>
        <w:t>il y a lieu, ou l</w:t>
      </w:r>
      <w:r w:rsidR="00E31B2B">
        <w:rPr>
          <w:lang w:val="fr-FR"/>
        </w:rPr>
        <w:t>'</w:t>
      </w:r>
      <w:r w:rsidRPr="00FB14F2">
        <w:rPr>
          <w:lang w:val="fr-FR"/>
        </w:rPr>
        <w:t>élaboration de nouvelles Questions?</w:t>
      </w:r>
    </w:p>
    <w:p w14:paraId="7C4F7A88" w14:textId="6955BFAA" w:rsidR="00DC1D16" w:rsidRPr="00FB14F2" w:rsidRDefault="00DC1D16" w:rsidP="00E31B2B">
      <w:pPr>
        <w:pStyle w:val="enumlev1"/>
        <w:rPr>
          <w:lang w:val="fr-FR"/>
        </w:rPr>
      </w:pPr>
      <w:r w:rsidRPr="00FB14F2">
        <w:rPr>
          <w:lang w:val="fr-FR"/>
        </w:rPr>
        <w:t>6)</w:t>
      </w:r>
      <w:r w:rsidRPr="00FB14F2">
        <w:rPr>
          <w:lang w:val="fr-FR"/>
        </w:rPr>
        <w:tab/>
        <w:t xml:space="preserve">Toute modification </w:t>
      </w:r>
      <w:r w:rsidR="002A6961">
        <w:rPr>
          <w:lang w:val="fr-FR"/>
        </w:rPr>
        <w:t>apportée à</w:t>
      </w:r>
      <w:r w:rsidR="00E31B2B">
        <w:rPr>
          <w:lang w:val="fr-FR"/>
        </w:rPr>
        <w:t xml:space="preserve"> </w:t>
      </w:r>
      <w:r w:rsidRPr="00FB14F2">
        <w:rPr>
          <w:lang w:val="fr-FR"/>
        </w:rPr>
        <w:t>la structure de l</w:t>
      </w:r>
      <w:r w:rsidR="00E31B2B">
        <w:rPr>
          <w:lang w:val="fr-FR"/>
        </w:rPr>
        <w:t>'</w:t>
      </w:r>
      <w:r w:rsidRPr="00FB14F2">
        <w:rPr>
          <w:lang w:val="fr-FR"/>
        </w:rPr>
        <w:t>UIT-T d</w:t>
      </w:r>
      <w:r w:rsidR="002A6961">
        <w:rPr>
          <w:lang w:val="fr-FR"/>
        </w:rPr>
        <w:t>evra</w:t>
      </w:r>
      <w:r w:rsidRPr="00FB14F2">
        <w:rPr>
          <w:lang w:val="fr-FR"/>
        </w:rPr>
        <w:t>it tenir compte de</w:t>
      </w:r>
      <w:r w:rsidR="002A6961">
        <w:rPr>
          <w:lang w:val="fr-FR"/>
        </w:rPr>
        <w:t>s</w:t>
      </w:r>
      <w:r w:rsidRPr="00FB14F2">
        <w:rPr>
          <w:lang w:val="fr-FR"/>
        </w:rPr>
        <w:t xml:space="preserve"> incidence</w:t>
      </w:r>
      <w:r w:rsidR="002A6961">
        <w:rPr>
          <w:lang w:val="fr-FR"/>
        </w:rPr>
        <w:t>s</w:t>
      </w:r>
      <w:r w:rsidRPr="00FB14F2">
        <w:rPr>
          <w:lang w:val="fr-FR"/>
        </w:rPr>
        <w:t xml:space="preserve"> sur la permanence et la continuité des travaux des commissions d</w:t>
      </w:r>
      <w:r w:rsidR="00E31B2B">
        <w:rPr>
          <w:lang w:val="fr-FR"/>
        </w:rPr>
        <w:t>'</w:t>
      </w:r>
      <w:r w:rsidRPr="00FB14F2">
        <w:rPr>
          <w:lang w:val="fr-FR"/>
        </w:rPr>
        <w:t>études et des groupes régionaux, afin de poursuivre l</w:t>
      </w:r>
      <w:r w:rsidR="00E31B2B">
        <w:rPr>
          <w:lang w:val="fr-FR"/>
        </w:rPr>
        <w:t>'</w:t>
      </w:r>
      <w:r w:rsidRPr="00FB14F2">
        <w:rPr>
          <w:lang w:val="fr-FR"/>
        </w:rPr>
        <w:t>élaboration en temps voulu de Recommandations de haute qualité, répondant à la demande, efficaces et rentables.</w:t>
      </w:r>
    </w:p>
    <w:p w14:paraId="101CB45C" w14:textId="77777777" w:rsidR="00DC1D16" w:rsidRPr="00EB2A7A" w:rsidRDefault="00DC1D16" w:rsidP="00E31B2B">
      <w:pPr>
        <w:pStyle w:val="Heading3"/>
        <w:rPr>
          <w:lang w:val="fr-FR"/>
        </w:rPr>
      </w:pPr>
      <w:r w:rsidRPr="00EB2A7A">
        <w:rPr>
          <w:lang w:val="fr-FR"/>
        </w:rPr>
        <w:t>I.3.2</w:t>
      </w:r>
      <w:r w:rsidRPr="00EB2A7A">
        <w:rPr>
          <w:lang w:val="fr-FR"/>
        </w:rPr>
        <w:tab/>
        <w:t xml:space="preserve">Mesures requises </w:t>
      </w:r>
    </w:p>
    <w:p w14:paraId="383FF820" w14:textId="2D1C4D38" w:rsidR="00DC1D16" w:rsidRPr="00EB2A7A" w:rsidRDefault="00DC1D16" w:rsidP="00E31B2B">
      <w:pPr>
        <w:rPr>
          <w:rStyle w:val="jlqj4b"/>
          <w:rFonts w:cstheme="minorHAnsi"/>
          <w:lang w:val="fr-FR"/>
        </w:rPr>
      </w:pPr>
      <w:r w:rsidRPr="00EB2A7A">
        <w:rPr>
          <w:rFonts w:cstheme="minorHAnsi"/>
          <w:lang w:val="fr-FR"/>
        </w:rPr>
        <w:t>Le présent plan d</w:t>
      </w:r>
      <w:r w:rsidR="00E31B2B">
        <w:rPr>
          <w:rFonts w:cstheme="minorHAnsi"/>
          <w:lang w:val="fr-FR"/>
        </w:rPr>
        <w:t>'</w:t>
      </w:r>
      <w:r w:rsidRPr="00EB2A7A">
        <w:rPr>
          <w:rFonts w:cstheme="minorHAnsi"/>
          <w:lang w:val="fr-FR"/>
        </w:rPr>
        <w:t xml:space="preserve">action vise à garantir </w:t>
      </w:r>
      <w:r w:rsidR="002A6961">
        <w:rPr>
          <w:rFonts w:cstheme="minorHAnsi"/>
          <w:lang w:val="fr-FR"/>
        </w:rPr>
        <w:t>que</w:t>
      </w:r>
      <w:r w:rsidRPr="00EB2A7A">
        <w:rPr>
          <w:rFonts w:cstheme="minorHAnsi"/>
          <w:lang w:val="fr-FR"/>
        </w:rPr>
        <w:t xml:space="preserve"> des données et des indicateurs</w:t>
      </w:r>
      <w:r w:rsidR="002A6961">
        <w:rPr>
          <w:rFonts w:cstheme="minorHAnsi"/>
          <w:lang w:val="fr-FR"/>
        </w:rPr>
        <w:t xml:space="preserve"> sont disponibles</w:t>
      </w:r>
      <w:r w:rsidR="00E31B2B">
        <w:rPr>
          <w:rFonts w:cstheme="minorHAnsi"/>
          <w:lang w:val="fr-FR"/>
        </w:rPr>
        <w:t xml:space="preserve"> </w:t>
      </w:r>
      <w:r w:rsidR="002A6961">
        <w:rPr>
          <w:rFonts w:cstheme="minorHAnsi"/>
          <w:lang w:val="fr-FR"/>
        </w:rPr>
        <w:t>pour</w:t>
      </w:r>
      <w:r w:rsidRPr="00EB2A7A">
        <w:rPr>
          <w:rFonts w:cstheme="minorHAnsi"/>
          <w:lang w:val="fr-FR"/>
        </w:rPr>
        <w:t xml:space="preserve"> proposer une structure du Secteur </w:t>
      </w:r>
      <w:r w:rsidR="002A6961">
        <w:rPr>
          <w:rFonts w:cstheme="minorHAnsi"/>
          <w:lang w:val="fr-FR"/>
        </w:rPr>
        <w:t xml:space="preserve">UIT-T </w:t>
      </w:r>
      <w:r w:rsidRPr="00EB2A7A">
        <w:rPr>
          <w:rFonts w:cstheme="minorHAnsi"/>
          <w:lang w:val="fr-FR"/>
        </w:rPr>
        <w:t xml:space="preserve">qui </w:t>
      </w:r>
      <w:r w:rsidR="007B75EE">
        <w:rPr>
          <w:rFonts w:cstheme="minorHAnsi"/>
          <w:lang w:val="fr-FR"/>
        </w:rPr>
        <w:t>répond aux besoins de</w:t>
      </w:r>
      <w:r w:rsidRPr="00EB2A7A">
        <w:rPr>
          <w:rFonts w:cstheme="minorHAnsi"/>
          <w:lang w:val="fr-FR"/>
        </w:rPr>
        <w:t xml:space="preserve"> ses membres, tout en analysant la disponibilité de leurs compétences pour une meilleure répartition</w:t>
      </w:r>
      <w:r w:rsidRPr="00EB2A7A">
        <w:rPr>
          <w:rStyle w:val="jlqj4b"/>
          <w:lang w:val="fr-FR"/>
        </w:rPr>
        <w:t>.</w:t>
      </w:r>
    </w:p>
    <w:p w14:paraId="091EC124" w14:textId="5A282DBB" w:rsidR="00DC1D16" w:rsidRPr="00EB2A7A" w:rsidRDefault="00DC1D16" w:rsidP="00E31B2B">
      <w:pPr>
        <w:rPr>
          <w:rFonts w:eastAsia="Calibri" w:cstheme="minorHAnsi"/>
          <w:lang w:val="fr-FR"/>
        </w:rPr>
      </w:pPr>
      <w:r w:rsidRPr="00EB2A7A">
        <w:rPr>
          <w:rFonts w:cstheme="minorHAnsi"/>
          <w:lang w:val="fr-FR"/>
        </w:rPr>
        <w:t>Le plan d</w:t>
      </w:r>
      <w:r w:rsidR="00E31B2B">
        <w:rPr>
          <w:rFonts w:cstheme="minorHAnsi"/>
          <w:lang w:val="fr-FR"/>
        </w:rPr>
        <w:t>'</w:t>
      </w:r>
      <w:r w:rsidRPr="00EB2A7A">
        <w:rPr>
          <w:rFonts w:cstheme="minorHAnsi"/>
          <w:lang w:val="fr-FR"/>
        </w:rPr>
        <w:t>action utilisera les données initiales suivantes, recueillies entre 2008 et 2021.</w:t>
      </w:r>
      <w:r>
        <w:rPr>
          <w:rFonts w:cstheme="minorHAnsi"/>
          <w:lang w:val="fr-FR"/>
        </w:rPr>
        <w:t xml:space="preserve"> </w:t>
      </w:r>
      <w:r w:rsidRPr="00EB2A7A">
        <w:rPr>
          <w:rFonts w:eastAsia="Calibri" w:cstheme="minorHAnsi"/>
          <w:lang w:val="fr-FR"/>
        </w:rPr>
        <w:t>Ces mesures pourront être complétées par des données supplémentaires jugées utiles pour répondre aux questions indiquées et</w:t>
      </w:r>
      <w:r w:rsidR="00E31B2B">
        <w:rPr>
          <w:rFonts w:eastAsia="Calibri" w:cstheme="minorHAnsi"/>
          <w:lang w:val="fr-FR"/>
        </w:rPr>
        <w:t xml:space="preserve"> </w:t>
      </w:r>
      <w:r w:rsidRPr="00EB2A7A">
        <w:rPr>
          <w:rFonts w:eastAsia="Calibri" w:cstheme="minorHAnsi"/>
          <w:lang w:val="fr-FR"/>
        </w:rPr>
        <w:t>les analyser.</w:t>
      </w:r>
    </w:p>
    <w:p w14:paraId="7BE42990" w14:textId="100E216D" w:rsidR="00DC1D16" w:rsidRPr="00EB2A7A" w:rsidRDefault="00DC1D16" w:rsidP="00E31B2B">
      <w:pPr>
        <w:rPr>
          <w:rFonts w:eastAsia="Calibri" w:cstheme="minorHAnsi"/>
          <w:lang w:val="fr-FR"/>
        </w:rPr>
      </w:pPr>
      <w:r w:rsidRPr="00EB2A7A">
        <w:rPr>
          <w:rFonts w:eastAsia="Calibri" w:cstheme="minorHAnsi"/>
          <w:lang w:val="fr-FR"/>
        </w:rPr>
        <w:lastRenderedPageBreak/>
        <w:t>L</w:t>
      </w:r>
      <w:r w:rsidR="00E31B2B">
        <w:rPr>
          <w:rFonts w:eastAsia="Calibri" w:cstheme="minorHAnsi"/>
          <w:lang w:val="fr-FR"/>
        </w:rPr>
        <w:t>'</w:t>
      </w:r>
      <w:r w:rsidRPr="00EB2A7A">
        <w:rPr>
          <w:rFonts w:eastAsia="Calibri" w:cstheme="minorHAnsi"/>
          <w:lang w:val="fr-FR"/>
        </w:rPr>
        <w:t>utilisation des mesures énumérées devrait servir de base à la collecte et à l</w:t>
      </w:r>
      <w:r w:rsidR="00E31B2B">
        <w:rPr>
          <w:rFonts w:eastAsia="Calibri" w:cstheme="minorHAnsi"/>
          <w:lang w:val="fr-FR"/>
        </w:rPr>
        <w:t>'</w:t>
      </w:r>
      <w:r w:rsidRPr="00EB2A7A">
        <w:rPr>
          <w:rFonts w:eastAsia="Calibri" w:cstheme="minorHAnsi"/>
          <w:lang w:val="fr-FR"/>
        </w:rPr>
        <w:t>analyse des données en fonction des mesures, afin de fournir des éléments de réponse aux questions énumérées.</w:t>
      </w:r>
    </w:p>
    <w:p w14:paraId="7B1B6EF2" w14:textId="725BB2E7" w:rsidR="00DC1D16" w:rsidRPr="00EB2A7A" w:rsidRDefault="00DC1D16" w:rsidP="00E31B2B">
      <w:pPr>
        <w:rPr>
          <w:rFonts w:eastAsia="Calibri" w:cstheme="minorHAnsi"/>
          <w:lang w:val="fr-FR"/>
        </w:rPr>
      </w:pPr>
      <w:r w:rsidRPr="00EB2A7A">
        <w:rPr>
          <w:rFonts w:eastAsia="Calibri" w:cstheme="minorHAnsi"/>
          <w:lang w:val="fr-FR"/>
        </w:rPr>
        <w:t>L</w:t>
      </w:r>
      <w:r w:rsidR="00E31B2B">
        <w:rPr>
          <w:rFonts w:eastAsia="Calibri" w:cstheme="minorHAnsi"/>
          <w:lang w:val="fr-FR"/>
        </w:rPr>
        <w:t>'</w:t>
      </w:r>
      <w:r w:rsidRPr="00EB2A7A">
        <w:rPr>
          <w:rFonts w:eastAsia="Calibri" w:cstheme="minorHAnsi"/>
          <w:lang w:val="fr-FR"/>
        </w:rPr>
        <w:t xml:space="preserve">analyse de ces questions et mesures, ainsi que les données et méthodes utilisées, seront présentées au GCNT </w:t>
      </w:r>
      <w:r w:rsidR="007B75EE">
        <w:rPr>
          <w:rFonts w:eastAsia="Calibri" w:cstheme="minorHAnsi"/>
          <w:lang w:val="fr-FR"/>
        </w:rPr>
        <w:t>pour</w:t>
      </w:r>
      <w:r w:rsidR="00E31B2B">
        <w:rPr>
          <w:rFonts w:eastAsia="Calibri" w:cstheme="minorHAnsi"/>
          <w:lang w:val="fr-FR"/>
        </w:rPr>
        <w:t xml:space="preserve"> </w:t>
      </w:r>
      <w:r w:rsidRPr="00EB2A7A">
        <w:rPr>
          <w:rFonts w:eastAsia="Calibri" w:cstheme="minorHAnsi"/>
          <w:lang w:val="fr-FR"/>
        </w:rPr>
        <w:t xml:space="preserve">décision et </w:t>
      </w:r>
      <w:r w:rsidR="007B75EE">
        <w:rPr>
          <w:rFonts w:eastAsia="Calibri" w:cstheme="minorHAnsi"/>
          <w:lang w:val="fr-FR"/>
        </w:rPr>
        <w:t>suite à donner</w:t>
      </w:r>
      <w:r w:rsidRPr="00EB2A7A">
        <w:rPr>
          <w:rFonts w:eastAsia="Calibri" w:cstheme="minorHAnsi"/>
          <w:lang w:val="fr-FR"/>
        </w:rPr>
        <w:t>,</w:t>
      </w:r>
      <w:r w:rsidRPr="00EB2A7A">
        <w:rPr>
          <w:lang w:val="fr-FR"/>
        </w:rPr>
        <w:t xml:space="preserve"> </w:t>
      </w:r>
      <w:r w:rsidRPr="00EB2A7A">
        <w:rPr>
          <w:rFonts w:eastAsia="Calibri" w:cstheme="minorHAnsi"/>
          <w:lang w:val="fr-FR"/>
        </w:rPr>
        <w:t>selon qu</w:t>
      </w:r>
      <w:r w:rsidR="00E31B2B">
        <w:rPr>
          <w:rFonts w:eastAsia="Calibri" w:cstheme="minorHAnsi"/>
          <w:lang w:val="fr-FR"/>
        </w:rPr>
        <w:t>'</w:t>
      </w:r>
      <w:r w:rsidRPr="00EB2A7A">
        <w:rPr>
          <w:rFonts w:eastAsia="Calibri" w:cstheme="minorHAnsi"/>
          <w:lang w:val="fr-FR"/>
        </w:rPr>
        <w:t>il convien</w:t>
      </w:r>
      <w:r w:rsidR="007B75EE">
        <w:rPr>
          <w:rFonts w:eastAsia="Calibri" w:cstheme="minorHAnsi"/>
          <w:lang w:val="fr-FR"/>
        </w:rPr>
        <w:t>dra</w:t>
      </w:r>
      <w:r w:rsidR="00E31B2B">
        <w:rPr>
          <w:rFonts w:eastAsia="Calibri" w:cstheme="minorHAnsi"/>
          <w:lang w:val="fr-FR"/>
        </w:rPr>
        <w:t>.</w:t>
      </w:r>
    </w:p>
    <w:p w14:paraId="667C4102" w14:textId="0A4DF107" w:rsidR="00DC1D16" w:rsidRPr="00EB2A7A" w:rsidRDefault="00DC1D16" w:rsidP="00E31B2B">
      <w:pPr>
        <w:pStyle w:val="enumlev1"/>
        <w:rPr>
          <w:lang w:val="fr-FR"/>
        </w:rPr>
      </w:pPr>
      <w:r w:rsidRPr="00EB2A7A">
        <w:rPr>
          <w:lang w:val="fr-FR"/>
        </w:rPr>
        <w:t>1)</w:t>
      </w:r>
      <w:r w:rsidRPr="00EB2A7A">
        <w:rPr>
          <w:lang w:val="fr-FR"/>
        </w:rPr>
        <w:tab/>
        <w:t>Quelles sont les mesures relatives aux activités de normalisation de l</w:t>
      </w:r>
      <w:r w:rsidR="00E31B2B">
        <w:rPr>
          <w:lang w:val="fr-FR"/>
        </w:rPr>
        <w:t>'</w:t>
      </w:r>
      <w:r w:rsidRPr="00EB2A7A">
        <w:rPr>
          <w:lang w:val="fr-FR"/>
        </w:rPr>
        <w:t>UIT-T pour l</w:t>
      </w:r>
      <w:r w:rsidR="00E31B2B">
        <w:rPr>
          <w:lang w:val="fr-FR"/>
        </w:rPr>
        <w:t>'</w:t>
      </w:r>
      <w:r w:rsidRPr="00EB2A7A">
        <w:rPr>
          <w:lang w:val="fr-FR"/>
        </w:rPr>
        <w:t>élaboration de Recommandations?</w:t>
      </w:r>
    </w:p>
    <w:p w14:paraId="47D6D6BF" w14:textId="6D26CDE8" w:rsidR="00DC1D16" w:rsidRPr="00EB2A7A" w:rsidRDefault="00DC1D16" w:rsidP="00E31B2B">
      <w:pPr>
        <w:pStyle w:val="enumlev2"/>
        <w:rPr>
          <w:lang w:val="fr-FR"/>
        </w:rPr>
      </w:pPr>
      <w:r w:rsidRPr="00EB2A7A">
        <w:rPr>
          <w:lang w:val="fr-FR"/>
        </w:rPr>
        <w:t>1.1)</w:t>
      </w:r>
      <w:r w:rsidRPr="00EB2A7A">
        <w:rPr>
          <w:lang w:val="fr-FR"/>
        </w:rPr>
        <w:tab/>
      </w:r>
      <w:r>
        <w:rPr>
          <w:lang w:val="fr-FR"/>
        </w:rPr>
        <w:t>P</w:t>
      </w:r>
      <w:r w:rsidRPr="00EB2A7A">
        <w:rPr>
          <w:lang w:val="fr-FR"/>
        </w:rPr>
        <w:t>articipation, contribution et fonctions de direction occupées par type de membres entre 2008 et 2021 pour chaque commission d</w:t>
      </w:r>
      <w:r w:rsidR="00E31B2B">
        <w:rPr>
          <w:lang w:val="fr-FR"/>
        </w:rPr>
        <w:t>'</w:t>
      </w:r>
      <w:r>
        <w:rPr>
          <w:lang w:val="fr-FR"/>
        </w:rPr>
        <w:t>études et sous-groupes associés.</w:t>
      </w:r>
    </w:p>
    <w:p w14:paraId="17F9423E" w14:textId="46C76B0D" w:rsidR="00DC1D16" w:rsidRPr="00EB2A7A" w:rsidRDefault="00DC1D16" w:rsidP="00E31B2B">
      <w:pPr>
        <w:pStyle w:val="enumlev2"/>
        <w:rPr>
          <w:lang w:val="fr-FR"/>
        </w:rPr>
      </w:pPr>
      <w:r w:rsidRPr="00EB2A7A">
        <w:rPr>
          <w:lang w:val="fr-FR"/>
        </w:rPr>
        <w:t>1.2)</w:t>
      </w:r>
      <w:r w:rsidRPr="00EB2A7A">
        <w:rPr>
          <w:lang w:val="fr-FR"/>
        </w:rPr>
        <w:tab/>
      </w:r>
      <w:r>
        <w:rPr>
          <w:lang w:val="fr-FR"/>
        </w:rPr>
        <w:t>N</w:t>
      </w:r>
      <w:r w:rsidRPr="00EB2A7A">
        <w:rPr>
          <w:lang w:val="fr-FR"/>
        </w:rPr>
        <w:t>ombre de mois écoulés entre la présentation et l</w:t>
      </w:r>
      <w:r w:rsidR="00E31B2B">
        <w:rPr>
          <w:lang w:val="fr-FR"/>
        </w:rPr>
        <w:t>'</w:t>
      </w:r>
      <w:r w:rsidRPr="00EB2A7A">
        <w:rPr>
          <w:lang w:val="fr-FR"/>
        </w:rPr>
        <w:t>approbation de Recommandations par les commissions d</w:t>
      </w:r>
      <w:r w:rsidR="00E31B2B">
        <w:rPr>
          <w:lang w:val="fr-FR"/>
        </w:rPr>
        <w:t>'</w:t>
      </w:r>
      <w:r w:rsidRPr="00EB2A7A">
        <w:rPr>
          <w:lang w:val="fr-FR"/>
        </w:rPr>
        <w:t>études entre 2008 et 2021</w:t>
      </w:r>
      <w:r>
        <w:rPr>
          <w:lang w:val="fr-FR"/>
        </w:rPr>
        <w:t>.</w:t>
      </w:r>
    </w:p>
    <w:p w14:paraId="506F0ABB" w14:textId="42C14BF8" w:rsidR="00DC1D16" w:rsidRPr="00EB2A7A" w:rsidRDefault="00DC1D16" w:rsidP="00E31B2B">
      <w:pPr>
        <w:pStyle w:val="enumlev2"/>
        <w:rPr>
          <w:lang w:val="fr-FR"/>
        </w:rPr>
      </w:pPr>
      <w:r w:rsidRPr="00EB2A7A">
        <w:rPr>
          <w:lang w:val="fr-FR"/>
        </w:rPr>
        <w:t>1.3)</w:t>
      </w:r>
      <w:r w:rsidRPr="00EB2A7A">
        <w:rPr>
          <w:lang w:val="fr-FR"/>
        </w:rPr>
        <w:tab/>
      </w:r>
      <w:r>
        <w:rPr>
          <w:lang w:val="fr-FR"/>
        </w:rPr>
        <w:t>N</w:t>
      </w:r>
      <w:r w:rsidRPr="00EB2A7A">
        <w:rPr>
          <w:lang w:val="fr-FR"/>
        </w:rPr>
        <w:t>ombre de notes de liaison émanant d</w:t>
      </w:r>
      <w:r w:rsidR="00E31B2B">
        <w:rPr>
          <w:lang w:val="fr-FR"/>
        </w:rPr>
        <w:t>'</w:t>
      </w:r>
      <w:r w:rsidRPr="00EB2A7A">
        <w:rPr>
          <w:lang w:val="fr-FR"/>
        </w:rPr>
        <w:t>autres organisations de normalisation entre 2008 et 2021</w:t>
      </w:r>
      <w:r>
        <w:rPr>
          <w:lang w:val="fr-FR"/>
        </w:rPr>
        <w:t>.</w:t>
      </w:r>
    </w:p>
    <w:p w14:paraId="4EFB8957" w14:textId="7ABA2A76" w:rsidR="00DC1D16" w:rsidRPr="00EB2A7A" w:rsidRDefault="00DC1D16" w:rsidP="00E31B2B">
      <w:pPr>
        <w:pStyle w:val="enumlev2"/>
        <w:rPr>
          <w:lang w:val="fr-FR"/>
        </w:rPr>
      </w:pPr>
      <w:r w:rsidRPr="00EB2A7A">
        <w:rPr>
          <w:lang w:val="fr-FR"/>
        </w:rPr>
        <w:t>1.4)</w:t>
      </w:r>
      <w:r w:rsidRPr="00EB2A7A">
        <w:rPr>
          <w:lang w:val="fr-FR"/>
        </w:rPr>
        <w:tab/>
      </w:r>
      <w:r>
        <w:rPr>
          <w:lang w:val="fr-FR"/>
        </w:rPr>
        <w:t>N</w:t>
      </w:r>
      <w:r w:rsidRPr="00EB2A7A">
        <w:rPr>
          <w:lang w:val="fr-FR"/>
        </w:rPr>
        <w:t>ombre de Recommandations approuvées selon la procédure d</w:t>
      </w:r>
      <w:r w:rsidR="00E31B2B">
        <w:rPr>
          <w:lang w:val="fr-FR"/>
        </w:rPr>
        <w:t>'</w:t>
      </w:r>
      <w:r w:rsidRPr="00EB2A7A">
        <w:rPr>
          <w:lang w:val="fr-FR"/>
        </w:rPr>
        <w:t>approbation traditionnelle entre 2008 et 2021</w:t>
      </w:r>
      <w:r>
        <w:rPr>
          <w:lang w:val="fr-FR"/>
        </w:rPr>
        <w:t>.</w:t>
      </w:r>
    </w:p>
    <w:p w14:paraId="22D0AD8B" w14:textId="24006C72" w:rsidR="00DC1D16" w:rsidRPr="00EB2A7A" w:rsidRDefault="00DC1D16" w:rsidP="00E31B2B">
      <w:pPr>
        <w:pStyle w:val="enumlev2"/>
        <w:rPr>
          <w:lang w:val="fr-FR"/>
        </w:rPr>
      </w:pPr>
      <w:r w:rsidRPr="00EB2A7A">
        <w:rPr>
          <w:lang w:val="fr-FR"/>
        </w:rPr>
        <w:t>1.5)</w:t>
      </w:r>
      <w:r w:rsidRPr="00EB2A7A">
        <w:rPr>
          <w:lang w:val="fr-FR"/>
        </w:rPr>
        <w:tab/>
      </w:r>
      <w:r>
        <w:rPr>
          <w:lang w:val="fr-FR"/>
        </w:rPr>
        <w:t>N</w:t>
      </w:r>
      <w:r w:rsidRPr="00EB2A7A">
        <w:rPr>
          <w:lang w:val="fr-FR"/>
        </w:rPr>
        <w:t>ombre de Recommandations approuvées selon la variante de la procédure d</w:t>
      </w:r>
      <w:r w:rsidR="00E31B2B">
        <w:rPr>
          <w:lang w:val="fr-FR"/>
        </w:rPr>
        <w:t>'</w:t>
      </w:r>
      <w:r>
        <w:rPr>
          <w:lang w:val="fr-FR"/>
        </w:rPr>
        <w:t>approbation entre 2008 et 2021.</w:t>
      </w:r>
    </w:p>
    <w:p w14:paraId="3A9E664B" w14:textId="77777777" w:rsidR="00DC1D16" w:rsidRPr="00EB2A7A" w:rsidRDefault="00DC1D16" w:rsidP="00E31B2B">
      <w:pPr>
        <w:pStyle w:val="enumlev2"/>
        <w:rPr>
          <w:lang w:val="fr-FR"/>
        </w:rPr>
      </w:pPr>
      <w:r w:rsidRPr="00EB2A7A">
        <w:rPr>
          <w:lang w:val="fr-FR"/>
        </w:rPr>
        <w:t>1.6)</w:t>
      </w:r>
      <w:r w:rsidRPr="00EB2A7A">
        <w:rPr>
          <w:lang w:val="fr-FR"/>
        </w:rPr>
        <w:tab/>
      </w:r>
      <w:r>
        <w:rPr>
          <w:lang w:val="fr-FR"/>
        </w:rPr>
        <w:t>N</w:t>
      </w:r>
      <w:r w:rsidRPr="00EB2A7A">
        <w:rPr>
          <w:lang w:val="fr-FR"/>
        </w:rPr>
        <w:t>ombre de suites de tests élaborées pour les Recommandations UIT</w:t>
      </w:r>
      <w:r w:rsidRPr="00EB2A7A">
        <w:rPr>
          <w:lang w:val="fr-FR"/>
        </w:rPr>
        <w:noBreakHyphen/>
        <w:t>T entre 2008 et 2021.</w:t>
      </w:r>
    </w:p>
    <w:p w14:paraId="69C718F2" w14:textId="0CF1A044" w:rsidR="00DC1D16" w:rsidRPr="00EB2A7A" w:rsidRDefault="00DC1D16" w:rsidP="00E31B2B">
      <w:pPr>
        <w:pStyle w:val="enumlev1"/>
        <w:rPr>
          <w:lang w:val="fr-FR"/>
        </w:rPr>
      </w:pPr>
      <w:r w:rsidRPr="00EB2A7A">
        <w:rPr>
          <w:lang w:val="fr-FR"/>
        </w:rPr>
        <w:t>2)</w:t>
      </w:r>
      <w:r w:rsidRPr="00EB2A7A">
        <w:rPr>
          <w:lang w:val="fr-FR"/>
        </w:rPr>
        <w:tab/>
        <w:t>Quelle est la valeur ajoutée des Recommandations UIT</w:t>
      </w:r>
      <w:r w:rsidRPr="00EB2A7A">
        <w:rPr>
          <w:lang w:val="fr-FR"/>
        </w:rPr>
        <w:noBreakHyphen/>
        <w:t>T ou ces Recommandations ont</w:t>
      </w:r>
      <w:r w:rsidRPr="00EB2A7A">
        <w:rPr>
          <w:lang w:val="fr-FR"/>
        </w:rPr>
        <w:noBreakHyphen/>
        <w:t>elles des conséquences</w:t>
      </w:r>
      <w:r w:rsidR="00E31B2B">
        <w:rPr>
          <w:lang w:val="fr-FR"/>
        </w:rPr>
        <w:t xml:space="preserve"> </w:t>
      </w:r>
      <w:r w:rsidRPr="00EB2A7A">
        <w:rPr>
          <w:lang w:val="fr-FR"/>
        </w:rPr>
        <w:t xml:space="preserve">pour les </w:t>
      </w:r>
      <w:r w:rsidR="007B75EE">
        <w:rPr>
          <w:lang w:val="fr-FR"/>
        </w:rPr>
        <w:t>m</w:t>
      </w:r>
      <w:r w:rsidR="007B75EE" w:rsidRPr="00EB2A7A">
        <w:rPr>
          <w:lang w:val="fr-FR"/>
        </w:rPr>
        <w:t xml:space="preserve">embres </w:t>
      </w:r>
      <w:r w:rsidRPr="00EB2A7A">
        <w:rPr>
          <w:lang w:val="fr-FR"/>
        </w:rPr>
        <w:t>de l</w:t>
      </w:r>
      <w:r w:rsidR="00E31B2B">
        <w:rPr>
          <w:lang w:val="fr-FR"/>
        </w:rPr>
        <w:t>'</w:t>
      </w:r>
      <w:r w:rsidRPr="00EB2A7A">
        <w:rPr>
          <w:lang w:val="fr-FR"/>
        </w:rPr>
        <w:t>UIT?</w:t>
      </w:r>
    </w:p>
    <w:p w14:paraId="1614E39E" w14:textId="77777777" w:rsidR="00DC1D16" w:rsidRPr="00EB2A7A" w:rsidRDefault="00DC1D16" w:rsidP="00E31B2B">
      <w:pPr>
        <w:pStyle w:val="enumlev2"/>
        <w:rPr>
          <w:lang w:val="fr-FR"/>
        </w:rPr>
      </w:pPr>
      <w:r w:rsidRPr="00EB2A7A">
        <w:rPr>
          <w:lang w:val="fr-FR"/>
        </w:rPr>
        <w:t>2.1)</w:t>
      </w:r>
      <w:r w:rsidRPr="00EB2A7A">
        <w:rPr>
          <w:lang w:val="fr-FR"/>
        </w:rPr>
        <w:tab/>
      </w:r>
      <w:r>
        <w:rPr>
          <w:lang w:val="fr-FR"/>
        </w:rPr>
        <w:t>N</w:t>
      </w:r>
      <w:r w:rsidRPr="00EB2A7A">
        <w:rPr>
          <w:lang w:val="fr-FR"/>
        </w:rPr>
        <w:t>ombre de téléchargements uniques par Recommandation entre 2008 et 2021</w:t>
      </w:r>
      <w:r>
        <w:rPr>
          <w:lang w:val="fr-FR"/>
        </w:rPr>
        <w:t>.</w:t>
      </w:r>
    </w:p>
    <w:p w14:paraId="3A6CE6DC" w14:textId="449D4FAF" w:rsidR="00DC1D16" w:rsidRPr="00EB2A7A" w:rsidRDefault="00DC1D16" w:rsidP="00E31B2B">
      <w:pPr>
        <w:pStyle w:val="enumlev2"/>
        <w:rPr>
          <w:lang w:val="fr-FR"/>
        </w:rPr>
      </w:pPr>
      <w:r w:rsidRPr="00EB2A7A">
        <w:rPr>
          <w:lang w:val="fr-FR"/>
        </w:rPr>
        <w:t>2.2)</w:t>
      </w:r>
      <w:r w:rsidRPr="00EB2A7A">
        <w:rPr>
          <w:lang w:val="fr-FR"/>
        </w:rPr>
        <w:tab/>
      </w:r>
      <w:r>
        <w:rPr>
          <w:lang w:val="fr-FR"/>
        </w:rPr>
        <w:t>N</w:t>
      </w:r>
      <w:r w:rsidRPr="00EB2A7A">
        <w:rPr>
          <w:lang w:val="fr-FR"/>
        </w:rPr>
        <w:t>ombre de Recommandations UIT</w:t>
      </w:r>
      <w:r w:rsidRPr="00EB2A7A">
        <w:rPr>
          <w:lang w:val="fr-FR"/>
        </w:rPr>
        <w:noBreakHyphen/>
        <w:t>T intégrées ou adoptées par d</w:t>
      </w:r>
      <w:r w:rsidR="00E31B2B">
        <w:rPr>
          <w:lang w:val="fr-FR"/>
        </w:rPr>
        <w:t>'</w:t>
      </w:r>
      <w:r w:rsidRPr="00EB2A7A">
        <w:rPr>
          <w:lang w:val="fr-FR"/>
        </w:rPr>
        <w:t>autres organisations de normalisation entre 2008 et 2021</w:t>
      </w:r>
      <w:r>
        <w:rPr>
          <w:lang w:val="fr-FR"/>
        </w:rPr>
        <w:t>.</w:t>
      </w:r>
    </w:p>
    <w:p w14:paraId="7EE1642E" w14:textId="77777777" w:rsidR="00DC1D16" w:rsidRPr="00EB2A7A" w:rsidRDefault="00DC1D16" w:rsidP="00E31B2B">
      <w:pPr>
        <w:pStyle w:val="enumlev2"/>
        <w:rPr>
          <w:lang w:val="fr-FR"/>
        </w:rPr>
      </w:pPr>
      <w:r w:rsidRPr="00EB2A7A">
        <w:rPr>
          <w:lang w:val="fr-FR"/>
        </w:rPr>
        <w:t>2.3)</w:t>
      </w:r>
      <w:r w:rsidRPr="00EB2A7A">
        <w:rPr>
          <w:lang w:val="fr-FR"/>
        </w:rPr>
        <w:tab/>
      </w:r>
      <w:r>
        <w:rPr>
          <w:lang w:val="fr-FR"/>
        </w:rPr>
        <w:t>N</w:t>
      </w:r>
      <w:r w:rsidRPr="00EB2A7A">
        <w:rPr>
          <w:lang w:val="fr-FR"/>
        </w:rPr>
        <w:t>ombre de brevets essentiels liés à des normes initialement publiées dans des Recommandations UIT</w:t>
      </w:r>
      <w:r w:rsidRPr="00EB2A7A">
        <w:rPr>
          <w:lang w:val="fr-FR"/>
        </w:rPr>
        <w:noBreakHyphen/>
        <w:t>T entre 2008 et 2021</w:t>
      </w:r>
      <w:r>
        <w:rPr>
          <w:lang w:val="fr-FR"/>
        </w:rPr>
        <w:t>.</w:t>
      </w:r>
    </w:p>
    <w:p w14:paraId="27CD25E2" w14:textId="3B386830" w:rsidR="00DC1D16" w:rsidRPr="00EB2A7A" w:rsidRDefault="00DC1D16" w:rsidP="00E31B2B">
      <w:pPr>
        <w:pStyle w:val="enumlev2"/>
        <w:rPr>
          <w:lang w:val="fr-FR"/>
        </w:rPr>
      </w:pPr>
      <w:r w:rsidRPr="00EB2A7A">
        <w:rPr>
          <w:lang w:val="fr-FR"/>
        </w:rPr>
        <w:t>2.4)</w:t>
      </w:r>
      <w:r w:rsidRPr="00EB2A7A">
        <w:rPr>
          <w:lang w:val="fr-FR"/>
        </w:rPr>
        <w:tab/>
      </w:r>
      <w:r>
        <w:rPr>
          <w:lang w:val="fr-FR"/>
        </w:rPr>
        <w:t>N</w:t>
      </w:r>
      <w:r w:rsidRPr="00EB2A7A">
        <w:rPr>
          <w:lang w:val="fr-FR"/>
        </w:rPr>
        <w:t>ombre de Recommandations, lignes directrices et rapports de l</w:t>
      </w:r>
      <w:r w:rsidR="00E31B2B">
        <w:rPr>
          <w:lang w:val="fr-FR"/>
        </w:rPr>
        <w:t>'</w:t>
      </w:r>
      <w:r w:rsidRPr="00EB2A7A">
        <w:rPr>
          <w:lang w:val="fr-FR"/>
        </w:rPr>
        <w:t>UIT-T ayant des incidences politiques ou réglementaires entre 2008 et 2021</w:t>
      </w:r>
      <w:r>
        <w:rPr>
          <w:lang w:val="fr-FR"/>
        </w:rPr>
        <w:t>.</w:t>
      </w:r>
    </w:p>
    <w:p w14:paraId="04331B9B" w14:textId="77777777" w:rsidR="00DC1D16" w:rsidRPr="00EB2A7A" w:rsidRDefault="00DC1D16" w:rsidP="00E31B2B">
      <w:pPr>
        <w:pStyle w:val="enumlev2"/>
        <w:rPr>
          <w:lang w:val="fr-FR"/>
        </w:rPr>
      </w:pPr>
      <w:r w:rsidRPr="00EB2A7A">
        <w:rPr>
          <w:lang w:val="fr-FR"/>
        </w:rPr>
        <w:t>2.5)</w:t>
      </w:r>
      <w:r w:rsidRPr="00EB2A7A">
        <w:rPr>
          <w:lang w:val="fr-FR"/>
        </w:rPr>
        <w:tab/>
      </w:r>
      <w:r>
        <w:rPr>
          <w:lang w:val="fr-FR"/>
        </w:rPr>
        <w:t>N</w:t>
      </w:r>
      <w:r w:rsidRPr="00EB2A7A">
        <w:rPr>
          <w:lang w:val="fr-FR"/>
        </w:rPr>
        <w:t>ombre de Recommandations UIT-T citées dans les communiqués de presse et la documentation des Membres de Secteur entre 2008 et 2021</w:t>
      </w:r>
      <w:r>
        <w:rPr>
          <w:lang w:val="fr-FR"/>
        </w:rPr>
        <w:t>.</w:t>
      </w:r>
    </w:p>
    <w:p w14:paraId="37B6CE3E" w14:textId="77777777" w:rsidR="00DC1D16" w:rsidRPr="00EB2A7A" w:rsidRDefault="00DC1D16" w:rsidP="00E31B2B">
      <w:pPr>
        <w:pStyle w:val="enumlev2"/>
        <w:rPr>
          <w:lang w:val="fr-FR"/>
        </w:rPr>
      </w:pPr>
      <w:r w:rsidRPr="00EB2A7A">
        <w:rPr>
          <w:lang w:val="fr-FR"/>
        </w:rPr>
        <w:t>2.6)</w:t>
      </w:r>
      <w:r w:rsidRPr="00EB2A7A">
        <w:rPr>
          <w:lang w:val="fr-FR"/>
        </w:rPr>
        <w:tab/>
      </w:r>
      <w:r>
        <w:rPr>
          <w:lang w:val="fr-FR"/>
        </w:rPr>
        <w:t>N</w:t>
      </w:r>
      <w:r w:rsidRPr="00EB2A7A">
        <w:rPr>
          <w:lang w:val="fr-FR"/>
        </w:rPr>
        <w:t>ombre de Recommandations UIT-T adoptées et mises en œuvre, en totalité ou en partie, par le secteur privé entre 2008 et 2021.</w:t>
      </w:r>
    </w:p>
    <w:p w14:paraId="7B12FE8E" w14:textId="239AE46E" w:rsidR="00DC1D16" w:rsidRPr="00EB2A7A" w:rsidRDefault="00DC1D16" w:rsidP="00E31B2B">
      <w:pPr>
        <w:pStyle w:val="enumlev1"/>
        <w:rPr>
          <w:lang w:val="fr-FR"/>
        </w:rPr>
      </w:pPr>
      <w:r w:rsidRPr="00EB2A7A">
        <w:rPr>
          <w:lang w:val="fr-FR"/>
        </w:rPr>
        <w:t>3)</w:t>
      </w:r>
      <w:r w:rsidRPr="00EB2A7A">
        <w:rPr>
          <w:lang w:val="fr-FR"/>
        </w:rPr>
        <w:tab/>
        <w:t>Comment l</w:t>
      </w:r>
      <w:r w:rsidR="00E31B2B">
        <w:rPr>
          <w:lang w:val="fr-FR"/>
        </w:rPr>
        <w:t>'</w:t>
      </w:r>
      <w:r w:rsidRPr="00EB2A7A">
        <w:rPr>
          <w:lang w:val="fr-FR"/>
        </w:rPr>
        <w:t xml:space="preserve">UIT-T coopère-t-il et se </w:t>
      </w:r>
      <w:r w:rsidR="007B75EE">
        <w:rPr>
          <w:lang w:val="fr-FR"/>
        </w:rPr>
        <w:t>concerte</w:t>
      </w:r>
      <w:r w:rsidRPr="00EB2A7A">
        <w:rPr>
          <w:lang w:val="fr-FR"/>
        </w:rPr>
        <w:t>-t-il avec les autres organisations de normalisation?</w:t>
      </w:r>
    </w:p>
    <w:p w14:paraId="22BC8C38" w14:textId="35B0E534" w:rsidR="00DC1D16" w:rsidRPr="00EB2A7A" w:rsidRDefault="00DC1D16" w:rsidP="00E31B2B">
      <w:pPr>
        <w:pStyle w:val="enumlev2"/>
        <w:rPr>
          <w:lang w:val="fr-FR"/>
        </w:rPr>
      </w:pPr>
      <w:r w:rsidRPr="00EB2A7A">
        <w:rPr>
          <w:lang w:val="fr-FR"/>
        </w:rPr>
        <w:t>3.1)</w:t>
      </w:r>
      <w:r w:rsidRPr="00EB2A7A">
        <w:rPr>
          <w:lang w:val="fr-FR"/>
        </w:rPr>
        <w:tab/>
      </w:r>
      <w:r>
        <w:rPr>
          <w:lang w:val="fr-FR"/>
        </w:rPr>
        <w:t>N</w:t>
      </w:r>
      <w:r w:rsidRPr="00EB2A7A">
        <w:rPr>
          <w:lang w:val="fr-FR"/>
        </w:rPr>
        <w:t>ombre de notes de liaison envoyées à d</w:t>
      </w:r>
      <w:r w:rsidR="00E31B2B">
        <w:rPr>
          <w:lang w:val="fr-FR"/>
        </w:rPr>
        <w:t>'</w:t>
      </w:r>
      <w:r w:rsidRPr="00EB2A7A">
        <w:rPr>
          <w:lang w:val="fr-FR"/>
        </w:rPr>
        <w:t>autres organisations de normalisation entre 2008 et 2021</w:t>
      </w:r>
      <w:r>
        <w:rPr>
          <w:lang w:val="fr-FR"/>
        </w:rPr>
        <w:t>.</w:t>
      </w:r>
    </w:p>
    <w:p w14:paraId="365BF2EC" w14:textId="7143F4E5" w:rsidR="00DC1D16" w:rsidRPr="00EB2A7A" w:rsidRDefault="00DC1D16" w:rsidP="00E31B2B">
      <w:pPr>
        <w:pStyle w:val="enumlev2"/>
        <w:rPr>
          <w:lang w:val="fr-FR"/>
        </w:rPr>
      </w:pPr>
      <w:r w:rsidRPr="00EB2A7A">
        <w:rPr>
          <w:lang w:val="fr-FR"/>
        </w:rPr>
        <w:t>3.2)</w:t>
      </w:r>
      <w:r w:rsidRPr="00EB2A7A">
        <w:rPr>
          <w:lang w:val="fr-FR"/>
        </w:rPr>
        <w:tab/>
      </w:r>
      <w:r>
        <w:rPr>
          <w:lang w:val="fr-FR"/>
        </w:rPr>
        <w:t>N</w:t>
      </w:r>
      <w:r w:rsidRPr="00EB2A7A">
        <w:rPr>
          <w:lang w:val="fr-FR"/>
        </w:rPr>
        <w:t>ombres de mémorandums d</w:t>
      </w:r>
      <w:r w:rsidR="00E31B2B">
        <w:rPr>
          <w:lang w:val="fr-FR"/>
        </w:rPr>
        <w:t>'</w:t>
      </w:r>
      <w:r w:rsidRPr="00EB2A7A">
        <w:rPr>
          <w:lang w:val="fr-FR"/>
        </w:rPr>
        <w:t>accords conclus avec d</w:t>
      </w:r>
      <w:r w:rsidR="00E31B2B">
        <w:rPr>
          <w:lang w:val="fr-FR"/>
        </w:rPr>
        <w:t>'</w:t>
      </w:r>
      <w:r w:rsidRPr="00EB2A7A">
        <w:rPr>
          <w:lang w:val="fr-FR"/>
        </w:rPr>
        <w:t>autres organisations de normalisation</w:t>
      </w:r>
      <w:r>
        <w:rPr>
          <w:lang w:val="fr-FR"/>
        </w:rPr>
        <w:t>.</w:t>
      </w:r>
    </w:p>
    <w:p w14:paraId="00831284" w14:textId="01C3D5BC" w:rsidR="00DC1D16" w:rsidRPr="00EB2A7A" w:rsidRDefault="00DC1D16" w:rsidP="00E31B2B">
      <w:pPr>
        <w:pStyle w:val="enumlev2"/>
        <w:rPr>
          <w:lang w:val="fr-FR"/>
        </w:rPr>
      </w:pPr>
      <w:r w:rsidRPr="00EB2A7A">
        <w:rPr>
          <w:lang w:val="fr-FR"/>
        </w:rPr>
        <w:t>3.3)</w:t>
      </w:r>
      <w:r w:rsidRPr="00EB2A7A">
        <w:rPr>
          <w:lang w:val="fr-FR"/>
        </w:rPr>
        <w:tab/>
      </w:r>
      <w:r>
        <w:rPr>
          <w:lang w:val="fr-FR"/>
        </w:rPr>
        <w:t>N</w:t>
      </w:r>
      <w:r w:rsidRPr="00EB2A7A">
        <w:rPr>
          <w:lang w:val="fr-FR"/>
        </w:rPr>
        <w:t>ombre d</w:t>
      </w:r>
      <w:r w:rsidR="00E31B2B">
        <w:rPr>
          <w:lang w:val="fr-FR"/>
        </w:rPr>
        <w:t>'</w:t>
      </w:r>
      <w:r w:rsidRPr="00EB2A7A">
        <w:rPr>
          <w:lang w:val="fr-FR"/>
        </w:rPr>
        <w:t>ateliers ou d</w:t>
      </w:r>
      <w:r w:rsidR="00E31B2B">
        <w:rPr>
          <w:lang w:val="fr-FR"/>
        </w:rPr>
        <w:t>'</w:t>
      </w:r>
      <w:r w:rsidRPr="00EB2A7A">
        <w:rPr>
          <w:lang w:val="fr-FR"/>
        </w:rPr>
        <w:t>activités organisés conjointement avec d</w:t>
      </w:r>
      <w:r w:rsidR="00E31B2B">
        <w:rPr>
          <w:lang w:val="fr-FR"/>
        </w:rPr>
        <w:t>'</w:t>
      </w:r>
      <w:r w:rsidRPr="00EB2A7A">
        <w:rPr>
          <w:lang w:val="fr-FR"/>
        </w:rPr>
        <w:t>autres organisations de normalisation</w:t>
      </w:r>
      <w:r>
        <w:rPr>
          <w:lang w:val="fr-FR"/>
        </w:rPr>
        <w:t>.</w:t>
      </w:r>
    </w:p>
    <w:p w14:paraId="3F6A1012" w14:textId="4655D604" w:rsidR="00DC1D16" w:rsidRPr="00EB2A7A" w:rsidRDefault="00DC1D16" w:rsidP="00E31B2B">
      <w:pPr>
        <w:pStyle w:val="enumlev2"/>
        <w:rPr>
          <w:lang w:val="fr-FR"/>
        </w:rPr>
      </w:pPr>
      <w:r w:rsidRPr="00EB2A7A">
        <w:rPr>
          <w:lang w:val="fr-FR"/>
        </w:rPr>
        <w:t>3.4)</w:t>
      </w:r>
      <w:r w:rsidRPr="00EB2A7A">
        <w:rPr>
          <w:lang w:val="fr-FR"/>
        </w:rPr>
        <w:tab/>
      </w:r>
      <w:r>
        <w:rPr>
          <w:lang w:val="fr-FR"/>
        </w:rPr>
        <w:t>N</w:t>
      </w:r>
      <w:r w:rsidRPr="00EB2A7A">
        <w:rPr>
          <w:lang w:val="fr-FR"/>
        </w:rPr>
        <w:t>ombre de normes établies par d</w:t>
      </w:r>
      <w:r w:rsidR="00E31B2B">
        <w:rPr>
          <w:lang w:val="fr-FR"/>
        </w:rPr>
        <w:t>'</w:t>
      </w:r>
      <w:r w:rsidRPr="00EB2A7A">
        <w:rPr>
          <w:lang w:val="fr-FR"/>
        </w:rPr>
        <w:t xml:space="preserve">autres organisations de normalisation </w:t>
      </w:r>
      <w:r w:rsidR="007B75EE">
        <w:rPr>
          <w:lang w:val="fr-FR"/>
        </w:rPr>
        <w:t xml:space="preserve">qui ont été </w:t>
      </w:r>
      <w:r w:rsidRPr="00EB2A7A">
        <w:rPr>
          <w:lang w:val="fr-FR"/>
        </w:rPr>
        <w:t>intégrées ou adoptées par l</w:t>
      </w:r>
      <w:r w:rsidR="00E31B2B">
        <w:rPr>
          <w:lang w:val="fr-FR"/>
        </w:rPr>
        <w:t>'</w:t>
      </w:r>
      <w:r w:rsidRPr="00EB2A7A">
        <w:rPr>
          <w:lang w:val="fr-FR"/>
        </w:rPr>
        <w:t>UIT-T entre 2008 et 2021, par domaine ou sujet</w:t>
      </w:r>
      <w:r>
        <w:rPr>
          <w:lang w:val="fr-FR"/>
        </w:rPr>
        <w:t>.</w:t>
      </w:r>
    </w:p>
    <w:p w14:paraId="62F74C45" w14:textId="2E7E924B" w:rsidR="00DC1D16" w:rsidRPr="00EB2A7A" w:rsidRDefault="00DC1D16" w:rsidP="00E31B2B">
      <w:pPr>
        <w:pStyle w:val="enumlev2"/>
        <w:rPr>
          <w:lang w:val="fr-FR"/>
        </w:rPr>
      </w:pPr>
      <w:r w:rsidRPr="00EB2A7A">
        <w:rPr>
          <w:lang w:val="fr-FR"/>
        </w:rPr>
        <w:t>3.5)</w:t>
      </w:r>
      <w:r w:rsidRPr="00EB2A7A">
        <w:rPr>
          <w:lang w:val="fr-FR"/>
        </w:rPr>
        <w:tab/>
      </w:r>
      <w:r>
        <w:rPr>
          <w:lang w:val="fr-FR"/>
        </w:rPr>
        <w:t>N</w:t>
      </w:r>
      <w:r w:rsidRPr="00EB2A7A">
        <w:rPr>
          <w:lang w:val="fr-FR"/>
        </w:rPr>
        <w:t>ombre de chargés de liaison issus ou auprès d</w:t>
      </w:r>
      <w:r w:rsidR="00E31B2B">
        <w:rPr>
          <w:lang w:val="fr-FR"/>
        </w:rPr>
        <w:t>'</w:t>
      </w:r>
      <w:r w:rsidRPr="00EB2A7A">
        <w:rPr>
          <w:lang w:val="fr-FR"/>
        </w:rPr>
        <w:t>autres organisations de normalisation</w:t>
      </w:r>
      <w:r>
        <w:rPr>
          <w:lang w:val="fr-FR"/>
        </w:rPr>
        <w:t>.</w:t>
      </w:r>
    </w:p>
    <w:p w14:paraId="4435CE2E" w14:textId="77777777" w:rsidR="00DC1D16" w:rsidRPr="00EB2A7A" w:rsidRDefault="00DC1D16" w:rsidP="00E31B2B">
      <w:pPr>
        <w:pStyle w:val="enumlev2"/>
        <w:rPr>
          <w:lang w:val="fr-FR"/>
        </w:rPr>
      </w:pPr>
      <w:r w:rsidRPr="00EB2A7A">
        <w:rPr>
          <w:lang w:val="fr-FR"/>
        </w:rPr>
        <w:t>3.6)</w:t>
      </w:r>
      <w:r w:rsidRPr="00EB2A7A">
        <w:rPr>
          <w:lang w:val="fr-FR"/>
        </w:rPr>
        <w:tab/>
      </w:r>
      <w:r>
        <w:rPr>
          <w:lang w:val="fr-FR"/>
        </w:rPr>
        <w:t>A</w:t>
      </w:r>
      <w:r w:rsidRPr="00EB2A7A">
        <w:rPr>
          <w:lang w:val="fr-FR"/>
        </w:rPr>
        <w:t>utres mécanismes de collaboration (par exemple JCA, experts invités)</w:t>
      </w:r>
      <w:r>
        <w:rPr>
          <w:lang w:val="fr-FR"/>
        </w:rPr>
        <w:t>.</w:t>
      </w:r>
    </w:p>
    <w:p w14:paraId="5F338FC1" w14:textId="0E9B74A1" w:rsidR="00DC1D16" w:rsidRPr="00EB2A7A" w:rsidRDefault="00DC1D16" w:rsidP="00E31B2B">
      <w:pPr>
        <w:pStyle w:val="enumlev1"/>
        <w:rPr>
          <w:lang w:val="fr-FR"/>
        </w:rPr>
      </w:pPr>
      <w:r w:rsidRPr="00EB2A7A">
        <w:rPr>
          <w:lang w:val="fr-FR"/>
        </w:rPr>
        <w:lastRenderedPageBreak/>
        <w:t>4)</w:t>
      </w:r>
      <w:r w:rsidRPr="00EB2A7A">
        <w:rPr>
          <w:lang w:val="fr-FR"/>
        </w:rPr>
        <w:tab/>
        <w:t>La structure actuelle des commissions d</w:t>
      </w:r>
      <w:r w:rsidR="00E31B2B">
        <w:rPr>
          <w:lang w:val="fr-FR"/>
        </w:rPr>
        <w:t>'</w:t>
      </w:r>
      <w:r w:rsidRPr="00EB2A7A">
        <w:rPr>
          <w:lang w:val="fr-FR"/>
        </w:rPr>
        <w:t xml:space="preserve">études est-elle </w:t>
      </w:r>
      <w:r w:rsidR="001644BE">
        <w:rPr>
          <w:lang w:val="fr-FR"/>
        </w:rPr>
        <w:t xml:space="preserve">de nature é favoriser </w:t>
      </w:r>
      <w:r w:rsidRPr="00EB2A7A">
        <w:rPr>
          <w:lang w:val="fr-FR"/>
        </w:rPr>
        <w:t>à un processus de normalisation capable de suivre le rythme rapide de l</w:t>
      </w:r>
      <w:r w:rsidR="00E31B2B">
        <w:rPr>
          <w:lang w:val="fr-FR"/>
        </w:rPr>
        <w:t>'</w:t>
      </w:r>
      <w:r w:rsidRPr="00EB2A7A">
        <w:rPr>
          <w:lang w:val="fr-FR"/>
        </w:rPr>
        <w:t xml:space="preserve">évolution des technologies de télécommunication </w:t>
      </w:r>
      <w:r w:rsidR="001644BE">
        <w:rPr>
          <w:lang w:val="fr-FR"/>
        </w:rPr>
        <w:t>/</w:t>
      </w:r>
      <w:r w:rsidRPr="00EB2A7A">
        <w:rPr>
          <w:lang w:val="fr-FR"/>
        </w:rPr>
        <w:t xml:space="preserve"> TIC?</w:t>
      </w:r>
    </w:p>
    <w:p w14:paraId="2E98CF94" w14:textId="27D2B040" w:rsidR="00DC1D16" w:rsidRPr="00EB2A7A" w:rsidRDefault="00DC1D16" w:rsidP="00E31B2B">
      <w:pPr>
        <w:pStyle w:val="enumlev1"/>
        <w:rPr>
          <w:lang w:val="fr-FR"/>
        </w:rPr>
      </w:pPr>
      <w:r w:rsidRPr="00EB2A7A">
        <w:rPr>
          <w:lang w:val="fr-FR"/>
        </w:rPr>
        <w:t>5)</w:t>
      </w:r>
      <w:r w:rsidRPr="00EB2A7A">
        <w:rPr>
          <w:lang w:val="fr-FR"/>
        </w:rPr>
        <w:tab/>
        <w:t>Les commissions d</w:t>
      </w:r>
      <w:r w:rsidR="00E31B2B">
        <w:rPr>
          <w:lang w:val="fr-FR"/>
        </w:rPr>
        <w:t>'</w:t>
      </w:r>
      <w:r w:rsidRPr="00EB2A7A">
        <w:rPr>
          <w:lang w:val="fr-FR"/>
        </w:rPr>
        <w:t>études de l</w:t>
      </w:r>
      <w:r w:rsidR="00E31B2B">
        <w:rPr>
          <w:lang w:val="fr-FR"/>
        </w:rPr>
        <w:t>'</w:t>
      </w:r>
      <w:r w:rsidRPr="00EB2A7A">
        <w:rPr>
          <w:lang w:val="fr-FR"/>
        </w:rPr>
        <w:t>UIT-T reflètent-elles le caractère international de l</w:t>
      </w:r>
      <w:r w:rsidR="00E31B2B">
        <w:rPr>
          <w:lang w:val="fr-FR"/>
        </w:rPr>
        <w:t>'</w:t>
      </w:r>
      <w:r w:rsidRPr="00EB2A7A">
        <w:rPr>
          <w:lang w:val="fr-FR"/>
        </w:rPr>
        <w:t xml:space="preserve">activité? </w:t>
      </w:r>
    </w:p>
    <w:p w14:paraId="37603D61" w14:textId="0027058C" w:rsidR="00DC1D16" w:rsidRPr="00EB2A7A" w:rsidRDefault="00DC1D16" w:rsidP="00E31B2B">
      <w:pPr>
        <w:pStyle w:val="enumlev2"/>
        <w:rPr>
          <w:lang w:val="fr-FR"/>
        </w:rPr>
      </w:pPr>
      <w:r w:rsidRPr="00EB2A7A">
        <w:rPr>
          <w:lang w:val="fr-FR"/>
        </w:rPr>
        <w:t>5.1)</w:t>
      </w:r>
      <w:r w:rsidRPr="00EB2A7A">
        <w:rPr>
          <w:lang w:val="fr-FR"/>
        </w:rPr>
        <w:tab/>
      </w:r>
      <w:r>
        <w:rPr>
          <w:lang w:val="fr-FR"/>
        </w:rPr>
        <w:t>N</w:t>
      </w:r>
      <w:r w:rsidRPr="00EB2A7A">
        <w:rPr>
          <w:lang w:val="fr-FR"/>
        </w:rPr>
        <w:t>ombre de participants (États Membres, Membres de Secteur, Associés, établissements universitaires, PME et autres (par exemple, organisations</w:t>
      </w:r>
      <w:r w:rsidR="001644BE">
        <w:rPr>
          <w:lang w:val="fr-FR"/>
        </w:rPr>
        <w:t xml:space="preserve"> du système</w:t>
      </w:r>
      <w:r w:rsidR="00E31B2B">
        <w:rPr>
          <w:lang w:val="fr-FR"/>
        </w:rPr>
        <w:t xml:space="preserve"> </w:t>
      </w:r>
      <w:r w:rsidRPr="00EB2A7A">
        <w:rPr>
          <w:lang w:val="fr-FR"/>
        </w:rPr>
        <w:t xml:space="preserve">des Nations </w:t>
      </w:r>
      <w:r>
        <w:rPr>
          <w:lang w:val="fr-FR"/>
        </w:rPr>
        <w:t>U</w:t>
      </w:r>
      <w:r w:rsidRPr="00EB2A7A">
        <w:rPr>
          <w:lang w:val="fr-FR"/>
        </w:rPr>
        <w:t>nies, organisations de normalisation)</w:t>
      </w:r>
      <w:r>
        <w:rPr>
          <w:lang w:val="fr-FR"/>
        </w:rPr>
        <w:t>.</w:t>
      </w:r>
    </w:p>
    <w:p w14:paraId="021F7933" w14:textId="73275340" w:rsidR="00DC1D16" w:rsidRPr="00EB2A7A" w:rsidRDefault="00DC1D16" w:rsidP="00E31B2B">
      <w:pPr>
        <w:pStyle w:val="enumlev2"/>
        <w:rPr>
          <w:lang w:val="fr-FR"/>
        </w:rPr>
      </w:pPr>
      <w:r w:rsidRPr="00EB2A7A">
        <w:rPr>
          <w:lang w:val="fr-FR"/>
        </w:rPr>
        <w:t>5.2)</w:t>
      </w:r>
      <w:r w:rsidRPr="00EB2A7A">
        <w:rPr>
          <w:lang w:val="fr-FR"/>
        </w:rPr>
        <w:tab/>
      </w:r>
      <w:r>
        <w:rPr>
          <w:lang w:val="fr-FR"/>
        </w:rPr>
        <w:t>N</w:t>
      </w:r>
      <w:r w:rsidRPr="00EB2A7A">
        <w:rPr>
          <w:lang w:val="fr-FR"/>
        </w:rPr>
        <w:t xml:space="preserve">ombre des différents </w:t>
      </w:r>
      <w:r w:rsidR="001644BE">
        <w:rPr>
          <w:lang w:val="fr-FR"/>
        </w:rPr>
        <w:t>m</w:t>
      </w:r>
      <w:r w:rsidR="001644BE" w:rsidRPr="00EB2A7A">
        <w:rPr>
          <w:lang w:val="fr-FR"/>
        </w:rPr>
        <w:t>embres</w:t>
      </w:r>
      <w:r w:rsidRPr="00EB2A7A">
        <w:rPr>
          <w:lang w:val="fr-FR"/>
        </w:rPr>
        <w:t xml:space="preserve">, Membres de Secteur et Associés qui se sont engagés à contribuer activement à </w:t>
      </w:r>
      <w:r w:rsidR="001644BE">
        <w:rPr>
          <w:lang w:val="fr-FR"/>
        </w:rPr>
        <w:t>la réalisation</w:t>
      </w:r>
      <w:r w:rsidR="001644BE" w:rsidRPr="00EB2A7A">
        <w:rPr>
          <w:lang w:val="fr-FR"/>
        </w:rPr>
        <w:t xml:space="preserve"> </w:t>
      </w:r>
      <w:r w:rsidRPr="00EB2A7A">
        <w:rPr>
          <w:lang w:val="fr-FR"/>
        </w:rPr>
        <w:t>de nouveaux travaux, comme indiqué dans les justifications A.1 et A.13</w:t>
      </w:r>
      <w:r>
        <w:rPr>
          <w:rStyle w:val="FootnoteReference"/>
          <w:lang w:val="fr-FR"/>
        </w:rPr>
        <w:footnoteReference w:id="4"/>
      </w:r>
      <w:r>
        <w:rPr>
          <w:lang w:val="fr-FR"/>
        </w:rPr>
        <w:t>:</w:t>
      </w:r>
    </w:p>
    <w:p w14:paraId="0C794D88" w14:textId="77777777" w:rsidR="00DC1D16" w:rsidRPr="00EB2A7A" w:rsidRDefault="00DC1D16" w:rsidP="00E31B2B">
      <w:pPr>
        <w:pStyle w:val="enumlev3"/>
        <w:rPr>
          <w:lang w:val="fr-FR"/>
        </w:rPr>
      </w:pPr>
      <w:r w:rsidRPr="00EB2A7A">
        <w:rPr>
          <w:lang w:val="fr-FR"/>
        </w:rPr>
        <w:t>•</w:t>
      </w:r>
      <w:r w:rsidRPr="00EB2A7A">
        <w:rPr>
          <w:lang w:val="fr-FR"/>
        </w:rPr>
        <w:tab/>
        <w:t>par pays</w:t>
      </w:r>
    </w:p>
    <w:p w14:paraId="24A01022" w14:textId="77777777" w:rsidR="00DC1D16" w:rsidRPr="00EB2A7A" w:rsidRDefault="00DC1D16" w:rsidP="00E31B2B">
      <w:pPr>
        <w:pStyle w:val="enumlev3"/>
        <w:rPr>
          <w:lang w:val="fr-FR"/>
        </w:rPr>
      </w:pPr>
      <w:r w:rsidRPr="00EB2A7A">
        <w:rPr>
          <w:lang w:val="fr-FR"/>
        </w:rPr>
        <w:t>•</w:t>
      </w:r>
      <w:r w:rsidRPr="00EB2A7A">
        <w:rPr>
          <w:lang w:val="fr-FR"/>
        </w:rPr>
        <w:tab/>
        <w:t>par région</w:t>
      </w:r>
    </w:p>
    <w:p w14:paraId="2B97BBE4" w14:textId="77777777" w:rsidR="00DC1D16" w:rsidRPr="00EB2A7A" w:rsidRDefault="00DC1D16" w:rsidP="00E31B2B">
      <w:pPr>
        <w:pStyle w:val="enumlev3"/>
        <w:rPr>
          <w:lang w:val="fr-FR"/>
        </w:rPr>
      </w:pPr>
      <w:r w:rsidRPr="00EB2A7A">
        <w:rPr>
          <w:lang w:val="fr-FR"/>
        </w:rPr>
        <w:t>•</w:t>
      </w:r>
      <w:r w:rsidRPr="00EB2A7A">
        <w:rPr>
          <w:lang w:val="fr-FR"/>
        </w:rPr>
        <w:tab/>
        <w:t>par catégorie de membres</w:t>
      </w:r>
    </w:p>
    <w:p w14:paraId="770FD25C" w14:textId="633D705C" w:rsidR="00DC1D16" w:rsidRPr="00EB2A7A" w:rsidRDefault="00DC1D16" w:rsidP="00E31B2B">
      <w:pPr>
        <w:pStyle w:val="enumlev2"/>
        <w:rPr>
          <w:lang w:val="fr-FR"/>
        </w:rPr>
      </w:pPr>
      <w:r w:rsidRPr="00EB2A7A">
        <w:rPr>
          <w:lang w:val="fr-FR"/>
        </w:rPr>
        <w:t>5.3)</w:t>
      </w:r>
      <w:r w:rsidRPr="00EB2A7A">
        <w:rPr>
          <w:lang w:val="fr-FR"/>
        </w:rPr>
        <w:tab/>
      </w:r>
      <w:r>
        <w:rPr>
          <w:lang w:val="fr-FR"/>
        </w:rPr>
        <w:t>N</w:t>
      </w:r>
      <w:r w:rsidRPr="00EB2A7A">
        <w:rPr>
          <w:lang w:val="fr-FR"/>
        </w:rPr>
        <w:t>ombre de contributions sur un sujet d</w:t>
      </w:r>
      <w:r w:rsidR="00E31B2B">
        <w:rPr>
          <w:lang w:val="fr-FR"/>
        </w:rPr>
        <w:t>'</w:t>
      </w:r>
      <w:r w:rsidRPr="00EB2A7A">
        <w:rPr>
          <w:lang w:val="fr-FR"/>
        </w:rPr>
        <w:t>étude soumises par</w:t>
      </w:r>
      <w:r>
        <w:rPr>
          <w:lang w:val="fr-FR"/>
        </w:rPr>
        <w:t>:</w:t>
      </w:r>
    </w:p>
    <w:p w14:paraId="35060247" w14:textId="77777777" w:rsidR="00DC1D16" w:rsidRPr="00EB2A7A" w:rsidRDefault="00DC1D16" w:rsidP="00E31B2B">
      <w:pPr>
        <w:pStyle w:val="enumlev3"/>
        <w:rPr>
          <w:lang w:val="fr-FR"/>
        </w:rPr>
      </w:pPr>
      <w:r w:rsidRPr="00EB2A7A">
        <w:rPr>
          <w:lang w:val="fr-FR"/>
        </w:rPr>
        <w:t>•</w:t>
      </w:r>
      <w:r w:rsidRPr="00EB2A7A">
        <w:rPr>
          <w:lang w:val="fr-FR"/>
        </w:rPr>
        <w:tab/>
        <w:t>des soutiens</w:t>
      </w:r>
    </w:p>
    <w:p w14:paraId="429240C6" w14:textId="77777777" w:rsidR="00DC1D16" w:rsidRPr="00EB2A7A" w:rsidRDefault="00DC1D16" w:rsidP="00E31B2B">
      <w:pPr>
        <w:pStyle w:val="enumlev3"/>
        <w:rPr>
          <w:lang w:val="fr-FR"/>
        </w:rPr>
      </w:pPr>
      <w:r w:rsidRPr="00EB2A7A">
        <w:rPr>
          <w:lang w:val="fr-FR"/>
        </w:rPr>
        <w:t>•</w:t>
      </w:r>
      <w:r w:rsidRPr="00EB2A7A">
        <w:rPr>
          <w:lang w:val="fr-FR"/>
        </w:rPr>
        <w:tab/>
        <w:t>autres (par pays, par région, par catégorie de membres)</w:t>
      </w:r>
      <w:r>
        <w:rPr>
          <w:lang w:val="fr-FR"/>
        </w:rPr>
        <w:t>.</w:t>
      </w:r>
    </w:p>
    <w:p w14:paraId="7FCBC3BE" w14:textId="15B7CEA6" w:rsidR="00DC1D16" w:rsidRPr="00EB2A7A" w:rsidRDefault="00DC1D16" w:rsidP="00E31B2B">
      <w:pPr>
        <w:rPr>
          <w:rStyle w:val="jlqj4b"/>
          <w:lang w:val="fr-FR"/>
        </w:rPr>
      </w:pPr>
      <w:r w:rsidRPr="00EB2A7A">
        <w:rPr>
          <w:rStyle w:val="jlqj4b"/>
          <w:lang w:val="fr-FR"/>
        </w:rPr>
        <w:t>L</w:t>
      </w:r>
      <w:r w:rsidR="00E31B2B">
        <w:rPr>
          <w:rStyle w:val="jlqj4b"/>
          <w:lang w:val="fr-FR"/>
        </w:rPr>
        <w:t>'</w:t>
      </w:r>
      <w:r w:rsidRPr="00EB2A7A">
        <w:rPr>
          <w:rStyle w:val="jlqj4b"/>
          <w:lang w:val="fr-FR"/>
        </w:rPr>
        <w:t>ensemble de mesures soulève des questions fondamentales concernant les travaux du Secteur de la normalisation des télécommunications, et la mesure dans laquelle le plan d</w:t>
      </w:r>
      <w:r w:rsidR="00E31B2B">
        <w:rPr>
          <w:rStyle w:val="jlqj4b"/>
          <w:lang w:val="fr-FR"/>
        </w:rPr>
        <w:t>'</w:t>
      </w:r>
      <w:r w:rsidRPr="00EB2A7A">
        <w:rPr>
          <w:rStyle w:val="jlqj4b"/>
          <w:lang w:val="fr-FR"/>
        </w:rPr>
        <w:t xml:space="preserve">action peut répondre à ces questions influera sur la structure </w:t>
      </w:r>
      <w:r w:rsidR="001644BE">
        <w:rPr>
          <w:rStyle w:val="jlqj4b"/>
          <w:lang w:val="fr-FR"/>
        </w:rPr>
        <w:t>possible</w:t>
      </w:r>
      <w:r w:rsidR="001644BE" w:rsidRPr="00EB2A7A">
        <w:rPr>
          <w:rStyle w:val="jlqj4b"/>
          <w:lang w:val="fr-FR"/>
        </w:rPr>
        <w:t xml:space="preserve"> </w:t>
      </w:r>
      <w:r w:rsidRPr="00EB2A7A">
        <w:rPr>
          <w:rStyle w:val="jlqj4b"/>
          <w:lang w:val="fr-FR"/>
        </w:rPr>
        <w:t>des commissions d</w:t>
      </w:r>
      <w:r w:rsidR="00E31B2B">
        <w:rPr>
          <w:rStyle w:val="jlqj4b"/>
          <w:lang w:val="fr-FR"/>
        </w:rPr>
        <w:t>'</w:t>
      </w:r>
      <w:r w:rsidRPr="00EB2A7A">
        <w:rPr>
          <w:rStyle w:val="jlqj4b"/>
          <w:lang w:val="fr-FR"/>
        </w:rPr>
        <w:t>études. Bon nombre des questions et des problèmes soulevés sont valables et se rapportent à des discussions plus larges que la (re)structuration des commissions d</w:t>
      </w:r>
      <w:r w:rsidR="00E31B2B">
        <w:rPr>
          <w:rStyle w:val="jlqj4b"/>
          <w:lang w:val="fr-FR"/>
        </w:rPr>
        <w:t>'</w:t>
      </w:r>
      <w:r w:rsidRPr="00EB2A7A">
        <w:rPr>
          <w:rStyle w:val="jlqj4b"/>
          <w:lang w:val="fr-FR"/>
        </w:rPr>
        <w:t xml:space="preserve">études. </w:t>
      </w:r>
    </w:p>
    <w:p w14:paraId="47214BBB" w14:textId="023CFEF7" w:rsidR="00DC1D16" w:rsidRPr="00EB2A7A" w:rsidRDefault="00DC1D16" w:rsidP="00E31B2B">
      <w:pPr>
        <w:rPr>
          <w:rStyle w:val="jlqj4b"/>
          <w:lang w:val="fr-FR"/>
        </w:rPr>
      </w:pPr>
      <w:r w:rsidRPr="00EB2A7A">
        <w:rPr>
          <w:rStyle w:val="jlqj4b"/>
          <w:lang w:val="fr-FR"/>
        </w:rPr>
        <w:t xml:space="preserve">Pour </w:t>
      </w:r>
      <w:r w:rsidR="001644BE">
        <w:rPr>
          <w:rStyle w:val="jlqj4b"/>
          <w:lang w:val="fr-FR"/>
        </w:rPr>
        <w:t>progresser dans la mise en œuvre du</w:t>
      </w:r>
      <w:r w:rsidR="00E31B2B">
        <w:rPr>
          <w:rStyle w:val="jlqj4b"/>
          <w:lang w:val="fr-FR"/>
        </w:rPr>
        <w:t xml:space="preserve"> </w:t>
      </w:r>
      <w:r w:rsidRPr="00EB2A7A">
        <w:rPr>
          <w:rStyle w:val="jlqj4b"/>
          <w:lang w:val="fr-FR"/>
        </w:rPr>
        <w:t>présent plan d</w:t>
      </w:r>
      <w:r w:rsidR="00E31B2B">
        <w:rPr>
          <w:rStyle w:val="jlqj4b"/>
          <w:lang w:val="fr-FR"/>
        </w:rPr>
        <w:t>'</w:t>
      </w:r>
      <w:r w:rsidRPr="00EB2A7A">
        <w:rPr>
          <w:rStyle w:val="jlqj4b"/>
          <w:lang w:val="fr-FR"/>
        </w:rPr>
        <w:t>action, il est nécessaire:</w:t>
      </w:r>
    </w:p>
    <w:p w14:paraId="63631A93" w14:textId="65EA00BC" w:rsidR="00DC1D16" w:rsidRPr="00EB2A7A" w:rsidRDefault="00DC1D16" w:rsidP="00E31B2B">
      <w:pPr>
        <w:pStyle w:val="enumlev1"/>
        <w:rPr>
          <w:lang w:val="fr-FR"/>
        </w:rPr>
      </w:pPr>
      <w:r w:rsidRPr="00EB2A7A">
        <w:rPr>
          <w:lang w:val="fr-FR"/>
        </w:rPr>
        <w:t>•</w:t>
      </w:r>
      <w:r w:rsidRPr="00EB2A7A">
        <w:rPr>
          <w:lang w:val="fr-FR"/>
        </w:rPr>
        <w:tab/>
        <w:t>de définir plus clairement les indicateurs fondamentaux de performance</w:t>
      </w:r>
      <w:r w:rsidR="001644BE">
        <w:rPr>
          <w:lang w:val="fr-FR"/>
        </w:rPr>
        <w:t xml:space="preserve"> (IFP)</w:t>
      </w:r>
      <w:r w:rsidRPr="00EB2A7A">
        <w:rPr>
          <w:lang w:val="fr-FR"/>
        </w:rPr>
        <w:t xml:space="preserve">/mesures devant être </w:t>
      </w:r>
      <w:r w:rsidR="001644BE">
        <w:rPr>
          <w:lang w:val="fr-FR"/>
        </w:rPr>
        <w:t>recueillis</w:t>
      </w:r>
      <w:r>
        <w:rPr>
          <w:lang w:val="fr-FR"/>
        </w:rPr>
        <w:t>;</w:t>
      </w:r>
    </w:p>
    <w:p w14:paraId="6BFF6AD7" w14:textId="27A3B858" w:rsidR="00DC1D16" w:rsidRPr="00EB2A7A" w:rsidRDefault="00DC1D16" w:rsidP="00E31B2B">
      <w:pPr>
        <w:pStyle w:val="enumlev1"/>
        <w:rPr>
          <w:lang w:val="fr-FR"/>
        </w:rPr>
      </w:pPr>
      <w:r w:rsidRPr="00EB2A7A">
        <w:rPr>
          <w:lang w:val="fr-FR"/>
        </w:rPr>
        <w:t>•</w:t>
      </w:r>
      <w:r w:rsidRPr="00EB2A7A">
        <w:rPr>
          <w:lang w:val="fr-FR"/>
        </w:rPr>
        <w:tab/>
        <w:t>d</w:t>
      </w:r>
      <w:r w:rsidR="00E31B2B">
        <w:rPr>
          <w:lang w:val="fr-FR"/>
        </w:rPr>
        <w:t>'</w:t>
      </w:r>
      <w:r w:rsidRPr="00EB2A7A">
        <w:rPr>
          <w:lang w:val="fr-FR"/>
        </w:rPr>
        <w:t xml:space="preserve">établir des priorités concernant les différents </w:t>
      </w:r>
      <w:r w:rsidR="001644BE">
        <w:rPr>
          <w:lang w:val="fr-FR"/>
        </w:rPr>
        <w:t>IFP</w:t>
      </w:r>
      <w:r w:rsidR="00E31B2B">
        <w:rPr>
          <w:lang w:val="fr-FR"/>
        </w:rPr>
        <w:t xml:space="preserve"> </w:t>
      </w:r>
      <w:r w:rsidRPr="00EB2A7A">
        <w:rPr>
          <w:lang w:val="fr-FR"/>
        </w:rPr>
        <w:t xml:space="preserve">/indicateurs devant être </w:t>
      </w:r>
      <w:r w:rsidR="001644BE">
        <w:rPr>
          <w:lang w:val="fr-FR"/>
        </w:rPr>
        <w:t>recueillis</w:t>
      </w:r>
      <w:r w:rsidRPr="00EB2A7A">
        <w:rPr>
          <w:lang w:val="fr-FR"/>
        </w:rPr>
        <w:t>, si nécessaire</w:t>
      </w:r>
      <w:r>
        <w:rPr>
          <w:lang w:val="fr-FR"/>
        </w:rPr>
        <w:t>;</w:t>
      </w:r>
    </w:p>
    <w:p w14:paraId="40B2BA75" w14:textId="7C2EEFCC" w:rsidR="00DC1D16" w:rsidRPr="00EB2A7A" w:rsidRDefault="00DC1D16" w:rsidP="00E31B2B">
      <w:pPr>
        <w:pStyle w:val="enumlev1"/>
        <w:rPr>
          <w:lang w:val="fr-FR"/>
        </w:rPr>
      </w:pPr>
      <w:r w:rsidRPr="00EB2A7A">
        <w:rPr>
          <w:lang w:val="fr-FR"/>
        </w:rPr>
        <w:t>•</w:t>
      </w:r>
      <w:r w:rsidRPr="00EB2A7A">
        <w:rPr>
          <w:lang w:val="fr-FR"/>
        </w:rPr>
        <w:tab/>
        <w:t xml:space="preserve">de définir un calendrier de mise en œuvre des </w:t>
      </w:r>
      <w:r w:rsidR="001644BE">
        <w:rPr>
          <w:lang w:val="fr-FR"/>
        </w:rPr>
        <w:t>IFP</w:t>
      </w:r>
      <w:r w:rsidR="00E31B2B">
        <w:rPr>
          <w:lang w:val="fr-FR"/>
        </w:rPr>
        <w:t xml:space="preserve"> </w:t>
      </w:r>
      <w:r w:rsidRPr="00EB2A7A">
        <w:rPr>
          <w:lang w:val="fr-FR"/>
        </w:rPr>
        <w:t>/</w:t>
      </w:r>
      <w:r w:rsidR="00E31B2B">
        <w:rPr>
          <w:lang w:val="fr-FR"/>
        </w:rPr>
        <w:t xml:space="preserve"> </w:t>
      </w:r>
      <w:r w:rsidRPr="00EB2A7A">
        <w:rPr>
          <w:lang w:val="fr-FR"/>
        </w:rPr>
        <w:t>statistiques</w:t>
      </w:r>
      <w:r>
        <w:rPr>
          <w:lang w:val="fr-FR"/>
        </w:rPr>
        <w:t>;</w:t>
      </w:r>
      <w:r w:rsidRPr="00EB2A7A">
        <w:rPr>
          <w:lang w:val="fr-FR"/>
        </w:rPr>
        <w:t xml:space="preserve"> et</w:t>
      </w:r>
    </w:p>
    <w:p w14:paraId="23A7FA30" w14:textId="2442380B" w:rsidR="00DC1D16" w:rsidRPr="00EB2A7A" w:rsidRDefault="00DC1D16" w:rsidP="00E31B2B">
      <w:pPr>
        <w:pStyle w:val="enumlev1"/>
        <w:rPr>
          <w:lang w:val="fr-FR"/>
        </w:rPr>
      </w:pPr>
      <w:r w:rsidRPr="00EB2A7A">
        <w:rPr>
          <w:lang w:val="fr-FR"/>
        </w:rPr>
        <w:t>•</w:t>
      </w:r>
      <w:r w:rsidRPr="00EB2A7A">
        <w:rPr>
          <w:lang w:val="fr-FR"/>
        </w:rPr>
        <w:tab/>
        <w:t xml:space="preserve">de travailler dans </w:t>
      </w:r>
      <w:r w:rsidR="00EF2B4E" w:rsidRPr="00EB2A7A">
        <w:rPr>
          <w:lang w:val="fr-FR"/>
        </w:rPr>
        <w:t>l</w:t>
      </w:r>
      <w:r w:rsidR="00EF2B4E">
        <w:rPr>
          <w:lang w:val="fr-FR"/>
        </w:rPr>
        <w:t>es</w:t>
      </w:r>
      <w:r w:rsidR="00EF2B4E" w:rsidRPr="00EB2A7A">
        <w:rPr>
          <w:lang w:val="fr-FR"/>
        </w:rPr>
        <w:t xml:space="preserve"> </w:t>
      </w:r>
      <w:r w:rsidRPr="00EB2A7A">
        <w:rPr>
          <w:lang w:val="fr-FR"/>
        </w:rPr>
        <w:t>limite</w:t>
      </w:r>
      <w:r w:rsidR="00EF2B4E">
        <w:rPr>
          <w:lang w:val="fr-FR"/>
        </w:rPr>
        <w:t>s</w:t>
      </w:r>
      <w:r w:rsidRPr="00EB2A7A">
        <w:rPr>
          <w:lang w:val="fr-FR"/>
        </w:rPr>
        <w:t xml:space="preserve"> </w:t>
      </w:r>
      <w:r w:rsidR="00EF2B4E">
        <w:rPr>
          <w:lang w:val="fr-FR"/>
        </w:rPr>
        <w:t>des fonds</w:t>
      </w:r>
      <w:r w:rsidRPr="00EB2A7A">
        <w:rPr>
          <w:lang w:val="fr-FR"/>
        </w:rPr>
        <w:t xml:space="preserve"> disponible</w:t>
      </w:r>
      <w:r w:rsidR="00EF2B4E">
        <w:rPr>
          <w:lang w:val="fr-FR"/>
        </w:rPr>
        <w:t>s</w:t>
      </w:r>
      <w:r w:rsidRPr="00EB2A7A">
        <w:rPr>
          <w:lang w:val="fr-FR"/>
        </w:rPr>
        <w:t>.</w:t>
      </w:r>
    </w:p>
    <w:p w14:paraId="7E35DB8D" w14:textId="77777777" w:rsidR="00DC1D16" w:rsidRPr="00EB2A7A" w:rsidRDefault="00DC1D16" w:rsidP="00E31B2B">
      <w:pPr>
        <w:pStyle w:val="Heading2"/>
        <w:rPr>
          <w:lang w:val="fr-FR"/>
        </w:rPr>
      </w:pPr>
      <w:bookmarkStart w:id="102" w:name="_Toc94876358"/>
      <w:r w:rsidRPr="00EB2A7A">
        <w:rPr>
          <w:lang w:val="fr-FR"/>
        </w:rPr>
        <w:t>I.4</w:t>
      </w:r>
      <w:r w:rsidRPr="00EB2A7A">
        <w:rPr>
          <w:lang w:val="fr-FR"/>
        </w:rPr>
        <w:tab/>
        <w:t>Options de restructuration</w:t>
      </w:r>
      <w:bookmarkEnd w:id="102"/>
    </w:p>
    <w:p w14:paraId="7334A170" w14:textId="2F979829" w:rsidR="00DC1D16" w:rsidRPr="00EB2A7A" w:rsidRDefault="00DC1D16" w:rsidP="00E31B2B">
      <w:pPr>
        <w:rPr>
          <w:lang w:val="fr-FR"/>
        </w:rPr>
      </w:pPr>
      <w:r w:rsidRPr="00EB2A7A">
        <w:rPr>
          <w:lang w:val="fr-FR"/>
        </w:rPr>
        <w:t xml:space="preserve">Les premières options à envisager </w:t>
      </w:r>
      <w:r w:rsidR="00EF2B4E">
        <w:rPr>
          <w:lang w:val="fr-FR"/>
        </w:rPr>
        <w:t>dans le cadre de</w:t>
      </w:r>
      <w:r w:rsidR="00E31B2B">
        <w:rPr>
          <w:lang w:val="fr-FR"/>
        </w:rPr>
        <w:t xml:space="preserve"> </w:t>
      </w:r>
      <w:r w:rsidRPr="00EB2A7A">
        <w:rPr>
          <w:lang w:val="fr-FR"/>
        </w:rPr>
        <w:t>la mise en œuvre du présent plan d</w:t>
      </w:r>
      <w:r w:rsidR="00E31B2B">
        <w:rPr>
          <w:lang w:val="fr-FR"/>
        </w:rPr>
        <w:t>'</w:t>
      </w:r>
      <w:r w:rsidRPr="00EB2A7A">
        <w:rPr>
          <w:lang w:val="fr-FR"/>
        </w:rPr>
        <w:t>action sont énumérées dans le Document TD995r1. Toutefois, d</w:t>
      </w:r>
      <w:r w:rsidR="00E31B2B">
        <w:rPr>
          <w:lang w:val="fr-FR"/>
        </w:rPr>
        <w:t>'</w:t>
      </w:r>
      <w:r w:rsidRPr="00EB2A7A">
        <w:rPr>
          <w:lang w:val="fr-FR"/>
        </w:rPr>
        <w:t xml:space="preserve">autres options </w:t>
      </w:r>
      <w:r w:rsidR="00EF2B4E">
        <w:rPr>
          <w:lang w:val="fr-FR"/>
        </w:rPr>
        <w:t>pourront être envisagées</w:t>
      </w:r>
      <w:r w:rsidRPr="00EB2A7A">
        <w:rPr>
          <w:lang w:val="fr-FR"/>
        </w:rPr>
        <w:t xml:space="preserve"> au fur et à mesure qu</w:t>
      </w:r>
      <w:r w:rsidR="00E31B2B">
        <w:rPr>
          <w:lang w:val="fr-FR"/>
        </w:rPr>
        <w:t>'</w:t>
      </w:r>
      <w:r w:rsidRPr="00EB2A7A">
        <w:rPr>
          <w:lang w:val="fr-FR"/>
        </w:rPr>
        <w:t>elles se présentent, y compris les futures soumissions à identifier. L</w:t>
      </w:r>
      <w:r w:rsidR="00E31B2B">
        <w:rPr>
          <w:lang w:val="fr-FR"/>
        </w:rPr>
        <w:t>'</w:t>
      </w:r>
      <w:r w:rsidRPr="00EB2A7A">
        <w:rPr>
          <w:lang w:val="fr-FR"/>
        </w:rPr>
        <w:t xml:space="preserve">éventail initial des options </w:t>
      </w:r>
      <w:r w:rsidR="001F0921" w:rsidRPr="00EB2A7A">
        <w:rPr>
          <w:lang w:val="fr-FR"/>
        </w:rPr>
        <w:t>p</w:t>
      </w:r>
      <w:r w:rsidR="001F0921">
        <w:rPr>
          <w:lang w:val="fr-FR"/>
        </w:rPr>
        <w:t>ourra</w:t>
      </w:r>
      <w:r w:rsidR="001F0921" w:rsidRPr="00EB2A7A">
        <w:rPr>
          <w:lang w:val="fr-FR"/>
        </w:rPr>
        <w:t xml:space="preserve"> </w:t>
      </w:r>
      <w:r w:rsidRPr="00EB2A7A">
        <w:rPr>
          <w:lang w:val="fr-FR"/>
        </w:rPr>
        <w:t>aller de la solution consistant à ne rien faire à un</w:t>
      </w:r>
      <w:r w:rsidR="00C4568E">
        <w:rPr>
          <w:lang w:val="fr-FR"/>
        </w:rPr>
        <w:t>e</w:t>
      </w:r>
      <w:r w:rsidRPr="00EB2A7A">
        <w:rPr>
          <w:lang w:val="fr-FR"/>
        </w:rPr>
        <w:t xml:space="preserve"> </w:t>
      </w:r>
      <w:r w:rsidR="00C4568E">
        <w:rPr>
          <w:lang w:val="fr-FR"/>
        </w:rPr>
        <w:t>refonte</w:t>
      </w:r>
      <w:r w:rsidR="00E31B2B">
        <w:rPr>
          <w:lang w:val="fr-FR"/>
        </w:rPr>
        <w:t xml:space="preserve"> </w:t>
      </w:r>
      <w:r w:rsidRPr="00EB2A7A">
        <w:rPr>
          <w:lang w:val="fr-FR"/>
        </w:rPr>
        <w:t>radical</w:t>
      </w:r>
      <w:r w:rsidR="00C4568E">
        <w:rPr>
          <w:lang w:val="fr-FR"/>
        </w:rPr>
        <w:t>e</w:t>
      </w:r>
      <w:r w:rsidR="00E31B2B">
        <w:rPr>
          <w:lang w:val="fr-FR"/>
        </w:rPr>
        <w:t xml:space="preserve"> de la structure </w:t>
      </w:r>
      <w:r w:rsidRPr="00EB2A7A">
        <w:rPr>
          <w:lang w:val="fr-FR"/>
        </w:rPr>
        <w:t>actuelle des commissions d</w:t>
      </w:r>
      <w:r w:rsidR="00E31B2B">
        <w:rPr>
          <w:lang w:val="fr-FR"/>
        </w:rPr>
        <w:t>'</w:t>
      </w:r>
      <w:r w:rsidRPr="00EB2A7A">
        <w:rPr>
          <w:lang w:val="fr-FR"/>
        </w:rPr>
        <w:t>études de l</w:t>
      </w:r>
      <w:r w:rsidR="00E31B2B">
        <w:rPr>
          <w:lang w:val="fr-FR"/>
        </w:rPr>
        <w:t>'</w:t>
      </w:r>
      <w:r w:rsidRPr="00EB2A7A">
        <w:rPr>
          <w:lang w:val="fr-FR"/>
        </w:rPr>
        <w:t>UIT-T. En d</w:t>
      </w:r>
      <w:r w:rsidR="00E31B2B">
        <w:rPr>
          <w:lang w:val="fr-FR"/>
        </w:rPr>
        <w:t>'</w:t>
      </w:r>
      <w:r w:rsidRPr="00EB2A7A">
        <w:rPr>
          <w:lang w:val="fr-FR"/>
        </w:rPr>
        <w:t xml:space="preserve">autres termes, cette étude devrait évaluer toutes </w:t>
      </w:r>
      <w:r w:rsidRPr="00E31B2B">
        <w:rPr>
          <w:lang w:val="fr-FR"/>
        </w:rPr>
        <w:t>les options de restructuration possibles</w:t>
      </w:r>
      <w:r w:rsidR="001F0921" w:rsidRPr="00E31B2B">
        <w:rPr>
          <w:lang w:val="fr-FR"/>
        </w:rPr>
        <w:t>, sans</w:t>
      </w:r>
      <w:r w:rsidR="00E31B2B">
        <w:rPr>
          <w:lang w:val="fr-FR"/>
        </w:rPr>
        <w:t xml:space="preserve"> </w:t>
      </w:r>
      <w:r w:rsidRPr="00E31B2B">
        <w:rPr>
          <w:lang w:val="fr-FR"/>
        </w:rPr>
        <w:t>se limiter aux options énumérées dans le Document TD995r1.</w:t>
      </w:r>
    </w:p>
    <w:p w14:paraId="41F59582" w14:textId="77777777" w:rsidR="00E31B2B" w:rsidRDefault="00E31B2B" w:rsidP="00E31B2B">
      <w:pPr>
        <w:rPr>
          <w:lang w:val="fr-FR"/>
        </w:rPr>
      </w:pPr>
      <w:r>
        <w:rPr>
          <w:lang w:val="fr-FR"/>
        </w:rPr>
        <w:br w:type="page"/>
      </w:r>
    </w:p>
    <w:p w14:paraId="45223136" w14:textId="38AC3838" w:rsidR="00DC1D16" w:rsidRPr="00EB2A7A" w:rsidRDefault="00DC1D16" w:rsidP="00E31B2B">
      <w:pPr>
        <w:rPr>
          <w:lang w:val="fr-FR"/>
        </w:rPr>
      </w:pPr>
      <w:r w:rsidRPr="00EB2A7A">
        <w:rPr>
          <w:lang w:val="fr-FR"/>
        </w:rPr>
        <w:lastRenderedPageBreak/>
        <w:t xml:space="preserve">Des </w:t>
      </w:r>
      <w:r w:rsidR="00C4568E">
        <w:rPr>
          <w:lang w:val="fr-FR"/>
        </w:rPr>
        <w:t>contributions</w:t>
      </w:r>
      <w:r w:rsidR="00C4568E" w:rsidRPr="00EB2A7A">
        <w:rPr>
          <w:lang w:val="fr-FR"/>
        </w:rPr>
        <w:t xml:space="preserve"> </w:t>
      </w:r>
      <w:r w:rsidRPr="00EB2A7A">
        <w:rPr>
          <w:lang w:val="fr-FR"/>
        </w:rPr>
        <w:t>ont déjà été présentées lors de réunions antérieures du GCNT en 2020 concernant les options de restructuration des commissions d</w:t>
      </w:r>
      <w:r w:rsidR="00E31B2B">
        <w:rPr>
          <w:lang w:val="fr-FR"/>
        </w:rPr>
        <w:t>'</w:t>
      </w:r>
      <w:r w:rsidRPr="00EB2A7A">
        <w:rPr>
          <w:lang w:val="fr-FR"/>
        </w:rPr>
        <w:t>études à l</w:t>
      </w:r>
      <w:r w:rsidR="00E31B2B">
        <w:rPr>
          <w:lang w:val="fr-FR"/>
        </w:rPr>
        <w:t>'</w:t>
      </w:r>
      <w:r w:rsidRPr="00EB2A7A">
        <w:rPr>
          <w:lang w:val="fr-FR"/>
        </w:rPr>
        <w:t xml:space="preserve">AMNT-20. Ces </w:t>
      </w:r>
      <w:r w:rsidR="00C4568E">
        <w:rPr>
          <w:lang w:val="fr-FR"/>
        </w:rPr>
        <w:t>contributions</w:t>
      </w:r>
      <w:r w:rsidRPr="00EB2A7A">
        <w:rPr>
          <w:lang w:val="fr-FR"/>
        </w:rPr>
        <w:t xml:space="preserve"> ont été expressément incluses dans les annexes du présent plan d</w:t>
      </w:r>
      <w:r w:rsidR="00E31B2B">
        <w:rPr>
          <w:lang w:val="fr-FR"/>
        </w:rPr>
        <w:t>'</w:t>
      </w:r>
      <w:r w:rsidRPr="00EB2A7A">
        <w:rPr>
          <w:lang w:val="fr-FR"/>
        </w:rPr>
        <w:t>action. Il n</w:t>
      </w:r>
      <w:r w:rsidR="00E31B2B">
        <w:rPr>
          <w:lang w:val="fr-FR"/>
        </w:rPr>
        <w:t>'</w:t>
      </w:r>
      <w:r w:rsidRPr="00EB2A7A">
        <w:rPr>
          <w:lang w:val="fr-FR"/>
        </w:rPr>
        <w:t>était pas prévu dans le présent plan d</w:t>
      </w:r>
      <w:r w:rsidR="00E31B2B">
        <w:rPr>
          <w:lang w:val="fr-FR"/>
        </w:rPr>
        <w:t>'</w:t>
      </w:r>
      <w:r w:rsidRPr="00EB2A7A">
        <w:rPr>
          <w:lang w:val="fr-FR"/>
        </w:rPr>
        <w:t xml:space="preserve">action de </w:t>
      </w:r>
      <w:r w:rsidR="00C4568E" w:rsidRPr="00EB2A7A">
        <w:rPr>
          <w:lang w:val="fr-FR"/>
        </w:rPr>
        <w:t>dé</w:t>
      </w:r>
      <w:r w:rsidR="00C4568E">
        <w:rPr>
          <w:lang w:val="fr-FR"/>
        </w:rPr>
        <w:t>terminer</w:t>
      </w:r>
      <w:r w:rsidR="00C4568E" w:rsidRPr="00EB2A7A">
        <w:rPr>
          <w:lang w:val="fr-FR"/>
        </w:rPr>
        <w:t xml:space="preserve"> </w:t>
      </w:r>
      <w:r w:rsidRPr="00EB2A7A">
        <w:rPr>
          <w:lang w:val="fr-FR"/>
        </w:rPr>
        <w:t>quelle option devrait ou ne devrait pas être incluse, mais de traiter chaque option d</w:t>
      </w:r>
      <w:r w:rsidR="00E31B2B">
        <w:rPr>
          <w:lang w:val="fr-FR"/>
        </w:rPr>
        <w:t>'</w:t>
      </w:r>
      <w:r w:rsidRPr="00EB2A7A">
        <w:rPr>
          <w:lang w:val="fr-FR"/>
        </w:rPr>
        <w:t xml:space="preserve">une manière juste et équitable. </w:t>
      </w:r>
    </w:p>
    <w:p w14:paraId="208B76F0" w14:textId="4ADAA610" w:rsidR="00DC1D16" w:rsidRPr="00EB2A7A" w:rsidRDefault="00C4568E" w:rsidP="00E31B2B">
      <w:pPr>
        <w:rPr>
          <w:lang w:val="fr-FR" w:eastAsia="zh-CN"/>
        </w:rPr>
      </w:pPr>
      <w:r>
        <w:rPr>
          <w:lang w:val="fr-FR" w:eastAsia="zh-CN"/>
        </w:rPr>
        <w:t>L</w:t>
      </w:r>
      <w:r w:rsidRPr="00EB2A7A">
        <w:rPr>
          <w:lang w:val="fr-FR" w:eastAsia="zh-CN"/>
        </w:rPr>
        <w:t xml:space="preserve">a </w:t>
      </w:r>
      <w:r w:rsidR="00DC1D16" w:rsidRPr="00EB2A7A">
        <w:rPr>
          <w:lang w:val="fr-FR" w:eastAsia="zh-CN"/>
        </w:rPr>
        <w:t>transparence, l</w:t>
      </w:r>
      <w:r w:rsidR="00E31B2B">
        <w:rPr>
          <w:lang w:val="fr-FR" w:eastAsia="zh-CN"/>
        </w:rPr>
        <w:t>'</w:t>
      </w:r>
      <w:r w:rsidR="00DC1D16" w:rsidRPr="00EB2A7A">
        <w:rPr>
          <w:lang w:val="fr-FR" w:eastAsia="zh-CN"/>
        </w:rPr>
        <w:t>équité, l</w:t>
      </w:r>
      <w:r w:rsidR="00E31B2B">
        <w:rPr>
          <w:lang w:val="fr-FR" w:eastAsia="zh-CN"/>
        </w:rPr>
        <w:t>'</w:t>
      </w:r>
      <w:r w:rsidR="00DC1D16" w:rsidRPr="00EB2A7A">
        <w:rPr>
          <w:lang w:val="fr-FR" w:eastAsia="zh-CN"/>
        </w:rPr>
        <w:t>impartialité et l</w:t>
      </w:r>
      <w:r w:rsidR="00E31B2B">
        <w:rPr>
          <w:lang w:val="fr-FR" w:eastAsia="zh-CN"/>
        </w:rPr>
        <w:t>'</w:t>
      </w:r>
      <w:r w:rsidR="00DC1D16" w:rsidRPr="00EB2A7A">
        <w:rPr>
          <w:lang w:val="fr-FR" w:eastAsia="zh-CN"/>
        </w:rPr>
        <w:t>objectivité</w:t>
      </w:r>
      <w:r>
        <w:rPr>
          <w:lang w:val="fr-FR" w:eastAsia="zh-CN"/>
        </w:rPr>
        <w:t xml:space="preserve"> doivent présider à</w:t>
      </w:r>
      <w:r w:rsidRPr="00C4568E">
        <w:rPr>
          <w:lang w:val="fr-FR" w:eastAsia="zh-CN"/>
        </w:rPr>
        <w:t xml:space="preserve"> </w:t>
      </w:r>
      <w:r>
        <w:rPr>
          <w:lang w:val="fr-FR" w:eastAsia="zh-CN"/>
        </w:rPr>
        <w:t>l</w:t>
      </w:r>
      <w:r w:rsidRPr="00EB2A7A">
        <w:rPr>
          <w:lang w:val="fr-FR" w:eastAsia="zh-CN"/>
        </w:rPr>
        <w:t xml:space="preserve">a mise en œuvre du </w:t>
      </w:r>
      <w:r w:rsidRPr="00EB2A7A">
        <w:rPr>
          <w:lang w:val="fr-FR"/>
        </w:rPr>
        <w:t>présent</w:t>
      </w:r>
      <w:r w:rsidRPr="00EB2A7A">
        <w:rPr>
          <w:lang w:val="fr-FR" w:eastAsia="zh-CN"/>
        </w:rPr>
        <w:t xml:space="preserve"> plan d</w:t>
      </w:r>
      <w:r w:rsidR="00E31B2B">
        <w:rPr>
          <w:lang w:val="fr-FR" w:eastAsia="zh-CN"/>
        </w:rPr>
        <w:t>'</w:t>
      </w:r>
      <w:r w:rsidRPr="00EB2A7A">
        <w:rPr>
          <w:lang w:val="fr-FR" w:eastAsia="zh-CN"/>
        </w:rPr>
        <w:t>action</w:t>
      </w:r>
      <w:r w:rsidR="00E31B2B">
        <w:rPr>
          <w:lang w:val="fr-FR" w:eastAsia="zh-CN"/>
        </w:rPr>
        <w:t>.</w:t>
      </w:r>
      <w:r w:rsidR="00DC1D16" w:rsidRPr="00EB2A7A">
        <w:rPr>
          <w:lang w:val="fr-FR" w:eastAsia="zh-CN"/>
        </w:rPr>
        <w:t xml:space="preserve"> Il convient d</w:t>
      </w:r>
      <w:r w:rsidR="00E31B2B">
        <w:rPr>
          <w:lang w:val="fr-FR" w:eastAsia="zh-CN"/>
        </w:rPr>
        <w:t>'</w:t>
      </w:r>
      <w:r w:rsidR="00DC1D16" w:rsidRPr="00EB2A7A">
        <w:rPr>
          <w:lang w:val="fr-FR" w:eastAsia="zh-CN"/>
        </w:rPr>
        <w:t>identifier, de recueillir et d</w:t>
      </w:r>
      <w:r w:rsidR="00E31B2B">
        <w:rPr>
          <w:lang w:val="fr-FR" w:eastAsia="zh-CN"/>
        </w:rPr>
        <w:t>'</w:t>
      </w:r>
      <w:r w:rsidR="00DC1D16" w:rsidRPr="00EB2A7A">
        <w:rPr>
          <w:lang w:val="fr-FR" w:eastAsia="zh-CN"/>
        </w:rPr>
        <w:t>analyser objectivement</w:t>
      </w:r>
      <w:r>
        <w:rPr>
          <w:lang w:val="fr-FR" w:eastAsia="zh-CN"/>
        </w:rPr>
        <w:t>,</w:t>
      </w:r>
      <w:r w:rsidR="00DC1D16" w:rsidRPr="00EB2A7A">
        <w:rPr>
          <w:lang w:val="fr-FR" w:eastAsia="zh-CN"/>
        </w:rPr>
        <w:t xml:space="preserve"> par ordre de priorité et</w:t>
      </w:r>
      <w:r w:rsidR="000501FF" w:rsidRPr="00E31B2B">
        <w:rPr>
          <w:lang w:val="fr-CH"/>
        </w:rPr>
        <w:t xml:space="preserve"> </w:t>
      </w:r>
      <w:r w:rsidR="000501FF" w:rsidRPr="000501FF">
        <w:rPr>
          <w:lang w:val="fr-FR" w:eastAsia="zh-CN"/>
        </w:rPr>
        <w:t>en fonction du caractère</w:t>
      </w:r>
      <w:r w:rsidR="00DC1D16" w:rsidRPr="00EB2A7A">
        <w:rPr>
          <w:lang w:val="fr-FR" w:eastAsia="zh-CN"/>
        </w:rPr>
        <w:t xml:space="preserve"> d</w:t>
      </w:r>
      <w:r w:rsidR="00E31B2B">
        <w:rPr>
          <w:lang w:val="fr-FR" w:eastAsia="zh-CN"/>
        </w:rPr>
        <w:t>'</w:t>
      </w:r>
      <w:r w:rsidR="00DC1D16" w:rsidRPr="00EB2A7A">
        <w:rPr>
          <w:lang w:val="fr-FR" w:eastAsia="zh-CN"/>
        </w:rPr>
        <w:t>urgence</w:t>
      </w:r>
      <w:r w:rsidR="000501FF">
        <w:rPr>
          <w:lang w:val="fr-FR" w:eastAsia="zh-CN"/>
        </w:rPr>
        <w:t>,</w:t>
      </w:r>
      <w:r w:rsidR="00DC1D16" w:rsidRPr="00EB2A7A">
        <w:rPr>
          <w:lang w:val="fr-FR" w:eastAsia="zh-CN"/>
        </w:rPr>
        <w:t xml:space="preserve"> les problèmes </w:t>
      </w:r>
      <w:r w:rsidR="000501FF">
        <w:rPr>
          <w:lang w:val="fr-FR" w:eastAsia="zh-CN"/>
        </w:rPr>
        <w:t>que pose</w:t>
      </w:r>
      <w:r w:rsidR="00DC1D16" w:rsidRPr="00EB2A7A">
        <w:rPr>
          <w:lang w:val="fr-FR" w:eastAsia="zh-CN"/>
        </w:rPr>
        <w:t xml:space="preserve"> la structure actuelle des commissions d</w:t>
      </w:r>
      <w:r w:rsidR="00E31B2B">
        <w:rPr>
          <w:lang w:val="fr-FR" w:eastAsia="zh-CN"/>
        </w:rPr>
        <w:t>'</w:t>
      </w:r>
      <w:r w:rsidR="00DC1D16" w:rsidRPr="00EB2A7A">
        <w:rPr>
          <w:lang w:val="fr-FR" w:eastAsia="zh-CN"/>
        </w:rPr>
        <w:t>études de l</w:t>
      </w:r>
      <w:r w:rsidR="00E31B2B">
        <w:rPr>
          <w:lang w:val="fr-FR" w:eastAsia="zh-CN"/>
        </w:rPr>
        <w:t>'</w:t>
      </w:r>
      <w:r w:rsidR="00DC1D16" w:rsidRPr="00EB2A7A">
        <w:rPr>
          <w:lang w:val="fr-FR" w:eastAsia="zh-CN"/>
        </w:rPr>
        <w:t xml:space="preserve">UIT-T, qui doivent et peuvent être résolus par une restructuration. Une fois identifiés, </w:t>
      </w:r>
      <w:r w:rsidR="00F961BC">
        <w:rPr>
          <w:lang w:val="fr-FR" w:eastAsia="zh-CN"/>
        </w:rPr>
        <w:t xml:space="preserve">il conviendra de classer </w:t>
      </w:r>
      <w:r w:rsidR="00DC1D16" w:rsidRPr="00EB2A7A">
        <w:rPr>
          <w:lang w:val="fr-FR" w:eastAsia="zh-CN"/>
        </w:rPr>
        <w:t>tous les problèmes</w:t>
      </w:r>
      <w:r w:rsidR="00E31B2B">
        <w:rPr>
          <w:lang w:val="fr-FR" w:eastAsia="zh-CN"/>
        </w:rPr>
        <w:t xml:space="preserve"> </w:t>
      </w:r>
      <w:r w:rsidR="00DC1D16" w:rsidRPr="00EB2A7A">
        <w:rPr>
          <w:lang w:val="fr-FR" w:eastAsia="zh-CN"/>
        </w:rPr>
        <w:t>par ordre de priorité</w:t>
      </w:r>
      <w:r w:rsidR="00F961BC">
        <w:rPr>
          <w:lang w:val="fr-FR" w:eastAsia="zh-CN"/>
        </w:rPr>
        <w:t xml:space="preserve"> et de déterminer clairement</w:t>
      </w:r>
      <w:r w:rsidR="00E31B2B">
        <w:rPr>
          <w:lang w:val="fr-FR" w:eastAsia="zh-CN"/>
        </w:rPr>
        <w:t xml:space="preserve"> </w:t>
      </w:r>
      <w:r w:rsidR="00F961BC">
        <w:rPr>
          <w:lang w:val="fr-FR" w:eastAsia="zh-CN"/>
        </w:rPr>
        <w:t>ceux qui</w:t>
      </w:r>
      <w:r w:rsidR="00DC1D16" w:rsidRPr="00EB2A7A">
        <w:rPr>
          <w:lang w:val="fr-FR" w:eastAsia="zh-CN"/>
        </w:rPr>
        <w:t xml:space="preserve"> doivent être résolus dans un avenir proche et</w:t>
      </w:r>
      <w:r w:rsidR="00E31B2B">
        <w:rPr>
          <w:lang w:val="fr-FR" w:eastAsia="zh-CN"/>
        </w:rPr>
        <w:t xml:space="preserve"> </w:t>
      </w:r>
      <w:r w:rsidR="00F961BC">
        <w:rPr>
          <w:lang w:val="fr-FR" w:eastAsia="zh-CN"/>
        </w:rPr>
        <w:t>ceux qui</w:t>
      </w:r>
      <w:r w:rsidR="00E31B2B">
        <w:rPr>
          <w:lang w:val="fr-FR" w:eastAsia="zh-CN"/>
        </w:rPr>
        <w:t xml:space="preserve"> </w:t>
      </w:r>
      <w:r w:rsidR="00DC1D16" w:rsidRPr="00EB2A7A">
        <w:rPr>
          <w:lang w:val="fr-FR" w:eastAsia="zh-CN"/>
        </w:rPr>
        <w:t>peuvent être traités ultérieurement.</w:t>
      </w:r>
    </w:p>
    <w:p w14:paraId="215EAAFC" w14:textId="47A79840" w:rsidR="00DC1D16" w:rsidRPr="00EB2A7A" w:rsidRDefault="00DC1D16" w:rsidP="00E31B2B">
      <w:pPr>
        <w:pStyle w:val="Heading2"/>
        <w:rPr>
          <w:lang w:val="fr-FR"/>
        </w:rPr>
      </w:pPr>
      <w:bookmarkStart w:id="103" w:name="_Toc94876359"/>
      <w:r w:rsidRPr="00EB2A7A">
        <w:rPr>
          <w:lang w:val="fr-FR"/>
        </w:rPr>
        <w:t>I.5</w:t>
      </w:r>
      <w:r w:rsidRPr="00EB2A7A">
        <w:rPr>
          <w:lang w:val="fr-FR"/>
        </w:rPr>
        <w:tab/>
        <w:t>Application des informations à l</w:t>
      </w:r>
      <w:r w:rsidR="00E31B2B">
        <w:rPr>
          <w:lang w:val="fr-FR"/>
        </w:rPr>
        <w:t>'</w:t>
      </w:r>
      <w:r w:rsidRPr="00EB2A7A">
        <w:rPr>
          <w:lang w:val="fr-FR"/>
        </w:rPr>
        <w:t>analyse</w:t>
      </w:r>
      <w:bookmarkEnd w:id="103"/>
    </w:p>
    <w:p w14:paraId="47D23833" w14:textId="6D82B0F7" w:rsidR="00DC1D16" w:rsidRPr="00EB2A7A" w:rsidRDefault="00DC1D16" w:rsidP="00E31B2B">
      <w:pPr>
        <w:rPr>
          <w:lang w:val="fr-FR"/>
        </w:rPr>
      </w:pPr>
      <w:r w:rsidRPr="00EB2A7A">
        <w:rPr>
          <w:lang w:val="fr-FR"/>
        </w:rPr>
        <w:t>L</w:t>
      </w:r>
      <w:r w:rsidR="00E31B2B">
        <w:rPr>
          <w:lang w:val="fr-FR"/>
        </w:rPr>
        <w:t>'</w:t>
      </w:r>
      <w:r w:rsidRPr="00EB2A7A">
        <w:rPr>
          <w:lang w:val="fr-FR"/>
        </w:rPr>
        <w:t>analyse devrait prendre en considération les mesures qui ont été identifiées pour répondre aux questions suivantes:</w:t>
      </w:r>
    </w:p>
    <w:p w14:paraId="66C2CE46" w14:textId="544B9140" w:rsidR="00DC1D16" w:rsidRPr="00EB2A7A" w:rsidRDefault="00DC1D16" w:rsidP="00E31B2B">
      <w:pPr>
        <w:pStyle w:val="enumlev1"/>
        <w:rPr>
          <w:lang w:val="fr-FR"/>
        </w:rPr>
      </w:pPr>
      <w:r w:rsidRPr="00EB2A7A">
        <w:rPr>
          <w:lang w:val="fr-FR"/>
        </w:rPr>
        <w:t>1)</w:t>
      </w:r>
      <w:r w:rsidRPr="00EB2A7A">
        <w:rPr>
          <w:lang w:val="fr-FR"/>
        </w:rPr>
        <w:tab/>
        <w:t>Comment les différentes options de restructuration permettent-elles d</w:t>
      </w:r>
      <w:r w:rsidR="00E31B2B">
        <w:rPr>
          <w:lang w:val="fr-FR"/>
        </w:rPr>
        <w:t>'</w:t>
      </w:r>
      <w:r w:rsidRPr="00EB2A7A">
        <w:rPr>
          <w:lang w:val="fr-FR"/>
        </w:rPr>
        <w:t>assurer la viabilité des commissions d</w:t>
      </w:r>
      <w:r w:rsidR="00E31B2B">
        <w:rPr>
          <w:lang w:val="fr-FR"/>
        </w:rPr>
        <w:t>'</w:t>
      </w:r>
      <w:r w:rsidRPr="00EB2A7A">
        <w:rPr>
          <w:lang w:val="fr-FR"/>
        </w:rPr>
        <w:t>études et d</w:t>
      </w:r>
      <w:r w:rsidR="00E31B2B">
        <w:rPr>
          <w:lang w:val="fr-FR"/>
        </w:rPr>
        <w:t>'</w:t>
      </w:r>
      <w:r w:rsidRPr="00EB2A7A">
        <w:rPr>
          <w:lang w:val="fr-FR"/>
        </w:rPr>
        <w:t>augmenter la productivité future en extrayant les recommandations et les normes requises plus rapidement que dans la situation actuelle?</w:t>
      </w:r>
    </w:p>
    <w:p w14:paraId="5A7033C9" w14:textId="638D209A" w:rsidR="00DC1D16" w:rsidRPr="00EB2A7A" w:rsidRDefault="00DC1D16" w:rsidP="00E31B2B">
      <w:pPr>
        <w:pStyle w:val="enumlev1"/>
        <w:rPr>
          <w:lang w:val="fr-FR"/>
        </w:rPr>
      </w:pPr>
      <w:r w:rsidRPr="00EB2A7A">
        <w:rPr>
          <w:lang w:val="fr-FR"/>
        </w:rPr>
        <w:t>2)</w:t>
      </w:r>
      <w:r w:rsidRPr="00EB2A7A">
        <w:rPr>
          <w:lang w:val="fr-FR"/>
        </w:rPr>
        <w:tab/>
        <w:t>La structure et le programme de travail actuels des commissions d</w:t>
      </w:r>
      <w:r w:rsidR="00E31B2B">
        <w:rPr>
          <w:lang w:val="fr-FR"/>
        </w:rPr>
        <w:t>'</w:t>
      </w:r>
      <w:r w:rsidRPr="00EB2A7A">
        <w:rPr>
          <w:lang w:val="fr-FR"/>
        </w:rPr>
        <w:t>études de l</w:t>
      </w:r>
      <w:r w:rsidR="00E31B2B">
        <w:rPr>
          <w:lang w:val="fr-FR"/>
        </w:rPr>
        <w:t>'</w:t>
      </w:r>
      <w:r w:rsidRPr="00EB2A7A">
        <w:rPr>
          <w:lang w:val="fr-FR"/>
        </w:rPr>
        <w:t xml:space="preserve">UIT-T répondent-ils à la demande actuelle et future du secteur privé? </w:t>
      </w:r>
      <w:r w:rsidR="00F961BC" w:rsidRPr="00F961BC">
        <w:rPr>
          <w:lang w:val="fr-FR"/>
        </w:rPr>
        <w:t>Dans la négative</w:t>
      </w:r>
      <w:r w:rsidRPr="00EB2A7A">
        <w:rPr>
          <w:lang w:val="fr-FR"/>
        </w:rPr>
        <w:t>, quelles</w:t>
      </w:r>
      <w:r w:rsidR="001A0ECC">
        <w:rPr>
          <w:lang w:val="fr-FR"/>
        </w:rPr>
        <w:t xml:space="preserve"> sont les</w:t>
      </w:r>
      <w:r w:rsidRPr="00EB2A7A">
        <w:rPr>
          <w:lang w:val="fr-FR"/>
        </w:rPr>
        <w:t xml:space="preserve"> mesures</w:t>
      </w:r>
      <w:r w:rsidR="001A0ECC">
        <w:rPr>
          <w:lang w:val="fr-FR"/>
        </w:rPr>
        <w:t xml:space="preserve"> à prendre</w:t>
      </w:r>
      <w:r w:rsidRPr="00EB2A7A">
        <w:rPr>
          <w:lang w:val="fr-FR"/>
        </w:rPr>
        <w:t>?</w:t>
      </w:r>
    </w:p>
    <w:p w14:paraId="1D7F967D" w14:textId="12E40444" w:rsidR="00DC1D16" w:rsidRPr="00EB2A7A" w:rsidRDefault="00DC1D16" w:rsidP="00E31B2B">
      <w:pPr>
        <w:pStyle w:val="enumlev1"/>
        <w:rPr>
          <w:lang w:val="fr-FR"/>
        </w:rPr>
      </w:pPr>
      <w:r w:rsidRPr="00EB2A7A">
        <w:rPr>
          <w:lang w:val="fr-FR"/>
        </w:rPr>
        <w:t>3)</w:t>
      </w:r>
      <w:r w:rsidRPr="00EB2A7A">
        <w:rPr>
          <w:lang w:val="fr-FR"/>
        </w:rPr>
        <w:tab/>
        <w:t>Les commissions d</w:t>
      </w:r>
      <w:r w:rsidR="00E31B2B">
        <w:rPr>
          <w:lang w:val="fr-FR"/>
        </w:rPr>
        <w:t>'</w:t>
      </w:r>
      <w:r w:rsidRPr="00EB2A7A">
        <w:rPr>
          <w:lang w:val="fr-FR"/>
        </w:rPr>
        <w:t>études de l</w:t>
      </w:r>
      <w:r w:rsidR="00E31B2B">
        <w:rPr>
          <w:lang w:val="fr-FR"/>
        </w:rPr>
        <w:t>'</w:t>
      </w:r>
      <w:r w:rsidRPr="00EB2A7A">
        <w:rPr>
          <w:lang w:val="fr-FR"/>
        </w:rPr>
        <w:t>UIT-T travaillent-elles en collaboration et se complètent-elles pour obtenir des résultats communs? Comment améliorer les travaux complémentaires?</w:t>
      </w:r>
    </w:p>
    <w:p w14:paraId="42BD058A" w14:textId="4AF9078E" w:rsidR="00DC1D16" w:rsidRPr="00EB2A7A" w:rsidRDefault="00DC1D16" w:rsidP="00E31B2B">
      <w:pPr>
        <w:pStyle w:val="enumlev1"/>
        <w:rPr>
          <w:lang w:val="fr-FR"/>
        </w:rPr>
      </w:pPr>
      <w:r w:rsidRPr="00EB2A7A">
        <w:rPr>
          <w:lang w:val="fr-FR"/>
        </w:rPr>
        <w:t>4)</w:t>
      </w:r>
      <w:r w:rsidRPr="00EB2A7A">
        <w:rPr>
          <w:lang w:val="fr-FR"/>
        </w:rPr>
        <w:tab/>
        <w:t xml:space="preserve">Quelles sont les incidences de chaque option de restructuration </w:t>
      </w:r>
      <w:r w:rsidR="001A0ECC">
        <w:rPr>
          <w:lang w:val="fr-FR"/>
        </w:rPr>
        <w:t>sur le plan</w:t>
      </w:r>
      <w:r w:rsidRPr="00EB2A7A">
        <w:rPr>
          <w:lang w:val="fr-FR"/>
        </w:rPr>
        <w:t xml:space="preserve"> de</w:t>
      </w:r>
      <w:r w:rsidR="001A0ECC">
        <w:rPr>
          <w:lang w:val="fr-FR"/>
        </w:rPr>
        <w:t>s</w:t>
      </w:r>
      <w:r w:rsidRPr="00EB2A7A">
        <w:rPr>
          <w:lang w:val="fr-FR"/>
        </w:rPr>
        <w:t xml:space="preserve"> ressources financières et </w:t>
      </w:r>
      <w:r w:rsidR="001A0ECC">
        <w:rPr>
          <w:lang w:val="fr-FR"/>
        </w:rPr>
        <w:t xml:space="preserve">des ressources </w:t>
      </w:r>
      <w:r w:rsidRPr="00EB2A7A">
        <w:rPr>
          <w:lang w:val="fr-FR"/>
        </w:rPr>
        <w:t>humaines?</w:t>
      </w:r>
    </w:p>
    <w:p w14:paraId="688A4796" w14:textId="344CF8DB" w:rsidR="00DC1D16" w:rsidRPr="00EB2A7A" w:rsidRDefault="00DC1D16" w:rsidP="00E31B2B">
      <w:pPr>
        <w:pStyle w:val="enumlev1"/>
        <w:rPr>
          <w:lang w:val="fr-FR"/>
        </w:rPr>
      </w:pPr>
      <w:r w:rsidRPr="00EB2A7A">
        <w:rPr>
          <w:lang w:val="fr-FR"/>
        </w:rPr>
        <w:t>5)</w:t>
      </w:r>
      <w:r w:rsidRPr="00EB2A7A">
        <w:rPr>
          <w:lang w:val="fr-FR"/>
        </w:rPr>
        <w:tab/>
        <w:t>Quels sont les avantages et</w:t>
      </w:r>
      <w:r w:rsidR="00E31B2B">
        <w:rPr>
          <w:lang w:val="fr-FR"/>
        </w:rPr>
        <w:t xml:space="preserve"> </w:t>
      </w:r>
      <w:r w:rsidRPr="00EB2A7A">
        <w:rPr>
          <w:lang w:val="fr-FR"/>
        </w:rPr>
        <w:t xml:space="preserve">inconvénients de toutes les propositions, en particulier en </w:t>
      </w:r>
      <w:r w:rsidR="001A0ECC">
        <w:rPr>
          <w:lang w:val="fr-FR"/>
        </w:rPr>
        <w:t>cas de</w:t>
      </w:r>
      <w:r w:rsidR="00E31B2B">
        <w:rPr>
          <w:lang w:val="fr-FR"/>
        </w:rPr>
        <w:t xml:space="preserve"> </w:t>
      </w:r>
      <w:r w:rsidRPr="00EB2A7A">
        <w:rPr>
          <w:lang w:val="fr-FR"/>
        </w:rPr>
        <w:t>fusion des commissions d</w:t>
      </w:r>
      <w:r w:rsidR="00E31B2B">
        <w:rPr>
          <w:lang w:val="fr-FR"/>
        </w:rPr>
        <w:t>'</w:t>
      </w:r>
      <w:r w:rsidRPr="00EB2A7A">
        <w:rPr>
          <w:lang w:val="fr-FR"/>
        </w:rPr>
        <w:t xml:space="preserve">études, </w:t>
      </w:r>
      <w:r w:rsidR="001A0ECC">
        <w:rPr>
          <w:lang w:val="fr-FR"/>
        </w:rPr>
        <w:t>s</w:t>
      </w:r>
      <w:r w:rsidR="00E31B2B">
        <w:rPr>
          <w:lang w:val="fr-FR"/>
        </w:rPr>
        <w:t>'</w:t>
      </w:r>
      <w:r w:rsidR="001A0ECC">
        <w:rPr>
          <w:lang w:val="fr-FR"/>
        </w:rPr>
        <w:t>agissant de l</w:t>
      </w:r>
      <w:r w:rsidR="00E31B2B">
        <w:rPr>
          <w:lang w:val="fr-FR"/>
        </w:rPr>
        <w:t>''</w:t>
      </w:r>
      <w:r w:rsidRPr="00EB2A7A">
        <w:rPr>
          <w:lang w:val="fr-FR"/>
        </w:rPr>
        <w:t xml:space="preserve">équilibre </w:t>
      </w:r>
      <w:r w:rsidR="0054526A" w:rsidRPr="0054526A">
        <w:rPr>
          <w:lang w:val="fr-FR"/>
        </w:rPr>
        <w:t xml:space="preserve">à trouver </w:t>
      </w:r>
      <w:r w:rsidRPr="00EB2A7A">
        <w:rPr>
          <w:lang w:val="fr-FR"/>
        </w:rPr>
        <w:t>entre les capacités de chaque commission d</w:t>
      </w:r>
      <w:r w:rsidR="00E31B2B">
        <w:rPr>
          <w:lang w:val="fr-FR"/>
        </w:rPr>
        <w:t>'</w:t>
      </w:r>
      <w:r w:rsidRPr="00EB2A7A">
        <w:rPr>
          <w:lang w:val="fr-FR"/>
        </w:rPr>
        <w:t>études</w:t>
      </w:r>
      <w:r w:rsidR="001A0ECC">
        <w:rPr>
          <w:lang w:val="fr-FR"/>
        </w:rPr>
        <w:t xml:space="preserve"> et la nécessité</w:t>
      </w:r>
      <w:r w:rsidRPr="00EB2A7A">
        <w:rPr>
          <w:lang w:val="fr-FR"/>
        </w:rPr>
        <w:t xml:space="preserve"> </w:t>
      </w:r>
      <w:r w:rsidR="001A0ECC">
        <w:rPr>
          <w:lang w:val="fr-FR"/>
        </w:rPr>
        <w:t xml:space="preserve">de ne pas </w:t>
      </w:r>
      <w:r w:rsidR="001A0ECC" w:rsidRPr="00E31B2B">
        <w:rPr>
          <w:lang w:val="fr-CH"/>
        </w:rPr>
        <w:t xml:space="preserve">accroître les contraintes </w:t>
      </w:r>
      <w:r w:rsidRPr="00EB2A7A">
        <w:rPr>
          <w:lang w:val="fr-FR"/>
        </w:rPr>
        <w:t>actuelle</w:t>
      </w:r>
      <w:r w:rsidR="001A0ECC">
        <w:rPr>
          <w:lang w:val="fr-FR"/>
        </w:rPr>
        <w:t>s</w:t>
      </w:r>
      <w:r w:rsidRPr="00EB2A7A">
        <w:rPr>
          <w:lang w:val="fr-FR"/>
        </w:rPr>
        <w:t>,</w:t>
      </w:r>
      <w:r w:rsidR="00E31B2B">
        <w:rPr>
          <w:lang w:val="fr-FR"/>
        </w:rPr>
        <w:t xml:space="preserve"> </w:t>
      </w:r>
      <w:r w:rsidR="0054526A">
        <w:rPr>
          <w:lang w:val="fr-FR"/>
        </w:rPr>
        <w:t xml:space="preserve">(nombre de </w:t>
      </w:r>
      <w:r w:rsidRPr="00EB2A7A">
        <w:rPr>
          <w:lang w:val="fr-FR"/>
        </w:rPr>
        <w:t>questions,</w:t>
      </w:r>
      <w:r w:rsidR="00E31B2B">
        <w:rPr>
          <w:lang w:val="fr-FR"/>
        </w:rPr>
        <w:t xml:space="preserve"> </w:t>
      </w:r>
      <w:r w:rsidRPr="00EB2A7A">
        <w:rPr>
          <w:lang w:val="fr-FR"/>
        </w:rPr>
        <w:t>calendriers des réunions</w:t>
      </w:r>
      <w:r w:rsidR="0054526A">
        <w:rPr>
          <w:lang w:val="fr-FR"/>
        </w:rPr>
        <w:t>)</w:t>
      </w:r>
      <w:r w:rsidR="00E31B2B">
        <w:rPr>
          <w:lang w:val="fr-FR"/>
        </w:rPr>
        <w:t>,</w:t>
      </w:r>
      <w:r w:rsidR="0054526A">
        <w:rPr>
          <w:lang w:val="fr-FR"/>
        </w:rPr>
        <w:t xml:space="preserve"> tout en</w:t>
      </w:r>
      <w:r w:rsidR="00E31B2B">
        <w:rPr>
          <w:lang w:val="fr-FR"/>
        </w:rPr>
        <w:t xml:space="preserve"> </w:t>
      </w:r>
      <w:r w:rsidR="0054526A">
        <w:rPr>
          <w:lang w:val="fr-FR"/>
        </w:rPr>
        <w:t>veillant à ce que les</w:t>
      </w:r>
      <w:r w:rsidR="0054526A" w:rsidRPr="0054526A">
        <w:rPr>
          <w:lang w:val="fr-FR"/>
        </w:rPr>
        <w:t xml:space="preserve"> </w:t>
      </w:r>
      <w:r w:rsidR="0054526A" w:rsidRPr="00EB2A7A">
        <w:rPr>
          <w:lang w:val="fr-FR"/>
        </w:rPr>
        <w:t>commissions d</w:t>
      </w:r>
      <w:r w:rsidR="00E31B2B">
        <w:rPr>
          <w:lang w:val="fr-FR"/>
        </w:rPr>
        <w:t>'</w:t>
      </w:r>
      <w:r w:rsidR="0054526A" w:rsidRPr="00EB2A7A">
        <w:rPr>
          <w:lang w:val="fr-FR"/>
        </w:rPr>
        <w:t>études</w:t>
      </w:r>
      <w:r w:rsidR="00E31B2B">
        <w:rPr>
          <w:lang w:val="fr-FR"/>
        </w:rPr>
        <w:t xml:space="preserve"> </w:t>
      </w:r>
      <w:r w:rsidR="0054526A">
        <w:rPr>
          <w:lang w:val="fr-FR"/>
        </w:rPr>
        <w:t>tiennent</w:t>
      </w:r>
      <w:r w:rsidR="0054526A" w:rsidRPr="00EB2A7A">
        <w:rPr>
          <w:lang w:val="fr-FR"/>
        </w:rPr>
        <w:t xml:space="preserve"> </w:t>
      </w:r>
      <w:r w:rsidRPr="00EB2A7A">
        <w:rPr>
          <w:lang w:val="fr-FR"/>
        </w:rPr>
        <w:t>un nombre suffisant de réunions périodiques?</w:t>
      </w:r>
    </w:p>
    <w:p w14:paraId="1BE93823" w14:textId="0AF8E6F3" w:rsidR="00DC1D16" w:rsidRPr="00EB2A7A" w:rsidRDefault="00DC1D16" w:rsidP="00E31B2B">
      <w:pPr>
        <w:pStyle w:val="enumlev1"/>
        <w:rPr>
          <w:lang w:val="fr-FR"/>
        </w:rPr>
      </w:pPr>
      <w:r w:rsidRPr="00EB2A7A">
        <w:rPr>
          <w:lang w:val="fr-FR"/>
        </w:rPr>
        <w:t>6)</w:t>
      </w:r>
      <w:r w:rsidRPr="00EB2A7A">
        <w:rPr>
          <w:lang w:val="fr-FR"/>
        </w:rPr>
        <w:tab/>
        <w:t>Dans la mesure où une organisation intergouvernementale comme l</w:t>
      </w:r>
      <w:r w:rsidR="00E31B2B">
        <w:rPr>
          <w:lang w:val="fr-FR"/>
        </w:rPr>
        <w:t>'</w:t>
      </w:r>
      <w:r w:rsidRPr="00EB2A7A">
        <w:rPr>
          <w:lang w:val="fr-FR"/>
        </w:rPr>
        <w:t>UIT peut être évaluée en fonction de</w:t>
      </w:r>
      <w:r w:rsidR="0054526A">
        <w:rPr>
          <w:lang w:val="fr-FR"/>
        </w:rPr>
        <w:t xml:space="preserve"> se</w:t>
      </w:r>
      <w:r w:rsidRPr="00EB2A7A">
        <w:rPr>
          <w:lang w:val="fr-FR"/>
        </w:rPr>
        <w:t xml:space="preserve">s avantages </w:t>
      </w:r>
      <w:r w:rsidR="0054526A" w:rsidRPr="00E31B2B">
        <w:rPr>
          <w:color w:val="000000"/>
          <w:lang w:val="fr-CH"/>
        </w:rPr>
        <w:t>compétitifs</w:t>
      </w:r>
      <w:r w:rsidR="00E31B2B">
        <w:rPr>
          <w:color w:val="000000"/>
          <w:lang w:val="fr-CH"/>
        </w:rPr>
        <w:t>,</w:t>
      </w:r>
      <w:r w:rsidRPr="00EB2A7A">
        <w:rPr>
          <w:lang w:val="fr-FR"/>
        </w:rPr>
        <w:t xml:space="preserve"> quels sont ceux dont dispose l</w:t>
      </w:r>
      <w:r w:rsidR="00E31B2B">
        <w:rPr>
          <w:lang w:val="fr-FR"/>
        </w:rPr>
        <w:t>'</w:t>
      </w:r>
      <w:r w:rsidRPr="00EB2A7A">
        <w:rPr>
          <w:lang w:val="fr-FR"/>
        </w:rPr>
        <w:t>UIT-T et comment peut-il les utiliser?</w:t>
      </w:r>
    </w:p>
    <w:p w14:paraId="5D1B46BE" w14:textId="3B53D5DC" w:rsidR="00DC1D16" w:rsidRPr="00EB2A7A" w:rsidRDefault="00DC1D16" w:rsidP="00E31B2B">
      <w:pPr>
        <w:rPr>
          <w:lang w:val="fr-FR"/>
        </w:rPr>
      </w:pPr>
      <w:r w:rsidRPr="00EB2A7A">
        <w:rPr>
          <w:lang w:val="fr-FR"/>
        </w:rPr>
        <w:t>Un certain nombre d</w:t>
      </w:r>
      <w:r w:rsidR="00E31B2B">
        <w:rPr>
          <w:lang w:val="fr-FR"/>
        </w:rPr>
        <w:t>'</w:t>
      </w:r>
      <w:r w:rsidRPr="00EB2A7A">
        <w:rPr>
          <w:lang w:val="fr-FR"/>
        </w:rPr>
        <w:t xml:space="preserve">options devraient </w:t>
      </w:r>
      <w:r w:rsidR="001271D4">
        <w:rPr>
          <w:lang w:val="fr-FR"/>
        </w:rPr>
        <w:t>servir à</w:t>
      </w:r>
      <w:r w:rsidR="00E31B2B">
        <w:rPr>
          <w:lang w:val="fr-FR"/>
        </w:rPr>
        <w:t xml:space="preserve"> </w:t>
      </w:r>
      <w:r w:rsidRPr="00EB2A7A">
        <w:rPr>
          <w:lang w:val="fr-FR"/>
        </w:rPr>
        <w:t>évaluer chaque option de restructuration, notamment l</w:t>
      </w:r>
      <w:r w:rsidR="00E31B2B">
        <w:rPr>
          <w:lang w:val="fr-FR"/>
        </w:rPr>
        <w:t>'</w:t>
      </w:r>
      <w:r w:rsidRPr="00EB2A7A">
        <w:rPr>
          <w:lang w:val="fr-FR"/>
        </w:rPr>
        <w:t>analyse comparative, l</w:t>
      </w:r>
      <w:r w:rsidR="00E31B2B">
        <w:rPr>
          <w:lang w:val="fr-FR"/>
        </w:rPr>
        <w:t>'</w:t>
      </w:r>
      <w:r w:rsidRPr="00EB2A7A">
        <w:rPr>
          <w:lang w:val="fr-FR"/>
        </w:rPr>
        <w:t>analyse des lacunes, l</w:t>
      </w:r>
      <w:r w:rsidR="00E31B2B">
        <w:rPr>
          <w:lang w:val="fr-FR"/>
        </w:rPr>
        <w:t>'</w:t>
      </w:r>
      <w:r w:rsidRPr="00EB2A7A">
        <w:rPr>
          <w:lang w:val="fr-FR"/>
        </w:rPr>
        <w:t>analyse SWOT et les séances de réflexion.</w:t>
      </w:r>
    </w:p>
    <w:p w14:paraId="7A75D16B" w14:textId="77777777" w:rsidR="00DC1D16" w:rsidRPr="00EB2A7A" w:rsidRDefault="00DC1D16" w:rsidP="00E31B2B">
      <w:pPr>
        <w:pStyle w:val="Heading2"/>
        <w:rPr>
          <w:lang w:val="fr-FR"/>
        </w:rPr>
      </w:pPr>
      <w:bookmarkStart w:id="104" w:name="_Toc94876360"/>
      <w:r w:rsidRPr="00EB2A7A">
        <w:rPr>
          <w:lang w:val="fr-FR"/>
        </w:rPr>
        <w:t>I.6</w:t>
      </w:r>
      <w:r w:rsidRPr="00EB2A7A">
        <w:rPr>
          <w:lang w:val="fr-FR"/>
        </w:rPr>
        <w:tab/>
        <w:t>Calendrier</w:t>
      </w:r>
      <w:bookmarkEnd w:id="104"/>
    </w:p>
    <w:p w14:paraId="14EFF361" w14:textId="77777777" w:rsidR="00DC1D16" w:rsidRPr="00EB2A7A" w:rsidRDefault="00DC1D16" w:rsidP="00E31B2B">
      <w:pPr>
        <w:rPr>
          <w:lang w:val="fr-FR"/>
        </w:rPr>
      </w:pPr>
      <w:r w:rsidRPr="00EB2A7A">
        <w:rPr>
          <w:lang w:val="fr-FR"/>
        </w:rPr>
        <w:t>Il convient de suivre le calendrier et le processus ci-après:</w:t>
      </w:r>
    </w:p>
    <w:p w14:paraId="54588D4E" w14:textId="3160053A" w:rsidR="00DC1D16" w:rsidRPr="00EB2A7A" w:rsidRDefault="00DC1D16" w:rsidP="00E31B2B">
      <w:pPr>
        <w:pStyle w:val="enumlev1"/>
        <w:rPr>
          <w:lang w:val="fr-FR"/>
        </w:rPr>
      </w:pPr>
      <w:r w:rsidRPr="00EB2A7A">
        <w:rPr>
          <w:lang w:val="fr-FR"/>
        </w:rPr>
        <w:t>•</w:t>
      </w:r>
      <w:r w:rsidRPr="00EB2A7A">
        <w:rPr>
          <w:lang w:val="fr-FR"/>
        </w:rPr>
        <w:tab/>
      </w:r>
      <w:r>
        <w:rPr>
          <w:lang w:val="fr-FR"/>
        </w:rPr>
        <w:t>A</w:t>
      </w:r>
      <w:r w:rsidRPr="00EB2A7A">
        <w:rPr>
          <w:lang w:val="fr-FR"/>
        </w:rPr>
        <w:t>près approbation du présent plan d</w:t>
      </w:r>
      <w:r w:rsidR="00E31B2B">
        <w:rPr>
          <w:lang w:val="fr-FR"/>
        </w:rPr>
        <w:t>'</w:t>
      </w:r>
      <w:r w:rsidRPr="00EB2A7A">
        <w:rPr>
          <w:lang w:val="fr-FR"/>
        </w:rPr>
        <w:t>action par le GCNT, ce dernier fait rapport à l</w:t>
      </w:r>
      <w:r w:rsidR="00E31B2B">
        <w:rPr>
          <w:lang w:val="fr-FR"/>
        </w:rPr>
        <w:t>'</w:t>
      </w:r>
      <w:r w:rsidRPr="00EB2A7A">
        <w:rPr>
          <w:lang w:val="fr-FR"/>
        </w:rPr>
        <w:t>AMNT-20 avec la liste de questions proposée (</w:t>
      </w:r>
      <w:r w:rsidRPr="00EB2A7A">
        <w:rPr>
          <w:rFonts w:ascii="Cambria Math" w:hAnsi="Cambria Math" w:cs="Cambria Math"/>
          <w:lang w:val="fr-FR"/>
        </w:rPr>
        <w:t>①②③</w:t>
      </w:r>
      <w:r>
        <w:rPr>
          <w:lang w:val="fr-FR"/>
        </w:rPr>
        <w:t xml:space="preserve"> dans le calendrier).</w:t>
      </w:r>
    </w:p>
    <w:p w14:paraId="6431C499" w14:textId="0415D38A" w:rsidR="00DC1D16" w:rsidRPr="00EB2A7A" w:rsidRDefault="00DC1D16" w:rsidP="00E31B2B">
      <w:pPr>
        <w:pStyle w:val="enumlev1"/>
        <w:rPr>
          <w:lang w:val="fr-FR"/>
        </w:rPr>
      </w:pPr>
      <w:r w:rsidRPr="00EB2A7A">
        <w:rPr>
          <w:lang w:val="fr-FR"/>
        </w:rPr>
        <w:t>•</w:t>
      </w:r>
      <w:r w:rsidRPr="00EB2A7A">
        <w:rPr>
          <w:lang w:val="fr-FR"/>
        </w:rPr>
        <w:tab/>
      </w:r>
      <w:r>
        <w:rPr>
          <w:lang w:val="fr-FR"/>
        </w:rPr>
        <w:t>L</w:t>
      </w:r>
      <w:r w:rsidR="00E31B2B">
        <w:rPr>
          <w:lang w:val="fr-FR"/>
        </w:rPr>
        <w:t>'</w:t>
      </w:r>
      <w:r w:rsidRPr="00EB2A7A">
        <w:rPr>
          <w:lang w:val="fr-FR"/>
        </w:rPr>
        <w:t>AMNT-20 approuve la liste des questions et fournit des orientations (</w:t>
      </w:r>
      <w:r w:rsidRPr="00EB2A7A">
        <w:rPr>
          <w:rFonts w:ascii="Cambria Math" w:hAnsi="Cambria Math" w:cs="Cambria Math"/>
          <w:lang w:val="fr-FR"/>
        </w:rPr>
        <w:t>④</w:t>
      </w:r>
      <w:r w:rsidRPr="00EB2A7A">
        <w:rPr>
          <w:lang w:val="fr-FR"/>
        </w:rPr>
        <w:t xml:space="preserve"> dans le calendrier)</w:t>
      </w:r>
      <w:r>
        <w:rPr>
          <w:lang w:val="fr-FR"/>
        </w:rPr>
        <w:t>.</w:t>
      </w:r>
    </w:p>
    <w:p w14:paraId="6450048F" w14:textId="77777777" w:rsidR="00DC1D16" w:rsidRPr="00EB2A7A" w:rsidRDefault="00DC1D16" w:rsidP="00E31B2B">
      <w:pPr>
        <w:pStyle w:val="enumlev1"/>
        <w:rPr>
          <w:lang w:val="fr-FR"/>
        </w:rPr>
      </w:pPr>
      <w:r w:rsidRPr="00EB2A7A">
        <w:rPr>
          <w:lang w:val="fr-FR"/>
        </w:rPr>
        <w:t>•</w:t>
      </w:r>
      <w:r w:rsidRPr="00EB2A7A">
        <w:rPr>
          <w:lang w:val="fr-FR"/>
        </w:rPr>
        <w:tab/>
      </w:r>
      <w:r>
        <w:rPr>
          <w:lang w:val="fr-FR"/>
        </w:rPr>
        <w:t>L</w:t>
      </w:r>
      <w:r w:rsidRPr="00EB2A7A">
        <w:rPr>
          <w:lang w:val="fr-FR"/>
        </w:rPr>
        <w:t>es données sont recueillies et analysées (</w:t>
      </w:r>
      <w:r w:rsidRPr="00EB2A7A">
        <w:rPr>
          <w:rFonts w:ascii="Cambria Math" w:hAnsi="Cambria Math" w:cs="Cambria Math"/>
          <w:lang w:val="fr-FR"/>
        </w:rPr>
        <w:t>⑤</w:t>
      </w:r>
      <w:r w:rsidRPr="00EB2A7A">
        <w:rPr>
          <w:lang w:val="fr-FR"/>
        </w:rPr>
        <w:t xml:space="preserve"> dans le calendrier)</w:t>
      </w:r>
      <w:r>
        <w:rPr>
          <w:lang w:val="fr-FR"/>
        </w:rPr>
        <w:t>.</w:t>
      </w:r>
    </w:p>
    <w:p w14:paraId="6CCBE020" w14:textId="7EAB91D6" w:rsidR="00DC1D16" w:rsidRPr="00EB2A7A" w:rsidRDefault="00DC1D16" w:rsidP="00E31B2B">
      <w:pPr>
        <w:pStyle w:val="enumlev1"/>
        <w:rPr>
          <w:lang w:val="fr-FR"/>
        </w:rPr>
      </w:pPr>
      <w:r w:rsidRPr="00EB2A7A">
        <w:rPr>
          <w:lang w:val="fr-FR"/>
        </w:rPr>
        <w:t>•</w:t>
      </w:r>
      <w:r w:rsidRPr="00EB2A7A">
        <w:rPr>
          <w:lang w:val="fr-FR"/>
        </w:rPr>
        <w:tab/>
      </w:r>
      <w:r>
        <w:rPr>
          <w:lang w:val="fr-FR"/>
        </w:rPr>
        <w:t>L</w:t>
      </w:r>
      <w:r w:rsidRPr="00EB2A7A">
        <w:rPr>
          <w:lang w:val="fr-FR"/>
        </w:rPr>
        <w:t xml:space="preserve">e GCNT examine les données, les méthodes, les analyses et les recommandations pertinentes sous-jacentes sur la base des conclusions </w:t>
      </w:r>
      <w:r w:rsidR="001271D4">
        <w:rPr>
          <w:lang w:val="fr-FR"/>
        </w:rPr>
        <w:t>pour suite à donner et examen</w:t>
      </w:r>
      <w:r w:rsidR="00E31B2B">
        <w:rPr>
          <w:lang w:val="fr-FR"/>
        </w:rPr>
        <w:t xml:space="preserve"> </w:t>
      </w:r>
      <w:r w:rsidRPr="00EB2A7A">
        <w:rPr>
          <w:lang w:val="fr-FR"/>
        </w:rPr>
        <w:t>(</w:t>
      </w:r>
      <w:r w:rsidRPr="00EB2A7A">
        <w:rPr>
          <w:rFonts w:ascii="Calibri" w:hAnsi="Calibri" w:cs="Calibri"/>
          <w:lang w:val="fr-FR"/>
        </w:rPr>
        <w:t xml:space="preserve">⑤ </w:t>
      </w:r>
      <w:r w:rsidRPr="00EB2A7A">
        <w:rPr>
          <w:lang w:val="fr-FR"/>
        </w:rPr>
        <w:t>dans le calendrier)</w:t>
      </w:r>
      <w:r>
        <w:rPr>
          <w:lang w:val="fr-FR"/>
        </w:rPr>
        <w:t>.</w:t>
      </w:r>
    </w:p>
    <w:p w14:paraId="64622754" w14:textId="50E3DFCF" w:rsidR="00DC1D16" w:rsidRPr="00EB2A7A" w:rsidRDefault="00DC1D16" w:rsidP="00E31B2B">
      <w:pPr>
        <w:pStyle w:val="enumlev1"/>
        <w:rPr>
          <w:lang w:val="fr-FR"/>
        </w:rPr>
      </w:pPr>
      <w:r w:rsidRPr="00EB2A7A">
        <w:rPr>
          <w:lang w:val="fr-FR"/>
        </w:rPr>
        <w:lastRenderedPageBreak/>
        <w:t>•</w:t>
      </w:r>
      <w:r w:rsidRPr="00EB2A7A">
        <w:rPr>
          <w:lang w:val="fr-FR"/>
        </w:rPr>
        <w:tab/>
      </w:r>
      <w:r>
        <w:rPr>
          <w:lang w:val="fr-FR"/>
        </w:rPr>
        <w:t>L</w:t>
      </w:r>
      <w:r w:rsidRPr="00EB2A7A">
        <w:rPr>
          <w:lang w:val="fr-FR"/>
        </w:rPr>
        <w:t>e GCNT soumet à l</w:t>
      </w:r>
      <w:r w:rsidR="00E31B2B">
        <w:rPr>
          <w:lang w:val="fr-FR"/>
        </w:rPr>
        <w:t>'</w:t>
      </w:r>
      <w:r w:rsidRPr="00EB2A7A">
        <w:rPr>
          <w:lang w:val="fr-FR"/>
        </w:rPr>
        <w:t xml:space="preserve">AMNT-24 </w:t>
      </w:r>
      <w:r w:rsidR="001271D4" w:rsidRPr="00EB2A7A">
        <w:rPr>
          <w:lang w:val="fr-FR"/>
        </w:rPr>
        <w:t xml:space="preserve">un rapport </w:t>
      </w:r>
      <w:r w:rsidRPr="00EB2A7A">
        <w:rPr>
          <w:lang w:val="fr-FR"/>
        </w:rPr>
        <w:t>concernant une éventuelle restructuration de l</w:t>
      </w:r>
      <w:r w:rsidR="00E31B2B">
        <w:rPr>
          <w:lang w:val="fr-FR"/>
        </w:rPr>
        <w:t>'</w:t>
      </w:r>
      <w:r w:rsidRPr="00EB2A7A">
        <w:rPr>
          <w:lang w:val="fr-FR"/>
        </w:rPr>
        <w:t>UIT-T (</w:t>
      </w:r>
      <w:r w:rsidRPr="00EB2A7A">
        <w:rPr>
          <w:rFonts w:ascii="Cambria Math" w:hAnsi="Cambria Math" w:cs="Cambria Math"/>
          <w:lang w:val="fr-FR"/>
        </w:rPr>
        <w:t xml:space="preserve">⑥⑦ </w:t>
      </w:r>
      <w:r w:rsidRPr="00EB2A7A">
        <w:rPr>
          <w:lang w:val="fr-FR"/>
        </w:rPr>
        <w:t>dans le calendrier).</w:t>
      </w:r>
    </w:p>
    <w:p w14:paraId="1FF288C3" w14:textId="77777777" w:rsidR="00DC1D16" w:rsidRPr="00EB2A7A" w:rsidRDefault="00DC1D16" w:rsidP="00E31B2B">
      <w:pPr>
        <w:rPr>
          <w:lang w:val="fr-FR"/>
        </w:rPr>
      </w:pPr>
      <w:r w:rsidRPr="00EB2A7A">
        <w:rPr>
          <w:lang w:val="fr-FR"/>
        </w:rPr>
        <w:t>Le calendrier est indiqué ci-dessous.</w:t>
      </w:r>
    </w:p>
    <w:p w14:paraId="36755477" w14:textId="77777777" w:rsidR="00DC1D16" w:rsidRPr="00EB2A7A" w:rsidRDefault="00DC1D16" w:rsidP="00E31B2B">
      <w:pPr>
        <w:pStyle w:val="Figure"/>
        <w:rPr>
          <w:lang w:val="fr-FR"/>
        </w:rPr>
      </w:pPr>
      <w:r w:rsidRPr="00EB2A7A">
        <w:rPr>
          <w:lang w:val="fr-FR"/>
        </w:rPr>
        <w:t xml:space="preserve"> </w:t>
      </w:r>
      <w:r w:rsidRPr="00EB2A7A">
        <w:rPr>
          <w:noProof/>
          <w:lang w:val="en-US"/>
        </w:rPr>
        <w:drawing>
          <wp:inline distT="0" distB="0" distL="0" distR="0" wp14:anchorId="7CDBEEF5" wp14:editId="1C6B312E">
            <wp:extent cx="6383582" cy="1657350"/>
            <wp:effectExtent l="0" t="0" r="0" b="0"/>
            <wp:docPr id="3" name="Picture 2" descr="Graphical user interface, application, table, Excel&#10;&#10;Description automatically generated">
              <a:extLst xmlns:a="http://schemas.openxmlformats.org/drawingml/2006/main">
                <a:ext uri="{FF2B5EF4-FFF2-40B4-BE49-F238E27FC236}">
                  <a16:creationId xmlns:a16="http://schemas.microsoft.com/office/drawing/2014/main" id="{A403C3CA-A0E9-4204-B36F-F8B390C03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table, Excel&#10;&#10;Description automatically generated">
                      <a:extLst>
                        <a:ext uri="{FF2B5EF4-FFF2-40B4-BE49-F238E27FC236}">
                          <a16:creationId xmlns:a16="http://schemas.microsoft.com/office/drawing/2014/main" id="{A403C3CA-A0E9-4204-B36F-F8B390C03475}"/>
                        </a:ext>
                      </a:extLst>
                    </pic:cNvPr>
                    <pic:cNvPicPr>
                      <a:picLocks noChangeAspect="1"/>
                    </pic:cNvPicPr>
                  </pic:nvPicPr>
                  <pic:blipFill rotWithShape="1">
                    <a:blip r:embed="rId195"/>
                    <a:srcRect l="5473" t="12616" r="39493" b="61094"/>
                    <a:stretch/>
                  </pic:blipFill>
                  <pic:spPr>
                    <a:xfrm>
                      <a:off x="0" y="0"/>
                      <a:ext cx="6388104" cy="1658524"/>
                    </a:xfrm>
                    <a:prstGeom prst="rect">
                      <a:avLst/>
                    </a:prstGeom>
                  </pic:spPr>
                </pic:pic>
              </a:graphicData>
            </a:graphic>
          </wp:inline>
        </w:drawing>
      </w:r>
      <w:r w:rsidRPr="00EB2A7A">
        <w:rPr>
          <w:lang w:val="fr-FR"/>
        </w:rPr>
        <w:t xml:space="preserve"> </w:t>
      </w:r>
    </w:p>
    <w:p w14:paraId="4E3638D7" w14:textId="77777777" w:rsidR="00DC1D16" w:rsidRPr="00EB2A7A" w:rsidRDefault="00DC1D16" w:rsidP="00E31B2B">
      <w:pPr>
        <w:pStyle w:val="FigureNotitle"/>
        <w:rPr>
          <w:lang w:val="fr-FR"/>
        </w:rPr>
      </w:pPr>
      <w:r w:rsidRPr="00EB2A7A">
        <w:rPr>
          <w:lang w:val="fr-FR"/>
        </w:rPr>
        <w:t>Figure I.1 – Calendrier</w:t>
      </w:r>
    </w:p>
    <w:p w14:paraId="112F6142" w14:textId="1E86441A" w:rsidR="00DC1D16" w:rsidRPr="00EB2A7A" w:rsidRDefault="00DC1D16" w:rsidP="00E31B2B">
      <w:pPr>
        <w:spacing w:before="240"/>
        <w:rPr>
          <w:lang w:val="fr-FR"/>
        </w:rPr>
      </w:pPr>
      <w:r w:rsidRPr="00EB2A7A">
        <w:rPr>
          <w:lang w:val="fr-FR"/>
        </w:rPr>
        <w:t>Le présent plan d</w:t>
      </w:r>
      <w:r w:rsidR="00E31B2B">
        <w:rPr>
          <w:lang w:val="fr-FR"/>
        </w:rPr>
        <w:t>'</w:t>
      </w:r>
      <w:r w:rsidRPr="00EB2A7A">
        <w:rPr>
          <w:lang w:val="fr-FR"/>
        </w:rPr>
        <w:t>action devrait être</w:t>
      </w:r>
      <w:r w:rsidR="001271D4">
        <w:rPr>
          <w:lang w:val="fr-FR"/>
        </w:rPr>
        <w:t xml:space="preserve"> mis en </w:t>
      </w:r>
      <w:r w:rsidR="007A7623">
        <w:rPr>
          <w:lang w:val="fr-FR"/>
        </w:rPr>
        <w:t>œuvre</w:t>
      </w:r>
      <w:r w:rsidRPr="00EB2A7A">
        <w:rPr>
          <w:lang w:val="fr-FR"/>
        </w:rPr>
        <w:t xml:space="preserve"> entre l</w:t>
      </w:r>
      <w:r w:rsidR="00E31B2B">
        <w:rPr>
          <w:lang w:val="fr-FR"/>
        </w:rPr>
        <w:t>'</w:t>
      </w:r>
      <w:r w:rsidRPr="00EB2A7A">
        <w:rPr>
          <w:lang w:val="fr-FR"/>
        </w:rPr>
        <w:t>AMNT-20 (premier trimestre de 2022) et l</w:t>
      </w:r>
      <w:r w:rsidR="00E31B2B">
        <w:rPr>
          <w:lang w:val="fr-FR"/>
        </w:rPr>
        <w:t>'</w:t>
      </w:r>
      <w:r w:rsidRPr="00EB2A7A">
        <w:rPr>
          <w:lang w:val="fr-FR"/>
        </w:rPr>
        <w:t>AMNT-24.</w:t>
      </w:r>
    </w:p>
    <w:p w14:paraId="61B2C996" w14:textId="34561E36" w:rsidR="00DC1D16" w:rsidRPr="00EB2A7A" w:rsidRDefault="00DC1D16" w:rsidP="00E31B2B">
      <w:pPr>
        <w:rPr>
          <w:lang w:val="fr-FR"/>
        </w:rPr>
      </w:pPr>
      <w:r w:rsidRPr="00EB2A7A">
        <w:rPr>
          <w:lang w:val="fr-FR"/>
        </w:rPr>
        <w:t>Le GCNT est responsable en dernier ressort de la gestion et de l</w:t>
      </w:r>
      <w:r w:rsidR="00E31B2B">
        <w:rPr>
          <w:lang w:val="fr-FR"/>
        </w:rPr>
        <w:t>'</w:t>
      </w:r>
      <w:r w:rsidRPr="00EB2A7A">
        <w:rPr>
          <w:lang w:val="fr-FR"/>
        </w:rPr>
        <w:t>examen des résultats du plan d</w:t>
      </w:r>
      <w:r w:rsidR="00E31B2B">
        <w:rPr>
          <w:lang w:val="fr-FR"/>
        </w:rPr>
        <w:t>'</w:t>
      </w:r>
      <w:r w:rsidRPr="00EB2A7A">
        <w:rPr>
          <w:lang w:val="fr-FR"/>
        </w:rPr>
        <w:t xml:space="preserve">action. </w:t>
      </w:r>
      <w:r w:rsidR="001271D4">
        <w:rPr>
          <w:lang w:val="fr-FR"/>
        </w:rPr>
        <w:t>Il</w:t>
      </w:r>
      <w:r w:rsidR="00E31B2B">
        <w:rPr>
          <w:lang w:val="fr-FR"/>
        </w:rPr>
        <w:t xml:space="preserve"> </w:t>
      </w:r>
      <w:r w:rsidRPr="00EB2A7A">
        <w:rPr>
          <w:lang w:val="fr-FR"/>
        </w:rPr>
        <w:t xml:space="preserve">devrait élaborer un rapport et des recommandations qui seront présentés au Conseil </w:t>
      </w:r>
      <w:r w:rsidR="001271D4">
        <w:rPr>
          <w:lang w:val="fr-FR"/>
        </w:rPr>
        <w:t>pour suite à donner et examen</w:t>
      </w:r>
      <w:r w:rsidR="00E31B2B">
        <w:rPr>
          <w:lang w:val="fr-FR"/>
        </w:rPr>
        <w:t>,</w:t>
      </w:r>
      <w:r w:rsidRPr="00EB2A7A">
        <w:rPr>
          <w:lang w:val="fr-FR"/>
        </w:rPr>
        <w:t xml:space="preserve"> et soumettre un rapport à l</w:t>
      </w:r>
      <w:r w:rsidR="00E31B2B">
        <w:rPr>
          <w:lang w:val="fr-FR"/>
        </w:rPr>
        <w:t>'</w:t>
      </w:r>
      <w:r w:rsidRPr="00EB2A7A">
        <w:rPr>
          <w:lang w:val="fr-FR"/>
        </w:rPr>
        <w:t xml:space="preserve">AMNT-24. </w:t>
      </w:r>
      <w:r w:rsidR="001271D4">
        <w:rPr>
          <w:lang w:val="fr-FR"/>
        </w:rPr>
        <w:t>Cependant</w:t>
      </w:r>
      <w:r w:rsidR="00E31B2B">
        <w:rPr>
          <w:lang w:val="fr-FR"/>
        </w:rPr>
        <w:t xml:space="preserve"> </w:t>
      </w:r>
      <w:r w:rsidRPr="00EB2A7A">
        <w:rPr>
          <w:lang w:val="fr-FR"/>
        </w:rPr>
        <w:t xml:space="preserve">les </w:t>
      </w:r>
      <w:r w:rsidR="001271D4">
        <w:rPr>
          <w:lang w:val="fr-FR"/>
        </w:rPr>
        <w:t>m</w:t>
      </w:r>
      <w:r w:rsidR="001271D4" w:rsidRPr="00EB2A7A">
        <w:rPr>
          <w:lang w:val="fr-FR"/>
        </w:rPr>
        <w:t xml:space="preserve">embres </w:t>
      </w:r>
      <w:r w:rsidRPr="00EB2A7A">
        <w:rPr>
          <w:lang w:val="fr-FR"/>
        </w:rPr>
        <w:t>peuvent utiliser (ou non) les résultats du plan d</w:t>
      </w:r>
      <w:r w:rsidR="00E31B2B">
        <w:rPr>
          <w:lang w:val="fr-FR"/>
        </w:rPr>
        <w:t>'</w:t>
      </w:r>
      <w:r w:rsidRPr="00EB2A7A">
        <w:rPr>
          <w:lang w:val="fr-FR"/>
        </w:rPr>
        <w:t>action comme ils le souhaitent avant</w:t>
      </w:r>
      <w:r w:rsidR="00E31B2B">
        <w:rPr>
          <w:lang w:val="fr-FR"/>
        </w:rPr>
        <w:t xml:space="preserve"> </w:t>
      </w:r>
      <w:r w:rsidR="001271D4">
        <w:rPr>
          <w:lang w:val="fr-FR"/>
        </w:rPr>
        <w:t>qu</w:t>
      </w:r>
      <w:r w:rsidR="00E31B2B">
        <w:rPr>
          <w:lang w:val="fr-FR"/>
        </w:rPr>
        <w:t>'</w:t>
      </w:r>
      <w:r w:rsidR="001271D4">
        <w:rPr>
          <w:lang w:val="fr-FR"/>
        </w:rPr>
        <w:t xml:space="preserve">il soit examiné </w:t>
      </w:r>
      <w:r w:rsidRPr="00EB2A7A">
        <w:rPr>
          <w:lang w:val="fr-FR"/>
        </w:rPr>
        <w:t>par l</w:t>
      </w:r>
      <w:r w:rsidR="00E31B2B">
        <w:rPr>
          <w:lang w:val="fr-FR"/>
        </w:rPr>
        <w:t>'</w:t>
      </w:r>
      <w:r w:rsidRPr="00EB2A7A">
        <w:rPr>
          <w:lang w:val="fr-FR"/>
        </w:rPr>
        <w:t>AMNT</w:t>
      </w:r>
      <w:r w:rsidR="007A7623">
        <w:rPr>
          <w:lang w:val="fr-FR"/>
        </w:rPr>
        <w:t xml:space="preserve"> </w:t>
      </w:r>
      <w:r w:rsidR="001271D4">
        <w:rPr>
          <w:lang w:val="fr-FR"/>
        </w:rPr>
        <w:t>pour</w:t>
      </w:r>
      <w:r w:rsidRPr="00EB2A7A">
        <w:rPr>
          <w:lang w:val="fr-FR"/>
        </w:rPr>
        <w:t xml:space="preserve"> décision </w:t>
      </w:r>
      <w:r w:rsidR="001271D4">
        <w:rPr>
          <w:lang w:val="fr-FR"/>
        </w:rPr>
        <w:t>sur</w:t>
      </w:r>
      <w:r w:rsidR="001271D4" w:rsidRPr="00EB2A7A">
        <w:rPr>
          <w:lang w:val="fr-FR"/>
        </w:rPr>
        <w:t xml:space="preserve"> </w:t>
      </w:r>
      <w:r w:rsidRPr="00EB2A7A">
        <w:rPr>
          <w:lang w:val="fr-FR"/>
        </w:rPr>
        <w:t>la restructuration des commissions d</w:t>
      </w:r>
      <w:r w:rsidR="00E31B2B">
        <w:rPr>
          <w:lang w:val="fr-FR"/>
        </w:rPr>
        <w:t>'</w:t>
      </w:r>
      <w:r w:rsidRPr="00EB2A7A">
        <w:rPr>
          <w:lang w:val="fr-FR"/>
        </w:rPr>
        <w:t>études de l</w:t>
      </w:r>
      <w:r w:rsidR="00E31B2B">
        <w:rPr>
          <w:lang w:val="fr-FR"/>
        </w:rPr>
        <w:t>'</w:t>
      </w:r>
      <w:r w:rsidRPr="00EB2A7A">
        <w:rPr>
          <w:lang w:val="fr-FR"/>
        </w:rPr>
        <w:t>UIT-T.</w:t>
      </w:r>
    </w:p>
    <w:p w14:paraId="22EC6A91" w14:textId="214A7420" w:rsidR="00DC1D16" w:rsidRDefault="00DC1D16" w:rsidP="00E31B2B">
      <w:pPr>
        <w:rPr>
          <w:lang w:val="fr-FR"/>
        </w:rPr>
      </w:pPr>
      <w:r w:rsidRPr="00EB2A7A">
        <w:rPr>
          <w:lang w:val="fr-FR"/>
        </w:rPr>
        <w:t>Le GCNT devrait rester le principal coordonnateur responsable du présent plan d</w:t>
      </w:r>
      <w:r w:rsidR="00E31B2B">
        <w:rPr>
          <w:lang w:val="fr-FR"/>
        </w:rPr>
        <w:t>'</w:t>
      </w:r>
      <w:r w:rsidRPr="00EB2A7A">
        <w:rPr>
          <w:lang w:val="fr-FR"/>
        </w:rPr>
        <w:t>action. L</w:t>
      </w:r>
      <w:r w:rsidR="00E31B2B">
        <w:rPr>
          <w:lang w:val="fr-FR"/>
        </w:rPr>
        <w:t>'</w:t>
      </w:r>
      <w:r w:rsidRPr="00EB2A7A">
        <w:rPr>
          <w:lang w:val="fr-FR"/>
        </w:rPr>
        <w:t xml:space="preserve">équipe chargée des analyses, </w:t>
      </w:r>
      <w:r w:rsidR="00C86763">
        <w:rPr>
          <w:lang w:val="fr-FR"/>
        </w:rPr>
        <w:t xml:space="preserve">qui devrait être investie </w:t>
      </w:r>
      <w:r w:rsidR="00C86763" w:rsidRPr="00EB2A7A">
        <w:rPr>
          <w:lang w:val="fr-FR"/>
        </w:rPr>
        <w:t>de</w:t>
      </w:r>
      <w:r w:rsidR="00E31B2B">
        <w:rPr>
          <w:lang w:val="fr-FR"/>
        </w:rPr>
        <w:t xml:space="preserve"> </w:t>
      </w:r>
      <w:r w:rsidRPr="00EB2A7A">
        <w:rPr>
          <w:lang w:val="fr-FR"/>
        </w:rPr>
        <w:t xml:space="preserve">tâches très claires et précises, devrait être composée de </w:t>
      </w:r>
      <w:r w:rsidR="00C86763">
        <w:rPr>
          <w:lang w:val="fr-FR"/>
        </w:rPr>
        <w:t>m</w:t>
      </w:r>
      <w:r w:rsidR="00C86763" w:rsidRPr="00EB2A7A">
        <w:rPr>
          <w:lang w:val="fr-FR"/>
        </w:rPr>
        <w:t xml:space="preserve">embres </w:t>
      </w:r>
      <w:r w:rsidRPr="00EB2A7A">
        <w:rPr>
          <w:lang w:val="fr-FR"/>
        </w:rPr>
        <w:t>de l</w:t>
      </w:r>
      <w:r w:rsidR="00E31B2B">
        <w:rPr>
          <w:lang w:val="fr-FR"/>
        </w:rPr>
        <w:t>'</w:t>
      </w:r>
      <w:r w:rsidRPr="00EB2A7A">
        <w:rPr>
          <w:lang w:val="fr-FR"/>
        </w:rPr>
        <w:t>UIT, avec</w:t>
      </w:r>
      <w:r w:rsidR="00E31B2B">
        <w:rPr>
          <w:lang w:val="fr-FR"/>
        </w:rPr>
        <w:t xml:space="preserve"> </w:t>
      </w:r>
      <w:r w:rsidR="00C86763">
        <w:rPr>
          <w:lang w:val="fr-FR"/>
        </w:rPr>
        <w:t>le concours</w:t>
      </w:r>
      <w:r w:rsidR="00E31B2B">
        <w:rPr>
          <w:lang w:val="fr-FR"/>
        </w:rPr>
        <w:t xml:space="preserve"> </w:t>
      </w:r>
      <w:r w:rsidRPr="00EB2A7A">
        <w:rPr>
          <w:lang w:val="fr-FR"/>
        </w:rPr>
        <w:t>du TSB.</w:t>
      </w:r>
    </w:p>
    <w:p w14:paraId="4055BCCD" w14:textId="77777777" w:rsidR="007A7623" w:rsidRPr="00EB2A7A" w:rsidRDefault="007A7623" w:rsidP="00E31B2B">
      <w:pPr>
        <w:rPr>
          <w:lang w:val="fr-FR"/>
        </w:rPr>
      </w:pPr>
    </w:p>
    <w:p w14:paraId="62C105CE" w14:textId="77777777" w:rsidR="00DC42BA" w:rsidRPr="00EF1CC7" w:rsidRDefault="00DC1D16" w:rsidP="00E31B2B">
      <w:pPr>
        <w:spacing w:before="360"/>
        <w:jc w:val="center"/>
        <w:rPr>
          <w:shd w:val="clear" w:color="auto" w:fill="FFFFFF"/>
          <w:lang w:val="fr-FR"/>
        </w:rPr>
      </w:pPr>
      <w:r w:rsidRPr="00EB2A7A">
        <w:rPr>
          <w:lang w:val="fr-FR"/>
        </w:rPr>
        <w:t>______________</w:t>
      </w:r>
    </w:p>
    <w:sectPr w:rsidR="00DC42BA" w:rsidRPr="00EF1CC7" w:rsidSect="00D300B0">
      <w:headerReference w:type="default" r:id="rId196"/>
      <w:footerReference w:type="even" r:id="rId197"/>
      <w:footerReference w:type="default" r:id="rId198"/>
      <w:footerReference w:type="first" r:id="rId199"/>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A4A9C" w14:textId="77777777" w:rsidR="00E31B2B" w:rsidRDefault="00E31B2B">
      <w:r>
        <w:separator/>
      </w:r>
    </w:p>
  </w:endnote>
  <w:endnote w:type="continuationSeparator" w:id="0">
    <w:p w14:paraId="693F7E0A" w14:textId="77777777" w:rsidR="00E31B2B" w:rsidRDefault="00E3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9C47" w14:textId="77777777" w:rsidR="00E31B2B" w:rsidRDefault="00E31B2B">
    <w:pPr>
      <w:framePr w:wrap="around" w:vAnchor="text" w:hAnchor="margin" w:xAlign="right" w:y="1"/>
    </w:pPr>
    <w:r>
      <w:fldChar w:fldCharType="begin"/>
    </w:r>
    <w:r>
      <w:instrText xml:space="preserve">PAGE  </w:instrText>
    </w:r>
    <w:r>
      <w:fldChar w:fldCharType="end"/>
    </w:r>
  </w:p>
  <w:p w14:paraId="219D2D75" w14:textId="40478644" w:rsidR="00E31B2B" w:rsidRPr="001E562B" w:rsidRDefault="00E31B2B">
    <w:pPr>
      <w:ind w:right="360"/>
      <w:rPr>
        <w:lang w:val="fr-FR"/>
      </w:rPr>
    </w:pPr>
    <w:r>
      <w:fldChar w:fldCharType="begin"/>
    </w:r>
    <w:r w:rsidRPr="001E562B">
      <w:rPr>
        <w:lang w:val="fr-FR"/>
      </w:rPr>
      <w:instrText xml:space="preserve"> FILENAME \p  \* MERGEFORMAT </w:instrText>
    </w:r>
    <w:r>
      <w:fldChar w:fldCharType="separate"/>
    </w:r>
    <w:r w:rsidR="007A7623">
      <w:rPr>
        <w:noProof/>
        <w:lang w:val="fr-FR"/>
      </w:rPr>
      <w:t>P:\FRA\ITU-T\CONF-T\WTSA20\000\023V2F.docx</w:t>
    </w:r>
    <w:r>
      <w:fldChar w:fldCharType="end"/>
    </w:r>
    <w:r w:rsidRPr="001E562B">
      <w:rPr>
        <w:lang w:val="fr-FR"/>
      </w:rPr>
      <w:tab/>
    </w:r>
    <w:r>
      <w:fldChar w:fldCharType="begin"/>
    </w:r>
    <w:r>
      <w:instrText xml:space="preserve"> SAVEDATE \@ DD.MM.YY </w:instrText>
    </w:r>
    <w:r>
      <w:fldChar w:fldCharType="separate"/>
    </w:r>
    <w:r w:rsidR="007A7623">
      <w:rPr>
        <w:noProof/>
      </w:rPr>
      <w:t>07.02.22</w:t>
    </w:r>
    <w:r>
      <w:fldChar w:fldCharType="end"/>
    </w:r>
    <w:r w:rsidRPr="001E562B">
      <w:rPr>
        <w:lang w:val="fr-FR"/>
      </w:rPr>
      <w:tab/>
    </w:r>
    <w:r>
      <w:fldChar w:fldCharType="begin"/>
    </w:r>
    <w:r>
      <w:instrText xml:space="preserve"> PRINTDATE \@ DD.MM.YY </w:instrText>
    </w:r>
    <w:r>
      <w:fldChar w:fldCharType="separate"/>
    </w:r>
    <w:r w:rsidR="007A762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EF7D" w14:textId="200C6769" w:rsidR="00E31B2B" w:rsidRPr="003522B7" w:rsidRDefault="00E31B2B" w:rsidP="00E31B2B">
    <w:pPr>
      <w:pStyle w:val="Footer"/>
      <w:rPr>
        <w:lang w:val="fr-FR"/>
      </w:rPr>
    </w:pPr>
    <w:r>
      <w:fldChar w:fldCharType="begin"/>
    </w:r>
    <w:r w:rsidRPr="00E31B2B">
      <w:rPr>
        <w:lang w:val="fr-FR"/>
      </w:rPr>
      <w:instrText xml:space="preserve"> FILENAME \p  \* MERGEFORMAT </w:instrText>
    </w:r>
    <w:r>
      <w:fldChar w:fldCharType="separate"/>
    </w:r>
    <w:r w:rsidR="007A7623">
      <w:rPr>
        <w:lang w:val="fr-FR"/>
      </w:rPr>
      <w:t>P:\FRA\ITU-T\CONF-T\WTSA20\000\023V2F.docx</w:t>
    </w:r>
    <w:r>
      <w:fldChar w:fldCharType="end"/>
    </w:r>
    <w:r w:rsidRPr="003522B7">
      <w:rPr>
        <w:lang w:val="fr-FR"/>
      </w:rPr>
      <w:t xml:space="preserve"> (</w:t>
    </w:r>
    <w:r>
      <w:rPr>
        <w:lang w:val="fr-FR"/>
      </w:rPr>
      <w:t>478073</w:t>
    </w:r>
    <w:r w:rsidRPr="003522B7">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61D9" w14:textId="58339200" w:rsidR="00E31B2B" w:rsidRPr="003522B7" w:rsidRDefault="00E31B2B" w:rsidP="00E31B2B">
    <w:pPr>
      <w:pStyle w:val="Footer"/>
      <w:rPr>
        <w:lang w:val="fr-FR"/>
      </w:rPr>
    </w:pPr>
    <w:r>
      <w:fldChar w:fldCharType="begin"/>
    </w:r>
    <w:r w:rsidRPr="00E31B2B">
      <w:rPr>
        <w:lang w:val="fr-FR"/>
      </w:rPr>
      <w:instrText xml:space="preserve"> FILENAME \p  \* MERGEFORMAT </w:instrText>
    </w:r>
    <w:r>
      <w:fldChar w:fldCharType="separate"/>
    </w:r>
    <w:r w:rsidR="007A7623">
      <w:rPr>
        <w:lang w:val="fr-FR"/>
      </w:rPr>
      <w:t>P:\FRA\ITU-T\CONF-T\WTSA20\000\023V2F.docx</w:t>
    </w:r>
    <w:r>
      <w:fldChar w:fldCharType="end"/>
    </w:r>
    <w:r w:rsidRPr="003522B7">
      <w:rPr>
        <w:lang w:val="fr-FR"/>
      </w:rPr>
      <w:t xml:space="preserve"> (</w:t>
    </w:r>
    <w:r>
      <w:rPr>
        <w:lang w:val="fr-FR"/>
      </w:rPr>
      <w:t>478073</w:t>
    </w:r>
    <w:r w:rsidRPr="003522B7">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A18B1" w14:textId="77777777" w:rsidR="00E31B2B" w:rsidRDefault="00E31B2B">
      <w:r>
        <w:rPr>
          <w:b/>
        </w:rPr>
        <w:t>_______________</w:t>
      </w:r>
    </w:p>
  </w:footnote>
  <w:footnote w:type="continuationSeparator" w:id="0">
    <w:p w14:paraId="0B712087" w14:textId="77777777" w:rsidR="00E31B2B" w:rsidRDefault="00E31B2B">
      <w:r>
        <w:continuationSeparator/>
      </w:r>
    </w:p>
  </w:footnote>
  <w:footnote w:id="1">
    <w:p w14:paraId="561958FA" w14:textId="4EA2DCE0" w:rsidR="00E31B2B" w:rsidRPr="0031613F" w:rsidRDefault="00E31B2B" w:rsidP="002A484A">
      <w:pPr>
        <w:pStyle w:val="FootnoteText"/>
        <w:ind w:left="255" w:hanging="255"/>
        <w:rPr>
          <w:lang w:val="fr-FR"/>
        </w:rPr>
      </w:pPr>
      <w:r>
        <w:rPr>
          <w:rStyle w:val="FootnoteReference"/>
        </w:rPr>
        <w:footnoteRef/>
      </w:r>
      <w:r w:rsidRPr="0031613F">
        <w:rPr>
          <w:lang w:val="fr-FR"/>
        </w:rPr>
        <w:tab/>
      </w:r>
      <w:r w:rsidRPr="00CF505F">
        <w:rPr>
          <w:lang w:val="fr-FR"/>
        </w:rPr>
        <w:t>Le GCNT a tenu quatre autres réunions pendant la période d</w:t>
      </w:r>
      <w:r>
        <w:rPr>
          <w:lang w:val="fr-FR"/>
        </w:rPr>
        <w:t>'</w:t>
      </w:r>
      <w:r w:rsidRPr="00CF505F">
        <w:rPr>
          <w:lang w:val="fr-FR"/>
        </w:rPr>
        <w:t>études, qui a été prolongée en raison du COVID-19.</w:t>
      </w:r>
    </w:p>
  </w:footnote>
  <w:footnote w:id="2">
    <w:p w14:paraId="2577425E" w14:textId="725E82A8" w:rsidR="00E31B2B" w:rsidRPr="00CB5868" w:rsidRDefault="00E31B2B" w:rsidP="0031613F">
      <w:pPr>
        <w:pStyle w:val="FootnoteText"/>
        <w:ind w:left="255" w:hanging="255"/>
        <w:rPr>
          <w:lang w:val="fr-FR"/>
        </w:rPr>
      </w:pPr>
      <w:r>
        <w:rPr>
          <w:rStyle w:val="FootnoteReference"/>
        </w:rPr>
        <w:footnoteRef/>
      </w:r>
      <w:r w:rsidRPr="00CB5868">
        <w:rPr>
          <w:lang w:val="fr-FR"/>
        </w:rPr>
        <w:tab/>
      </w:r>
      <w:bookmarkStart w:id="17" w:name="lt_pId127"/>
      <w:r w:rsidRPr="002A484A">
        <w:rPr>
          <w:lang w:val="fr-FR"/>
        </w:rPr>
        <w:t>La Conférence de plénipotentiaires de 2018 invite l</w:t>
      </w:r>
      <w:r>
        <w:rPr>
          <w:lang w:val="fr-FR"/>
        </w:rPr>
        <w:t>'</w:t>
      </w:r>
      <w:r w:rsidRPr="002A484A">
        <w:rPr>
          <w:lang w:val="fr-FR"/>
        </w:rPr>
        <w:t>Assemblée mondiale de normalisation des télécommunications (AMNT), conformément à l</w:t>
      </w:r>
      <w:r>
        <w:rPr>
          <w:lang w:val="fr-FR"/>
        </w:rPr>
        <w:t>'</w:t>
      </w:r>
      <w:r w:rsidRPr="002A484A">
        <w:rPr>
          <w:lang w:val="fr-FR"/>
        </w:rPr>
        <w:t>article 3 de la Constitution de l</w:t>
      </w:r>
      <w:r>
        <w:rPr>
          <w:lang w:val="fr-FR"/>
        </w:rPr>
        <w:t>'</w:t>
      </w:r>
      <w:r w:rsidRPr="002A484A">
        <w:rPr>
          <w:lang w:val="fr-FR"/>
        </w:rPr>
        <w:t>UIT, à examiner et, le cas échéant, à réviser les Résolutions 1, 2, 22 et 54 de l</w:t>
      </w:r>
      <w:r>
        <w:rPr>
          <w:lang w:val="fr-FR"/>
        </w:rPr>
        <w:t>'</w:t>
      </w:r>
      <w:r w:rsidRPr="002A484A">
        <w:rPr>
          <w:lang w:val="fr-FR"/>
        </w:rPr>
        <w:t xml:space="preserve">AMNT, en vue de clarifier les critères applicables à </w:t>
      </w:r>
      <w:bookmarkEnd w:id="17"/>
      <w:r w:rsidRPr="002A484A">
        <w:rPr>
          <w:lang w:val="fr-FR"/>
        </w:rPr>
        <w:t>la création de groupes régionaux des commissions d</w:t>
      </w:r>
      <w:r>
        <w:rPr>
          <w:lang w:val="fr-FR"/>
        </w:rPr>
        <w:t>'</w:t>
      </w:r>
      <w:r w:rsidRPr="002A484A">
        <w:rPr>
          <w:lang w:val="fr-FR"/>
        </w:rPr>
        <w:t>études, à leur participation à leurs travaux et à leur dissolution, et le rôle du GCNT à cet égard.</w:t>
      </w:r>
    </w:p>
  </w:footnote>
  <w:footnote w:id="3">
    <w:p w14:paraId="6B39D7ED" w14:textId="4DC115DF" w:rsidR="00E31B2B" w:rsidRPr="00041FA7" w:rsidRDefault="00E31B2B">
      <w:pPr>
        <w:pStyle w:val="FootnoteText"/>
        <w:rPr>
          <w:lang w:val="fr-FR"/>
        </w:rPr>
      </w:pPr>
      <w:r>
        <w:rPr>
          <w:rStyle w:val="FootnoteReference"/>
        </w:rPr>
        <w:footnoteRef/>
      </w:r>
      <w:r>
        <w:rPr>
          <w:lang w:val="fr-FR"/>
        </w:rPr>
        <w:tab/>
      </w:r>
      <w:r w:rsidRPr="00DB4056">
        <w:rPr>
          <w:rStyle w:val="FootnoteTextChar"/>
          <w:lang w:val="fr-FR"/>
        </w:rPr>
        <w:t>[</w:t>
      </w:r>
      <w:r w:rsidRPr="001E562B">
        <w:rPr>
          <w:rStyle w:val="FootnoteTextChar"/>
          <w:b/>
          <w:bCs/>
          <w:lang w:val="fr-FR"/>
        </w:rPr>
        <w:t>1</w:t>
      </w:r>
      <w:r w:rsidRPr="001E562B">
        <w:rPr>
          <w:rStyle w:val="FootnoteTextChar"/>
          <w:b/>
          <w:bCs/>
          <w:i/>
          <w:iCs/>
          <w:lang w:val="fr-FR"/>
        </w:rPr>
        <w:t>bis.</w:t>
      </w:r>
      <w:r w:rsidRPr="001E562B">
        <w:rPr>
          <w:rStyle w:val="FootnoteTextChar"/>
          <w:b/>
          <w:bCs/>
          <w:lang w:val="fr-FR"/>
        </w:rPr>
        <w:t>10</w:t>
      </w:r>
      <w:r>
        <w:rPr>
          <w:rStyle w:val="FootnoteTextChar"/>
          <w:b/>
          <w:bCs/>
          <w:lang w:val="fr-FR"/>
        </w:rPr>
        <w:tab/>
      </w:r>
      <w:r w:rsidRPr="00DB4056">
        <w:rPr>
          <w:lang w:val="fr-CH"/>
        </w:rPr>
        <w:t>S</w:t>
      </w:r>
      <w:r>
        <w:rPr>
          <w:lang w:val="fr-CH"/>
        </w:rPr>
        <w:t>'</w:t>
      </w:r>
      <w:r w:rsidRPr="00DB4056">
        <w:rPr>
          <w:lang w:val="fr-CH"/>
        </w:rPr>
        <w:t>il n</w:t>
      </w:r>
      <w:r>
        <w:rPr>
          <w:lang w:val="fr-CH"/>
        </w:rPr>
        <w:t>'</w:t>
      </w:r>
      <w:r w:rsidRPr="00DB4056">
        <w:rPr>
          <w:lang w:val="fr-CH"/>
        </w:rPr>
        <w:t>existe aucune procédure particulière d</w:t>
      </w:r>
      <w:r>
        <w:rPr>
          <w:lang w:val="fr-CH"/>
        </w:rPr>
        <w:t>'</w:t>
      </w:r>
      <w:r w:rsidRPr="00DB4056">
        <w:rPr>
          <w:lang w:val="fr-CH"/>
        </w:rPr>
        <w:t>approbation/d</w:t>
      </w:r>
      <w:r>
        <w:rPr>
          <w:lang w:val="fr-CH"/>
        </w:rPr>
        <w:t>'</w:t>
      </w:r>
      <w:r w:rsidRPr="00DB4056">
        <w:rPr>
          <w:lang w:val="fr-CH"/>
        </w:rPr>
        <w:t>accord pour un texte et si aucun consensus ne se dégage à la réunion de la commission d</w:t>
      </w:r>
      <w:r>
        <w:rPr>
          <w:lang w:val="fr-CH"/>
        </w:rPr>
        <w:t>'</w:t>
      </w:r>
      <w:r w:rsidRPr="00DB4056">
        <w:rPr>
          <w:lang w:val="fr-CH"/>
        </w:rPr>
        <w:t>études, dans des circonstances exceptionnelles, et conformément aux Règles générales régissant les conférences, assemblées et réunions de l</w:t>
      </w:r>
      <w:r>
        <w:rPr>
          <w:lang w:val="fr-CH"/>
        </w:rPr>
        <w:t>'</w:t>
      </w:r>
      <w:r w:rsidRPr="00DB4056">
        <w:rPr>
          <w:lang w:val="fr-CH"/>
        </w:rPr>
        <w:t>Union, on utilisera la même procédure que celle utilisée à une AMNT (voir le § 1.13 ci-dessus)</w:t>
      </w:r>
      <w:r w:rsidRPr="00DB4056">
        <w:rPr>
          <w:rStyle w:val="FootnoteTextChar"/>
          <w:lang w:val="fr-FR"/>
        </w:rPr>
        <w:t>.]</w:t>
      </w:r>
    </w:p>
  </w:footnote>
  <w:footnote w:id="4">
    <w:p w14:paraId="251D9FC0" w14:textId="53738193" w:rsidR="00E31B2B" w:rsidRPr="00D10AF4" w:rsidRDefault="00E31B2B">
      <w:pPr>
        <w:pStyle w:val="FootnoteText"/>
        <w:rPr>
          <w:lang w:val="fr-FR"/>
        </w:rPr>
      </w:pPr>
      <w:r>
        <w:rPr>
          <w:rStyle w:val="FootnoteReference"/>
        </w:rPr>
        <w:footnoteRef/>
      </w:r>
      <w:r w:rsidRPr="00D10AF4">
        <w:rPr>
          <w:lang w:val="fr-FR"/>
        </w:rPr>
        <w:t xml:space="preserve"> </w:t>
      </w:r>
      <w:r>
        <w:rPr>
          <w:lang w:val="fr-FR"/>
        </w:rPr>
        <w:tab/>
      </w:r>
      <w:r w:rsidRPr="006954FA">
        <w:rPr>
          <w:lang w:val="fr-FR"/>
        </w:rPr>
        <w:t>Bien qu</w:t>
      </w:r>
      <w:r>
        <w:rPr>
          <w:lang w:val="fr-FR"/>
        </w:rPr>
        <w:t>'</w:t>
      </w:r>
      <w:r w:rsidRPr="006954FA">
        <w:rPr>
          <w:lang w:val="fr-FR"/>
        </w:rPr>
        <w:t>il soit convenu que la période d</w:t>
      </w:r>
      <w:r>
        <w:rPr>
          <w:lang w:val="fr-FR"/>
        </w:rPr>
        <w:t>'</w:t>
      </w:r>
      <w:r w:rsidRPr="006954FA">
        <w:rPr>
          <w:lang w:val="fr-FR"/>
        </w:rPr>
        <w:t xml:space="preserve">études générale </w:t>
      </w:r>
      <w:r>
        <w:rPr>
          <w:lang w:val="fr-FR"/>
        </w:rPr>
        <w:t xml:space="preserve">est comprise entre </w:t>
      </w:r>
      <w:r w:rsidRPr="006954FA">
        <w:rPr>
          <w:lang w:val="fr-FR"/>
        </w:rPr>
        <w:t xml:space="preserve">2008 </w:t>
      </w:r>
      <w:r>
        <w:rPr>
          <w:lang w:val="fr-FR"/>
        </w:rPr>
        <w:t xml:space="preserve">et </w:t>
      </w:r>
      <w:r w:rsidRPr="006954FA">
        <w:rPr>
          <w:lang w:val="fr-FR"/>
        </w:rPr>
        <w:t>2021, il est admis que les données relatives aux justifications A.1 et A.13 ne sont disponibles qu</w:t>
      </w:r>
      <w:r>
        <w:rPr>
          <w:lang w:val="fr-FR"/>
        </w:rPr>
        <w:t xml:space="preserve">e pour </w:t>
      </w:r>
      <w:r w:rsidRPr="006954FA">
        <w:rPr>
          <w:lang w:val="fr-FR"/>
        </w:rPr>
        <w:t>un sous</w:t>
      </w:r>
      <w:r>
        <w:rPr>
          <w:lang w:val="fr-FR"/>
        </w:rPr>
        <w:noBreakHyphen/>
      </w:r>
      <w:r w:rsidRPr="006954FA">
        <w:rPr>
          <w:lang w:val="fr-FR"/>
        </w:rPr>
        <w:t>ensemble de ces années.</w:t>
      </w:r>
      <w:r w:rsidRPr="0032646D">
        <w:rPr>
          <w:lang w:val="fr-FR"/>
        </w:rPr>
        <w:t xml:space="preserve"> Il </w:t>
      </w:r>
      <w:r>
        <w:rPr>
          <w:lang w:val="fr-FR"/>
        </w:rPr>
        <w:t>faut</w:t>
      </w:r>
      <w:r w:rsidRPr="0032646D">
        <w:rPr>
          <w:lang w:val="fr-FR"/>
        </w:rPr>
        <w:t xml:space="preserve"> faire preuve de prudence </w:t>
      </w:r>
      <w:r>
        <w:rPr>
          <w:lang w:val="fr-FR"/>
        </w:rPr>
        <w:t xml:space="preserve">avant de </w:t>
      </w:r>
      <w:r w:rsidRPr="0032646D">
        <w:rPr>
          <w:lang w:val="fr-FR"/>
        </w:rPr>
        <w:t>tir</w:t>
      </w:r>
      <w:r>
        <w:rPr>
          <w:lang w:val="fr-FR"/>
        </w:rPr>
        <w:t>er</w:t>
      </w:r>
      <w:r w:rsidRPr="0032646D">
        <w:rPr>
          <w:lang w:val="fr-FR"/>
        </w:rPr>
        <w:t xml:space="preserve"> des conclusions de ces données</w:t>
      </w:r>
      <w:r w:rsidRPr="00A73BFC">
        <w:rPr>
          <w:rFonts w:eastAsia="Calibr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91E7" w14:textId="3FB9A75D" w:rsidR="00E31B2B" w:rsidRDefault="00E31B2B" w:rsidP="00987C1F">
    <w:pPr>
      <w:pStyle w:val="Header"/>
    </w:pPr>
    <w:r>
      <w:fldChar w:fldCharType="begin"/>
    </w:r>
    <w:r>
      <w:instrText xml:space="preserve"> PAGE </w:instrText>
    </w:r>
    <w:r>
      <w:fldChar w:fldCharType="separate"/>
    </w:r>
    <w:r w:rsidR="007A7623">
      <w:rPr>
        <w:noProof/>
      </w:rPr>
      <w:t>16</w:t>
    </w:r>
    <w:r>
      <w:fldChar w:fldCharType="end"/>
    </w:r>
  </w:p>
  <w:p w14:paraId="233910D4" w14:textId="1DE7C544" w:rsidR="00E31B2B" w:rsidRDefault="00E31B2B" w:rsidP="00987C1F">
    <w:pPr>
      <w:pStyle w:val="Header"/>
    </w:pPr>
    <w:r>
      <w:fldChar w:fldCharType="begin"/>
    </w:r>
    <w:r>
      <w:instrText xml:space="preserve"> styleref DocNumber </w:instrText>
    </w:r>
    <w:r>
      <w:fldChar w:fldCharType="separate"/>
    </w:r>
    <w:r w:rsidR="007A7623">
      <w:rPr>
        <w:noProof/>
      </w:rPr>
      <w:t>Document 23-F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9530C1"/>
    <w:multiLevelType w:val="hybridMultilevel"/>
    <w:tmpl w:val="CD58533E"/>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BF6FE3"/>
    <w:multiLevelType w:val="hybridMultilevel"/>
    <w:tmpl w:val="73A03C0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6417F7"/>
    <w:multiLevelType w:val="hybridMultilevel"/>
    <w:tmpl w:val="420E6BEC"/>
    <w:lvl w:ilvl="0" w:tplc="0809000F">
      <w:start w:val="1"/>
      <w:numFmt w:val="decimal"/>
      <w:lvlText w:val="%1."/>
      <w:lvlJc w:val="left"/>
      <w:pPr>
        <w:spacing w:after="10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3B54936"/>
    <w:multiLevelType w:val="hybridMultilevel"/>
    <w:tmpl w:val="D0E4306A"/>
    <w:lvl w:ilvl="0" w:tplc="0809000F">
      <w:start w:val="1"/>
      <w:numFmt w:val="decimal"/>
      <w:lvlText w:val="%1."/>
      <w:lvlJc w:val="left"/>
      <w:pPr>
        <w:ind w:left="992" w:hanging="360"/>
      </w:pPr>
    </w:lvl>
    <w:lvl w:ilvl="1" w:tplc="08090019">
      <w:start w:val="1"/>
      <w:numFmt w:val="lowerLetter"/>
      <w:lvlText w:val="%2."/>
      <w:lvlJc w:val="left"/>
      <w:pPr>
        <w:ind w:left="1712" w:hanging="360"/>
      </w:pPr>
    </w:lvl>
    <w:lvl w:ilvl="2" w:tplc="0809001B">
      <w:start w:val="1"/>
      <w:numFmt w:val="lowerRoman"/>
      <w:lvlText w:val="%3."/>
      <w:lvlJc w:val="right"/>
      <w:pPr>
        <w:ind w:left="2432" w:hanging="180"/>
      </w:pPr>
    </w:lvl>
    <w:lvl w:ilvl="3" w:tplc="0809000F">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16"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9"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A17B1"/>
    <w:multiLevelType w:val="hybridMultilevel"/>
    <w:tmpl w:val="3D70605E"/>
    <w:lvl w:ilvl="0" w:tplc="EE806118">
      <w:start w:val="4"/>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44BA4E27"/>
    <w:multiLevelType w:val="hybridMultilevel"/>
    <w:tmpl w:val="028E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C57FE"/>
    <w:multiLevelType w:val="hybridMultilevel"/>
    <w:tmpl w:val="E77E87AC"/>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DA60E4"/>
    <w:multiLevelType w:val="hybridMultilevel"/>
    <w:tmpl w:val="BFF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4"/>
  </w:num>
  <w:num w:numId="13">
    <w:abstractNumId w:val="22"/>
  </w:num>
  <w:num w:numId="14">
    <w:abstractNumId w:val="11"/>
  </w:num>
  <w:num w:numId="15">
    <w:abstractNumId w:val="23"/>
  </w:num>
  <w:num w:numId="16">
    <w:abstractNumId w:val="28"/>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26"/>
  </w:num>
  <w:num w:numId="22">
    <w:abstractNumId w:val="17"/>
  </w:num>
  <w:num w:numId="23">
    <w:abstractNumId w:val="16"/>
  </w:num>
  <w:num w:numId="24">
    <w:abstractNumId w:val="25"/>
  </w:num>
  <w:num w:numId="25">
    <w:abstractNumId w:val="21"/>
  </w:num>
  <w:num w:numId="26">
    <w:abstractNumId w:val="27"/>
  </w:num>
  <w:num w:numId="27">
    <w:abstractNumId w:val="15"/>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6638A0-BC2B-492B-8E22-BCE1521EAA16}"/>
    <w:docVar w:name="dgnword-eventsink" w:val="2472228337600"/>
  </w:docVars>
  <w:rsids>
    <w:rsidRoot w:val="00B31EF6"/>
    <w:rsid w:val="000032AD"/>
    <w:rsid w:val="00003E75"/>
    <w:rsid w:val="000041EA"/>
    <w:rsid w:val="00015B04"/>
    <w:rsid w:val="0002032E"/>
    <w:rsid w:val="00022A29"/>
    <w:rsid w:val="00022EEC"/>
    <w:rsid w:val="000300EF"/>
    <w:rsid w:val="00032FE5"/>
    <w:rsid w:val="00033E86"/>
    <w:rsid w:val="000355FD"/>
    <w:rsid w:val="00043522"/>
    <w:rsid w:val="00046582"/>
    <w:rsid w:val="000501FF"/>
    <w:rsid w:val="00051E39"/>
    <w:rsid w:val="00053967"/>
    <w:rsid w:val="000543AF"/>
    <w:rsid w:val="00055EBB"/>
    <w:rsid w:val="000571E2"/>
    <w:rsid w:val="00057D2F"/>
    <w:rsid w:val="000638CD"/>
    <w:rsid w:val="00065A52"/>
    <w:rsid w:val="00077239"/>
    <w:rsid w:val="00081194"/>
    <w:rsid w:val="00086491"/>
    <w:rsid w:val="000907C3"/>
    <w:rsid w:val="00091346"/>
    <w:rsid w:val="00092C72"/>
    <w:rsid w:val="00095C89"/>
    <w:rsid w:val="0009706C"/>
    <w:rsid w:val="000A14AF"/>
    <w:rsid w:val="000A1921"/>
    <w:rsid w:val="000A66B3"/>
    <w:rsid w:val="000A67D9"/>
    <w:rsid w:val="000A7229"/>
    <w:rsid w:val="000B16A6"/>
    <w:rsid w:val="000B2AB4"/>
    <w:rsid w:val="000C3FAA"/>
    <w:rsid w:val="000C471D"/>
    <w:rsid w:val="000D5A6B"/>
    <w:rsid w:val="000E03D3"/>
    <w:rsid w:val="000E05BB"/>
    <w:rsid w:val="000E7DF5"/>
    <w:rsid w:val="000F2B29"/>
    <w:rsid w:val="000F73FF"/>
    <w:rsid w:val="00102905"/>
    <w:rsid w:val="00103FE1"/>
    <w:rsid w:val="00110A3E"/>
    <w:rsid w:val="00114CF7"/>
    <w:rsid w:val="001160E0"/>
    <w:rsid w:val="00123B68"/>
    <w:rsid w:val="00126F2E"/>
    <w:rsid w:val="001271D4"/>
    <w:rsid w:val="001401E5"/>
    <w:rsid w:val="00140AE7"/>
    <w:rsid w:val="00146F6F"/>
    <w:rsid w:val="0014702F"/>
    <w:rsid w:val="001513CD"/>
    <w:rsid w:val="001533AE"/>
    <w:rsid w:val="001561E5"/>
    <w:rsid w:val="00163EAB"/>
    <w:rsid w:val="001644BE"/>
    <w:rsid w:val="00164C14"/>
    <w:rsid w:val="00164E86"/>
    <w:rsid w:val="00164F8C"/>
    <w:rsid w:val="00177A21"/>
    <w:rsid w:val="001800F5"/>
    <w:rsid w:val="00180137"/>
    <w:rsid w:val="00184770"/>
    <w:rsid w:val="00187BD9"/>
    <w:rsid w:val="00190502"/>
    <w:rsid w:val="00190B55"/>
    <w:rsid w:val="0019186B"/>
    <w:rsid w:val="00192317"/>
    <w:rsid w:val="00196E73"/>
    <w:rsid w:val="00197850"/>
    <w:rsid w:val="001978FA"/>
    <w:rsid w:val="001A0ECC"/>
    <w:rsid w:val="001A0F27"/>
    <w:rsid w:val="001A6610"/>
    <w:rsid w:val="001A69D3"/>
    <w:rsid w:val="001A7D6A"/>
    <w:rsid w:val="001B0979"/>
    <w:rsid w:val="001B3401"/>
    <w:rsid w:val="001B63AE"/>
    <w:rsid w:val="001C3B5F"/>
    <w:rsid w:val="001C48C6"/>
    <w:rsid w:val="001D058F"/>
    <w:rsid w:val="001D5155"/>
    <w:rsid w:val="001D581B"/>
    <w:rsid w:val="001D5C3D"/>
    <w:rsid w:val="001D77E9"/>
    <w:rsid w:val="001E1430"/>
    <w:rsid w:val="001E562B"/>
    <w:rsid w:val="001F0921"/>
    <w:rsid w:val="002009EA"/>
    <w:rsid w:val="00202CA0"/>
    <w:rsid w:val="00206BF3"/>
    <w:rsid w:val="002131D0"/>
    <w:rsid w:val="00213E59"/>
    <w:rsid w:val="00216B6D"/>
    <w:rsid w:val="00223783"/>
    <w:rsid w:val="002271ED"/>
    <w:rsid w:val="00250AF4"/>
    <w:rsid w:val="00250FB9"/>
    <w:rsid w:val="00253A70"/>
    <w:rsid w:val="00257850"/>
    <w:rsid w:val="002607BD"/>
    <w:rsid w:val="0026213A"/>
    <w:rsid w:val="00262B47"/>
    <w:rsid w:val="00271316"/>
    <w:rsid w:val="00280631"/>
    <w:rsid w:val="00281E5D"/>
    <w:rsid w:val="002869E1"/>
    <w:rsid w:val="00296E2F"/>
    <w:rsid w:val="002A041E"/>
    <w:rsid w:val="002A484A"/>
    <w:rsid w:val="002A6961"/>
    <w:rsid w:val="002B2A75"/>
    <w:rsid w:val="002B5F36"/>
    <w:rsid w:val="002B6D95"/>
    <w:rsid w:val="002C2233"/>
    <w:rsid w:val="002C7B9F"/>
    <w:rsid w:val="002D097D"/>
    <w:rsid w:val="002D1A61"/>
    <w:rsid w:val="002D2B20"/>
    <w:rsid w:val="002D4D50"/>
    <w:rsid w:val="002D58BE"/>
    <w:rsid w:val="002D712F"/>
    <w:rsid w:val="002E210D"/>
    <w:rsid w:val="002E608A"/>
    <w:rsid w:val="002F3F3B"/>
    <w:rsid w:val="002F501E"/>
    <w:rsid w:val="00300551"/>
    <w:rsid w:val="00303CAD"/>
    <w:rsid w:val="00304152"/>
    <w:rsid w:val="00305D87"/>
    <w:rsid w:val="00307269"/>
    <w:rsid w:val="00311A54"/>
    <w:rsid w:val="0031613F"/>
    <w:rsid w:val="00317392"/>
    <w:rsid w:val="003236A6"/>
    <w:rsid w:val="0032729D"/>
    <w:rsid w:val="00332C56"/>
    <w:rsid w:val="00333279"/>
    <w:rsid w:val="00345A52"/>
    <w:rsid w:val="003468BE"/>
    <w:rsid w:val="003474F2"/>
    <w:rsid w:val="003502AD"/>
    <w:rsid w:val="00351BE2"/>
    <w:rsid w:val="003522B7"/>
    <w:rsid w:val="00354507"/>
    <w:rsid w:val="00360624"/>
    <w:rsid w:val="0036105F"/>
    <w:rsid w:val="00361F07"/>
    <w:rsid w:val="00363DB9"/>
    <w:rsid w:val="003708E3"/>
    <w:rsid w:val="00377BD3"/>
    <w:rsid w:val="00380B35"/>
    <w:rsid w:val="003832C0"/>
    <w:rsid w:val="00384088"/>
    <w:rsid w:val="0039169B"/>
    <w:rsid w:val="0039274D"/>
    <w:rsid w:val="00393E1B"/>
    <w:rsid w:val="003A7F8C"/>
    <w:rsid w:val="003B532E"/>
    <w:rsid w:val="003C4135"/>
    <w:rsid w:val="003D0A0E"/>
    <w:rsid w:val="003D0A33"/>
    <w:rsid w:val="003D0F8B"/>
    <w:rsid w:val="003D47C4"/>
    <w:rsid w:val="003D7A4F"/>
    <w:rsid w:val="003E1BE4"/>
    <w:rsid w:val="003E3492"/>
    <w:rsid w:val="003E7579"/>
    <w:rsid w:val="003F3196"/>
    <w:rsid w:val="00404745"/>
    <w:rsid w:val="004054F5"/>
    <w:rsid w:val="00405BFD"/>
    <w:rsid w:val="004079B0"/>
    <w:rsid w:val="00410954"/>
    <w:rsid w:val="0041348E"/>
    <w:rsid w:val="004176F9"/>
    <w:rsid w:val="00417AD4"/>
    <w:rsid w:val="00426326"/>
    <w:rsid w:val="0043127B"/>
    <w:rsid w:val="00434C35"/>
    <w:rsid w:val="00437134"/>
    <w:rsid w:val="00444030"/>
    <w:rsid w:val="0044499F"/>
    <w:rsid w:val="0044548D"/>
    <w:rsid w:val="004508E2"/>
    <w:rsid w:val="004576B5"/>
    <w:rsid w:val="0047125B"/>
    <w:rsid w:val="004717E9"/>
    <w:rsid w:val="004732FB"/>
    <w:rsid w:val="00476533"/>
    <w:rsid w:val="00486F65"/>
    <w:rsid w:val="004900AD"/>
    <w:rsid w:val="00490157"/>
    <w:rsid w:val="00492075"/>
    <w:rsid w:val="00493382"/>
    <w:rsid w:val="004969AD"/>
    <w:rsid w:val="004A26C4"/>
    <w:rsid w:val="004A5C97"/>
    <w:rsid w:val="004B13CB"/>
    <w:rsid w:val="004B3570"/>
    <w:rsid w:val="004B3986"/>
    <w:rsid w:val="004B39CD"/>
    <w:rsid w:val="004C058E"/>
    <w:rsid w:val="004C1DA7"/>
    <w:rsid w:val="004D2CE5"/>
    <w:rsid w:val="004D5BA8"/>
    <w:rsid w:val="004D5D5C"/>
    <w:rsid w:val="004D691D"/>
    <w:rsid w:val="004E42A3"/>
    <w:rsid w:val="004F428E"/>
    <w:rsid w:val="00500DB0"/>
    <w:rsid w:val="005011B0"/>
    <w:rsid w:val="0050139F"/>
    <w:rsid w:val="00502483"/>
    <w:rsid w:val="00504D97"/>
    <w:rsid w:val="005051C9"/>
    <w:rsid w:val="00511BC1"/>
    <w:rsid w:val="00516D79"/>
    <w:rsid w:val="00526703"/>
    <w:rsid w:val="00530525"/>
    <w:rsid w:val="005447B0"/>
    <w:rsid w:val="0054526A"/>
    <w:rsid w:val="00550A53"/>
    <w:rsid w:val="0055140B"/>
    <w:rsid w:val="0057057A"/>
    <w:rsid w:val="00573044"/>
    <w:rsid w:val="005932C3"/>
    <w:rsid w:val="00595780"/>
    <w:rsid w:val="0059637C"/>
    <w:rsid w:val="005964AB"/>
    <w:rsid w:val="005A1EDE"/>
    <w:rsid w:val="005A246B"/>
    <w:rsid w:val="005A449A"/>
    <w:rsid w:val="005A6218"/>
    <w:rsid w:val="005B145C"/>
    <w:rsid w:val="005B7436"/>
    <w:rsid w:val="005C099A"/>
    <w:rsid w:val="005C31A5"/>
    <w:rsid w:val="005C45E2"/>
    <w:rsid w:val="005C786C"/>
    <w:rsid w:val="005E10C9"/>
    <w:rsid w:val="005E49DE"/>
    <w:rsid w:val="005E61DD"/>
    <w:rsid w:val="005F0F2A"/>
    <w:rsid w:val="005F6B1E"/>
    <w:rsid w:val="005F7330"/>
    <w:rsid w:val="006023DF"/>
    <w:rsid w:val="00605C89"/>
    <w:rsid w:val="0060646A"/>
    <w:rsid w:val="00612990"/>
    <w:rsid w:val="006301F5"/>
    <w:rsid w:val="006355FE"/>
    <w:rsid w:val="006520FC"/>
    <w:rsid w:val="00656764"/>
    <w:rsid w:val="00657DE0"/>
    <w:rsid w:val="00661B4E"/>
    <w:rsid w:val="0067237F"/>
    <w:rsid w:val="0067733E"/>
    <w:rsid w:val="006779C9"/>
    <w:rsid w:val="00680731"/>
    <w:rsid w:val="00682FCA"/>
    <w:rsid w:val="00685313"/>
    <w:rsid w:val="0069092B"/>
    <w:rsid w:val="00692833"/>
    <w:rsid w:val="006A4FBC"/>
    <w:rsid w:val="006A6612"/>
    <w:rsid w:val="006A6E9B"/>
    <w:rsid w:val="006B249F"/>
    <w:rsid w:val="006B7C2A"/>
    <w:rsid w:val="006C23DA"/>
    <w:rsid w:val="006C3380"/>
    <w:rsid w:val="006C497F"/>
    <w:rsid w:val="006D3E7A"/>
    <w:rsid w:val="006D704E"/>
    <w:rsid w:val="006E013B"/>
    <w:rsid w:val="006E3D45"/>
    <w:rsid w:val="006E7B2F"/>
    <w:rsid w:val="006F3FCD"/>
    <w:rsid w:val="006F580E"/>
    <w:rsid w:val="00701675"/>
    <w:rsid w:val="0070377A"/>
    <w:rsid w:val="00707E4E"/>
    <w:rsid w:val="00712C35"/>
    <w:rsid w:val="00713954"/>
    <w:rsid w:val="007149F9"/>
    <w:rsid w:val="00724324"/>
    <w:rsid w:val="0072732B"/>
    <w:rsid w:val="007275A2"/>
    <w:rsid w:val="007301D4"/>
    <w:rsid w:val="00733A30"/>
    <w:rsid w:val="00745AEE"/>
    <w:rsid w:val="00750F10"/>
    <w:rsid w:val="00755D5D"/>
    <w:rsid w:val="00764B07"/>
    <w:rsid w:val="0076550E"/>
    <w:rsid w:val="00767EC3"/>
    <w:rsid w:val="007742CA"/>
    <w:rsid w:val="007747FD"/>
    <w:rsid w:val="00776C16"/>
    <w:rsid w:val="00777934"/>
    <w:rsid w:val="00790D70"/>
    <w:rsid w:val="00793C2E"/>
    <w:rsid w:val="007A7623"/>
    <w:rsid w:val="007B50CE"/>
    <w:rsid w:val="007B6226"/>
    <w:rsid w:val="007B75EE"/>
    <w:rsid w:val="007C1A1B"/>
    <w:rsid w:val="007C383B"/>
    <w:rsid w:val="007C6A7E"/>
    <w:rsid w:val="007D2FA0"/>
    <w:rsid w:val="007D5320"/>
    <w:rsid w:val="007D7349"/>
    <w:rsid w:val="007E6F64"/>
    <w:rsid w:val="008006C5"/>
    <w:rsid w:val="00800972"/>
    <w:rsid w:val="00803B68"/>
    <w:rsid w:val="00804475"/>
    <w:rsid w:val="0080585C"/>
    <w:rsid w:val="00810C86"/>
    <w:rsid w:val="00811633"/>
    <w:rsid w:val="00813B36"/>
    <w:rsid w:val="00813B79"/>
    <w:rsid w:val="008154FC"/>
    <w:rsid w:val="00842A7D"/>
    <w:rsid w:val="00842F7D"/>
    <w:rsid w:val="00862888"/>
    <w:rsid w:val="00864CD2"/>
    <w:rsid w:val="0086757B"/>
    <w:rsid w:val="008708C6"/>
    <w:rsid w:val="00872FC8"/>
    <w:rsid w:val="008731F2"/>
    <w:rsid w:val="008845D0"/>
    <w:rsid w:val="0089321E"/>
    <w:rsid w:val="008A3519"/>
    <w:rsid w:val="008A69FB"/>
    <w:rsid w:val="008B1AEA"/>
    <w:rsid w:val="008B3A7E"/>
    <w:rsid w:val="008B43F2"/>
    <w:rsid w:val="008B6CFF"/>
    <w:rsid w:val="008C27E9"/>
    <w:rsid w:val="008C64E5"/>
    <w:rsid w:val="008C6BAA"/>
    <w:rsid w:val="008D001F"/>
    <w:rsid w:val="008D1F2B"/>
    <w:rsid w:val="008D4673"/>
    <w:rsid w:val="008E1F43"/>
    <w:rsid w:val="008E3B4E"/>
    <w:rsid w:val="008F1ECF"/>
    <w:rsid w:val="008F6ACC"/>
    <w:rsid w:val="009019FD"/>
    <w:rsid w:val="00916423"/>
    <w:rsid w:val="00921C66"/>
    <w:rsid w:val="0092425C"/>
    <w:rsid w:val="009274B4"/>
    <w:rsid w:val="00930C83"/>
    <w:rsid w:val="009313D4"/>
    <w:rsid w:val="00933241"/>
    <w:rsid w:val="00934EA2"/>
    <w:rsid w:val="00935E49"/>
    <w:rsid w:val="0093730C"/>
    <w:rsid w:val="00940614"/>
    <w:rsid w:val="00944A5C"/>
    <w:rsid w:val="00952A66"/>
    <w:rsid w:val="0095605C"/>
    <w:rsid w:val="00957670"/>
    <w:rsid w:val="00961925"/>
    <w:rsid w:val="00961C4E"/>
    <w:rsid w:val="009675A1"/>
    <w:rsid w:val="00975258"/>
    <w:rsid w:val="00982D88"/>
    <w:rsid w:val="00987240"/>
    <w:rsid w:val="00987C1F"/>
    <w:rsid w:val="009943F3"/>
    <w:rsid w:val="00996A41"/>
    <w:rsid w:val="0099786D"/>
    <w:rsid w:val="009A02B7"/>
    <w:rsid w:val="009A329A"/>
    <w:rsid w:val="009A4493"/>
    <w:rsid w:val="009B25CE"/>
    <w:rsid w:val="009B7528"/>
    <w:rsid w:val="009C3191"/>
    <w:rsid w:val="009C3614"/>
    <w:rsid w:val="009C3D1E"/>
    <w:rsid w:val="009C51FD"/>
    <w:rsid w:val="009C56E5"/>
    <w:rsid w:val="009C7E62"/>
    <w:rsid w:val="009D01B0"/>
    <w:rsid w:val="009D572C"/>
    <w:rsid w:val="009E5FC8"/>
    <w:rsid w:val="009E687A"/>
    <w:rsid w:val="009F2B96"/>
    <w:rsid w:val="009F63E2"/>
    <w:rsid w:val="00A00D63"/>
    <w:rsid w:val="00A05E05"/>
    <w:rsid w:val="00A066F1"/>
    <w:rsid w:val="00A102CA"/>
    <w:rsid w:val="00A10C2E"/>
    <w:rsid w:val="00A10DB7"/>
    <w:rsid w:val="00A141AF"/>
    <w:rsid w:val="00A16D29"/>
    <w:rsid w:val="00A16FCA"/>
    <w:rsid w:val="00A30305"/>
    <w:rsid w:val="00A31D2D"/>
    <w:rsid w:val="00A3466F"/>
    <w:rsid w:val="00A42B33"/>
    <w:rsid w:val="00A4600A"/>
    <w:rsid w:val="00A52193"/>
    <w:rsid w:val="00A52DB7"/>
    <w:rsid w:val="00A53497"/>
    <w:rsid w:val="00A538A6"/>
    <w:rsid w:val="00A54C25"/>
    <w:rsid w:val="00A66ED4"/>
    <w:rsid w:val="00A67830"/>
    <w:rsid w:val="00A710E7"/>
    <w:rsid w:val="00A7372E"/>
    <w:rsid w:val="00A74E92"/>
    <w:rsid w:val="00A75682"/>
    <w:rsid w:val="00A76E35"/>
    <w:rsid w:val="00A77ACF"/>
    <w:rsid w:val="00A811DC"/>
    <w:rsid w:val="00A81C42"/>
    <w:rsid w:val="00A83ECC"/>
    <w:rsid w:val="00A90939"/>
    <w:rsid w:val="00A93B85"/>
    <w:rsid w:val="00A94A88"/>
    <w:rsid w:val="00A9548E"/>
    <w:rsid w:val="00A97F0D"/>
    <w:rsid w:val="00AA0524"/>
    <w:rsid w:val="00AA0B18"/>
    <w:rsid w:val="00AA666F"/>
    <w:rsid w:val="00AB5A50"/>
    <w:rsid w:val="00AB73AE"/>
    <w:rsid w:val="00AB7C5F"/>
    <w:rsid w:val="00AC312E"/>
    <w:rsid w:val="00AC4886"/>
    <w:rsid w:val="00AC6BAD"/>
    <w:rsid w:val="00AD5ADE"/>
    <w:rsid w:val="00AE23ED"/>
    <w:rsid w:val="00AF21FA"/>
    <w:rsid w:val="00AF2649"/>
    <w:rsid w:val="00B02EB9"/>
    <w:rsid w:val="00B041FA"/>
    <w:rsid w:val="00B12766"/>
    <w:rsid w:val="00B1467A"/>
    <w:rsid w:val="00B305EC"/>
    <w:rsid w:val="00B31EF6"/>
    <w:rsid w:val="00B37202"/>
    <w:rsid w:val="00B55D80"/>
    <w:rsid w:val="00B566C3"/>
    <w:rsid w:val="00B61F8C"/>
    <w:rsid w:val="00B633BF"/>
    <w:rsid w:val="00B639E9"/>
    <w:rsid w:val="00B63D50"/>
    <w:rsid w:val="00B7465A"/>
    <w:rsid w:val="00B7586A"/>
    <w:rsid w:val="00B817CD"/>
    <w:rsid w:val="00B91D4B"/>
    <w:rsid w:val="00B930FA"/>
    <w:rsid w:val="00B9469B"/>
    <w:rsid w:val="00B94AD0"/>
    <w:rsid w:val="00BA3BFF"/>
    <w:rsid w:val="00BA5086"/>
    <w:rsid w:val="00BA5265"/>
    <w:rsid w:val="00BB3A95"/>
    <w:rsid w:val="00BB6D50"/>
    <w:rsid w:val="00BC061D"/>
    <w:rsid w:val="00BE2914"/>
    <w:rsid w:val="00BF3F06"/>
    <w:rsid w:val="00C0018F"/>
    <w:rsid w:val="00C00209"/>
    <w:rsid w:val="00C02334"/>
    <w:rsid w:val="00C026C2"/>
    <w:rsid w:val="00C04964"/>
    <w:rsid w:val="00C07061"/>
    <w:rsid w:val="00C16A5A"/>
    <w:rsid w:val="00C20466"/>
    <w:rsid w:val="00C20FCC"/>
    <w:rsid w:val="00C214ED"/>
    <w:rsid w:val="00C234E6"/>
    <w:rsid w:val="00C2483F"/>
    <w:rsid w:val="00C26BA2"/>
    <w:rsid w:val="00C324A8"/>
    <w:rsid w:val="00C3597B"/>
    <w:rsid w:val="00C44D12"/>
    <w:rsid w:val="00C4568E"/>
    <w:rsid w:val="00C5449E"/>
    <w:rsid w:val="00C54517"/>
    <w:rsid w:val="00C6169E"/>
    <w:rsid w:val="00C64CD8"/>
    <w:rsid w:val="00C70005"/>
    <w:rsid w:val="00C7631D"/>
    <w:rsid w:val="00C764E2"/>
    <w:rsid w:val="00C86763"/>
    <w:rsid w:val="00C92AE6"/>
    <w:rsid w:val="00C94561"/>
    <w:rsid w:val="00C97C68"/>
    <w:rsid w:val="00CA1A47"/>
    <w:rsid w:val="00CA2D19"/>
    <w:rsid w:val="00CB0F2E"/>
    <w:rsid w:val="00CB5868"/>
    <w:rsid w:val="00CC247A"/>
    <w:rsid w:val="00CC5FDB"/>
    <w:rsid w:val="00CD231B"/>
    <w:rsid w:val="00CE1445"/>
    <w:rsid w:val="00CE3385"/>
    <w:rsid w:val="00CE388F"/>
    <w:rsid w:val="00CE4B57"/>
    <w:rsid w:val="00CE5E47"/>
    <w:rsid w:val="00CE6CBA"/>
    <w:rsid w:val="00CF020F"/>
    <w:rsid w:val="00CF1E9D"/>
    <w:rsid w:val="00CF2532"/>
    <w:rsid w:val="00CF2B5B"/>
    <w:rsid w:val="00CF3B78"/>
    <w:rsid w:val="00CF505F"/>
    <w:rsid w:val="00CF5403"/>
    <w:rsid w:val="00CF6383"/>
    <w:rsid w:val="00D0130F"/>
    <w:rsid w:val="00D120C3"/>
    <w:rsid w:val="00D13522"/>
    <w:rsid w:val="00D14CE0"/>
    <w:rsid w:val="00D225B6"/>
    <w:rsid w:val="00D300B0"/>
    <w:rsid w:val="00D40320"/>
    <w:rsid w:val="00D4354E"/>
    <w:rsid w:val="00D54009"/>
    <w:rsid w:val="00D5651D"/>
    <w:rsid w:val="00D57A34"/>
    <w:rsid w:val="00D6112A"/>
    <w:rsid w:val="00D63605"/>
    <w:rsid w:val="00D7357E"/>
    <w:rsid w:val="00D740D4"/>
    <w:rsid w:val="00D74898"/>
    <w:rsid w:val="00D759DB"/>
    <w:rsid w:val="00D801ED"/>
    <w:rsid w:val="00D8583F"/>
    <w:rsid w:val="00D936BC"/>
    <w:rsid w:val="00D960BA"/>
    <w:rsid w:val="00D96530"/>
    <w:rsid w:val="00DA6E23"/>
    <w:rsid w:val="00DB07C0"/>
    <w:rsid w:val="00DB22E3"/>
    <w:rsid w:val="00DB3FC2"/>
    <w:rsid w:val="00DB4056"/>
    <w:rsid w:val="00DB729A"/>
    <w:rsid w:val="00DC1D16"/>
    <w:rsid w:val="00DC42BA"/>
    <w:rsid w:val="00DD0C1A"/>
    <w:rsid w:val="00DD2347"/>
    <w:rsid w:val="00DD3386"/>
    <w:rsid w:val="00DD44AF"/>
    <w:rsid w:val="00DE2AC3"/>
    <w:rsid w:val="00DE5692"/>
    <w:rsid w:val="00DE65AD"/>
    <w:rsid w:val="00DF017A"/>
    <w:rsid w:val="00DF0CC9"/>
    <w:rsid w:val="00DF2F4B"/>
    <w:rsid w:val="00DF3709"/>
    <w:rsid w:val="00E0117C"/>
    <w:rsid w:val="00E03C94"/>
    <w:rsid w:val="00E07AF5"/>
    <w:rsid w:val="00E11125"/>
    <w:rsid w:val="00E11197"/>
    <w:rsid w:val="00E14E2A"/>
    <w:rsid w:val="00E26226"/>
    <w:rsid w:val="00E31B2B"/>
    <w:rsid w:val="00E332E2"/>
    <w:rsid w:val="00E335F3"/>
    <w:rsid w:val="00E341B0"/>
    <w:rsid w:val="00E45D05"/>
    <w:rsid w:val="00E4720B"/>
    <w:rsid w:val="00E51B24"/>
    <w:rsid w:val="00E55816"/>
    <w:rsid w:val="00E55AEF"/>
    <w:rsid w:val="00E57C40"/>
    <w:rsid w:val="00E65267"/>
    <w:rsid w:val="00E662C3"/>
    <w:rsid w:val="00E7197F"/>
    <w:rsid w:val="00E843CA"/>
    <w:rsid w:val="00E84ED7"/>
    <w:rsid w:val="00E917FD"/>
    <w:rsid w:val="00E93293"/>
    <w:rsid w:val="00E976C1"/>
    <w:rsid w:val="00EA0D6B"/>
    <w:rsid w:val="00EA12E5"/>
    <w:rsid w:val="00EA6DFD"/>
    <w:rsid w:val="00EB55C6"/>
    <w:rsid w:val="00EC6E5A"/>
    <w:rsid w:val="00EC6EEA"/>
    <w:rsid w:val="00EE1555"/>
    <w:rsid w:val="00EF02E5"/>
    <w:rsid w:val="00EF1CC7"/>
    <w:rsid w:val="00EF2B09"/>
    <w:rsid w:val="00EF2B4E"/>
    <w:rsid w:val="00F02766"/>
    <w:rsid w:val="00F05BD4"/>
    <w:rsid w:val="00F11352"/>
    <w:rsid w:val="00F1145A"/>
    <w:rsid w:val="00F1305B"/>
    <w:rsid w:val="00F308F6"/>
    <w:rsid w:val="00F3294C"/>
    <w:rsid w:val="00F35C96"/>
    <w:rsid w:val="00F51111"/>
    <w:rsid w:val="00F5225C"/>
    <w:rsid w:val="00F579C8"/>
    <w:rsid w:val="00F6155B"/>
    <w:rsid w:val="00F62DD7"/>
    <w:rsid w:val="00F65C19"/>
    <w:rsid w:val="00F7082E"/>
    <w:rsid w:val="00F72BF5"/>
    <w:rsid w:val="00F7356B"/>
    <w:rsid w:val="00F776DF"/>
    <w:rsid w:val="00F77EAD"/>
    <w:rsid w:val="00F8159C"/>
    <w:rsid w:val="00F840C7"/>
    <w:rsid w:val="00F92CF3"/>
    <w:rsid w:val="00F961BC"/>
    <w:rsid w:val="00F97D5D"/>
    <w:rsid w:val="00FA5DAB"/>
    <w:rsid w:val="00FD2546"/>
    <w:rsid w:val="00FD426B"/>
    <w:rsid w:val="00FD772E"/>
    <w:rsid w:val="00FE22BA"/>
    <w:rsid w:val="00FE5B0C"/>
    <w:rsid w:val="00FE76CD"/>
    <w:rsid w:val="00FE78C7"/>
    <w:rsid w:val="00FF1C82"/>
    <w:rsid w:val="00FF2604"/>
    <w:rsid w:val="00FF32FF"/>
    <w:rsid w:val="00FF43AC"/>
    <w:rsid w:val="00FF5C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BCCB37"/>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uiPriority w:val="99"/>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超?级链,CEO_Hyperlink,Style 58,超????,하이퍼링크2,超链接1"/>
    <w:basedOn w:val="DefaultParagraphFont"/>
    <w:uiPriority w:val="99"/>
    <w:unhideWhenUsed/>
    <w:qFormat/>
    <w:rsid w:val="00490157"/>
    <w:rPr>
      <w:color w:val="0000FF" w:themeColor="hyperlink"/>
      <w:u w:val="single"/>
    </w:rPr>
  </w:style>
  <w:style w:type="character" w:customStyle="1" w:styleId="UnresolvedMention1">
    <w:name w:val="Unresolved Mention1"/>
    <w:basedOn w:val="DefaultParagraphFont"/>
    <w:uiPriority w:val="99"/>
    <w:semiHidden/>
    <w:unhideWhenUsed/>
    <w:rsid w:val="00490157"/>
    <w:rPr>
      <w:color w:val="605E5C"/>
      <w:shd w:val="clear" w:color="auto" w:fill="E1DFDD"/>
    </w:rPr>
  </w:style>
  <w:style w:type="character" w:customStyle="1" w:styleId="enumlev1Char">
    <w:name w:val="enumlev1 Char"/>
    <w:link w:val="enumlev1"/>
    <w:qFormat/>
    <w:locked/>
    <w:rsid w:val="00490157"/>
    <w:rPr>
      <w:rFonts w:ascii="Times New Roman" w:hAnsi="Times New Roman"/>
      <w:sz w:val="24"/>
      <w:lang w:val="en-GB" w:eastAsia="en-US"/>
    </w:rPr>
  </w:style>
  <w:style w:type="paragraph" w:customStyle="1" w:styleId="TableHead0">
    <w:name w:val="Table_Head"/>
    <w:basedOn w:val="Normal"/>
    <w:uiPriority w:val="99"/>
    <w:rsid w:val="0049015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rFonts w:eastAsia="Times New Roman"/>
      <w:b/>
      <w:sz w:val="22"/>
    </w:rPr>
  </w:style>
  <w:style w:type="table" w:customStyle="1" w:styleId="TableGrid1">
    <w:name w:val="Table Grid1"/>
    <w:basedOn w:val="TableNormal"/>
    <w:next w:val="TableGrid"/>
    <w:rsid w:val="00776C1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7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Normal"/>
    <w:rsid w:val="00043522"/>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character" w:customStyle="1" w:styleId="Artref">
    <w:name w:val="Art_ref"/>
    <w:basedOn w:val="DefaultParagraphFont"/>
    <w:uiPriority w:val="99"/>
    <w:rsid w:val="00CB5868"/>
  </w:style>
  <w:style w:type="paragraph" w:styleId="ListParagraph">
    <w:name w:val="List Paragraph"/>
    <w:aliases w:val="NUMBERED PARAGRAPH,List Paragraph 1,List Paragraph (numbered (a)),Use Case List Paragraph,References,ReferencesCxSpLast,lp1,Bullet List,FooterText,List Paragraph1,numbered,Paragraphe de liste1,Bulletr List Paragraph,Bullet 1"/>
    <w:basedOn w:val="Normal"/>
    <w:link w:val="ListParagraphChar"/>
    <w:uiPriority w:val="34"/>
    <w:qFormat/>
    <w:rsid w:val="00CB5868"/>
    <w:pPr>
      <w:tabs>
        <w:tab w:val="clear" w:pos="1134"/>
        <w:tab w:val="clear" w:pos="1871"/>
        <w:tab w:val="clear" w:pos="2268"/>
        <w:tab w:val="left" w:pos="794"/>
        <w:tab w:val="left" w:pos="1191"/>
        <w:tab w:val="left" w:pos="1588"/>
        <w:tab w:val="left" w:pos="1985"/>
      </w:tabs>
      <w:ind w:left="720"/>
      <w:contextualSpacing/>
    </w:pPr>
    <w:rPr>
      <w:rFonts w:eastAsia="Times New Roman"/>
    </w:rPr>
  </w:style>
  <w:style w:type="character" w:customStyle="1" w:styleId="ListParagraphChar">
    <w:name w:val="List Paragraph Char"/>
    <w:aliases w:val="NUMBERED PARAGRAPH Char,List Paragraph 1 Char,List Paragraph (numbered (a)) Char,Use Case List Paragraph Char,References Char,ReferencesCxSpLast Char,lp1 Char,Bullet List Char,FooterText Char,List Paragraph1 Char,numbered Char"/>
    <w:link w:val="ListParagraph"/>
    <w:uiPriority w:val="34"/>
    <w:qFormat/>
    <w:rsid w:val="00CB5868"/>
    <w:rPr>
      <w:rFonts w:ascii="Times New Roman" w:eastAsia="Times New Roman" w:hAnsi="Times New Roman"/>
      <w:sz w:val="24"/>
      <w:lang w:val="en-GB" w:eastAsia="en-US"/>
    </w:rPr>
  </w:style>
  <w:style w:type="paragraph" w:customStyle="1" w:styleId="Normalaftertitle0">
    <w:name w:val="Normal_after_title"/>
    <w:basedOn w:val="Normal"/>
    <w:next w:val="Normal"/>
    <w:rsid w:val="00CB5868"/>
    <w:pPr>
      <w:tabs>
        <w:tab w:val="clear" w:pos="1134"/>
        <w:tab w:val="clear" w:pos="1871"/>
        <w:tab w:val="clear" w:pos="2268"/>
        <w:tab w:val="left" w:pos="794"/>
        <w:tab w:val="left" w:pos="1191"/>
        <w:tab w:val="left" w:pos="1588"/>
        <w:tab w:val="left" w:pos="1985"/>
      </w:tabs>
      <w:spacing w:before="360"/>
    </w:pPr>
    <w:rPr>
      <w:rFonts w:eastAsia="Times New Roman"/>
      <w:lang w:val="fr-FR"/>
    </w:rPr>
  </w:style>
  <w:style w:type="paragraph" w:customStyle="1" w:styleId="toc0">
    <w:name w:val="toc 0"/>
    <w:basedOn w:val="Normal"/>
    <w:next w:val="TOC1"/>
    <w:uiPriority w:val="99"/>
    <w:rsid w:val="007301D4"/>
    <w:pPr>
      <w:tabs>
        <w:tab w:val="clear" w:pos="1134"/>
        <w:tab w:val="clear" w:pos="1871"/>
        <w:tab w:val="clear" w:pos="2268"/>
        <w:tab w:val="right" w:pos="9781"/>
      </w:tabs>
    </w:pPr>
    <w:rPr>
      <w:rFonts w:eastAsia="Times New Roman"/>
      <w:b/>
    </w:rPr>
  </w:style>
  <w:style w:type="paragraph" w:customStyle="1" w:styleId="a">
    <w:name w:val="¨$"/>
    <w:basedOn w:val="enumlev1"/>
    <w:rsid w:val="00DB4056"/>
    <w:pPr>
      <w:keepNext/>
      <w:keepLines/>
    </w:pPr>
  </w:style>
  <w:style w:type="paragraph" w:customStyle="1" w:styleId="Heading1Centered">
    <w:name w:val="Heading 1 Centered"/>
    <w:basedOn w:val="Heading1"/>
    <w:rsid w:val="00410954"/>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Artheading">
    <w:name w:val="Art_heading"/>
    <w:basedOn w:val="Normal"/>
    <w:next w:val="Normalaftertitle0"/>
    <w:rsid w:val="00961925"/>
    <w:pPr>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character" w:customStyle="1" w:styleId="jlqj4b">
    <w:name w:val="jlqj4b"/>
    <w:basedOn w:val="DefaultParagraphFont"/>
    <w:rsid w:val="00102905"/>
  </w:style>
  <w:style w:type="paragraph" w:customStyle="1" w:styleId="FootnoteReference12pt">
    <w:name w:val="Footnote Reference + 12 pt"/>
    <w:aliases w:val="Not Raised by / Lowered by"/>
    <w:basedOn w:val="enumlev2"/>
    <w:rsid w:val="00102905"/>
  </w:style>
  <w:style w:type="paragraph" w:customStyle="1" w:styleId="FigureNotitle">
    <w:name w:val="Figure_No &amp; title"/>
    <w:basedOn w:val="Normal"/>
    <w:next w:val="Normal"/>
    <w:qFormat/>
    <w:rsid w:val="00E51B24"/>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styleId="CommentReference">
    <w:name w:val="annotation reference"/>
    <w:basedOn w:val="DefaultParagraphFont"/>
    <w:semiHidden/>
    <w:unhideWhenUsed/>
    <w:rsid w:val="000543AF"/>
    <w:rPr>
      <w:sz w:val="16"/>
      <w:szCs w:val="16"/>
    </w:rPr>
  </w:style>
  <w:style w:type="paragraph" w:styleId="CommentText">
    <w:name w:val="annotation text"/>
    <w:basedOn w:val="Normal"/>
    <w:link w:val="CommentTextChar"/>
    <w:unhideWhenUsed/>
    <w:rsid w:val="000543AF"/>
    <w:rPr>
      <w:sz w:val="20"/>
    </w:rPr>
  </w:style>
  <w:style w:type="character" w:customStyle="1" w:styleId="CommentTextChar">
    <w:name w:val="Comment Text Char"/>
    <w:basedOn w:val="DefaultParagraphFont"/>
    <w:link w:val="CommentText"/>
    <w:rsid w:val="000543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543AF"/>
    <w:rPr>
      <w:b/>
      <w:bCs/>
    </w:rPr>
  </w:style>
  <w:style w:type="character" w:customStyle="1" w:styleId="CommentSubjectChar">
    <w:name w:val="Comment Subject Char"/>
    <w:basedOn w:val="CommentTextChar"/>
    <w:link w:val="CommentSubject"/>
    <w:semiHidden/>
    <w:rsid w:val="000543AF"/>
    <w:rPr>
      <w:rFonts w:ascii="Times New Roman" w:hAnsi="Times New Roman"/>
      <w:b/>
      <w:bCs/>
      <w:lang w:val="en-GB" w:eastAsia="en-US"/>
    </w:rPr>
  </w:style>
  <w:style w:type="paragraph" w:styleId="Revision">
    <w:name w:val="Revision"/>
    <w:hidden/>
    <w:uiPriority w:val="99"/>
    <w:semiHidden/>
    <w:rsid w:val="000543AF"/>
    <w:rPr>
      <w:rFonts w:ascii="Times New Roman" w:hAnsi="Times New Roman"/>
      <w:sz w:val="24"/>
      <w:lang w:val="en-GB" w:eastAsia="en-US"/>
    </w:rPr>
  </w:style>
  <w:style w:type="character" w:styleId="FollowedHyperlink">
    <w:name w:val="FollowedHyperlink"/>
    <w:basedOn w:val="DefaultParagraphFont"/>
    <w:semiHidden/>
    <w:unhideWhenUsed/>
    <w:rsid w:val="00F579C8"/>
    <w:rPr>
      <w:color w:val="800080" w:themeColor="followedHyperlink"/>
      <w:u w:val="single"/>
    </w:rPr>
  </w:style>
  <w:style w:type="character" w:customStyle="1" w:styleId="UnresolvedMention2">
    <w:name w:val="Unresolved Mention2"/>
    <w:basedOn w:val="DefaultParagraphFont"/>
    <w:uiPriority w:val="99"/>
    <w:semiHidden/>
    <w:unhideWhenUsed/>
    <w:rsid w:val="00DC4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20110-TD-GEN-1203" TargetMode="External"/><Relationship Id="rId21" Type="http://schemas.openxmlformats.org/officeDocument/2006/relationships/hyperlink" Target="https://www.itu.int/md/meetingdoc.asp?lang=en&amp;parent=T17-TSAG-R-0001" TargetMode="External"/><Relationship Id="rId42" Type="http://schemas.openxmlformats.org/officeDocument/2006/relationships/hyperlink" Target="https://www.itu.int/md/meetingdoc.asp?lang=en&amp;parent=T17-TSAG-210111-TD-GEN-0920" TargetMode="External"/><Relationship Id="rId63" Type="http://schemas.openxmlformats.org/officeDocument/2006/relationships/hyperlink" Target="https://www.itu.int/ifa/t/2017/ls/tsag/sp16-tsag-oLS-00048.docx" TargetMode="External"/><Relationship Id="rId84" Type="http://schemas.openxmlformats.org/officeDocument/2006/relationships/hyperlink" Target="https://www.itu.int/md/T17-TSAG-181210-TD-GEN-0315" TargetMode="External"/><Relationship Id="rId138" Type="http://schemas.openxmlformats.org/officeDocument/2006/relationships/hyperlink" Target="https://www.itu.int/ifa/t/2017/ls/tsag/sp16-tsag-oLS-00005.docx" TargetMode="External"/><Relationship Id="rId159" Type="http://schemas.openxmlformats.org/officeDocument/2006/relationships/hyperlink" Target="https://www.itu.int/md/meetingdoc.asp?lang=en&amp;parent=T17-WTSA.20-C-0024" TargetMode="External"/><Relationship Id="rId170" Type="http://schemas.openxmlformats.org/officeDocument/2006/relationships/hyperlink" Target="https://www.itu.int/md/T17-TSAG-190923-TD-GEN-0452" TargetMode="External"/><Relationship Id="rId191" Type="http://schemas.openxmlformats.org/officeDocument/2006/relationships/hyperlink" Target="https://www.itu.int/md/T17-TSAG-C-0115" TargetMode="External"/><Relationship Id="rId107" Type="http://schemas.openxmlformats.org/officeDocument/2006/relationships/hyperlink" Target="https://www.itu.int/md/meetingdoc.asp?lang=en&amp;parent=T17-TSAG-210111-TD-GEN-0928" TargetMode="External"/><Relationship Id="rId11" Type="http://schemas.openxmlformats.org/officeDocument/2006/relationships/hyperlink" Target="https://www.itu.int/md/meetingdoc.asp?lang=en&amp;parent=T17-TSAG-R-0002" TargetMode="External"/><Relationship Id="rId32" Type="http://schemas.openxmlformats.org/officeDocument/2006/relationships/hyperlink" Target="https://www.itu.int/md/T17-TSAG-190923-TD-GEN-0577" TargetMode="External"/><Relationship Id="rId53" Type="http://schemas.openxmlformats.org/officeDocument/2006/relationships/hyperlink" Target="https://www.itu.int/md/meetingdoc.asp?lang=en&amp;parent=T17-TSAG-220110-TD-GEN-1202" TargetMode="External"/><Relationship Id="rId74" Type="http://schemas.openxmlformats.org/officeDocument/2006/relationships/hyperlink" Target="https://www.itu.int/md/meetingdoc.asp?lang=en&amp;parent=T17-TSAG-180226-TD-GEN-0131" TargetMode="External"/><Relationship Id="rId128" Type="http://schemas.openxmlformats.org/officeDocument/2006/relationships/hyperlink" Target="https://www.itu.int/md/meetingdoc.asp?lang=en&amp;parent=T17-TSAG-211025-TD-GEN-1077" TargetMode="External"/><Relationship Id="rId149" Type="http://schemas.openxmlformats.org/officeDocument/2006/relationships/hyperlink" Target="https://www.itu.int/ifa/t/2017/ls/tsag/sp16-tsag-oLS-00050.docx" TargetMode="External"/><Relationship Id="rId5" Type="http://schemas.openxmlformats.org/officeDocument/2006/relationships/webSettings" Target="webSettings.xml"/><Relationship Id="rId95" Type="http://schemas.openxmlformats.org/officeDocument/2006/relationships/hyperlink" Target="https://www.itu.int/md/meetingdoc.asp?lang=en&amp;parent=T17-TSAG-181210-TD-GEN-0316" TargetMode="External"/><Relationship Id="rId160" Type="http://schemas.openxmlformats.org/officeDocument/2006/relationships/hyperlink" Target="https://www.itu.int/md/meetingdoc.asp?lang=en&amp;parent=T17-TSAG-220110-TD-GEN-1233" TargetMode="External"/><Relationship Id="rId181" Type="http://schemas.openxmlformats.org/officeDocument/2006/relationships/hyperlink" Target="https://www.itu.int/md/T17-TSAG-190923-TD-GEN-0510" TargetMode="External"/><Relationship Id="rId22" Type="http://schemas.openxmlformats.org/officeDocument/2006/relationships/hyperlink" Target="https://www.itu.int/md/meetingdoc.asp?lang=en&amp;parent=T17-TSAG-R-0012" TargetMode="External"/><Relationship Id="rId43" Type="http://schemas.openxmlformats.org/officeDocument/2006/relationships/hyperlink" Target="https://www.itu.int/md/meetingdoc.asp?lang=en&amp;parent=T17-TSAG-211025-TD-GEN-1023" TargetMode="External"/><Relationship Id="rId64" Type="http://schemas.openxmlformats.org/officeDocument/2006/relationships/hyperlink" Target="https://www.itu.int/net/itu-t/ls/ls.aspx?isn=26456" TargetMode="External"/><Relationship Id="rId118" Type="http://schemas.openxmlformats.org/officeDocument/2006/relationships/hyperlink" Target="https://www.itu.int/md/meetingdoc.asp?lang=en&amp;parent=T17-TSAG-170501-TD-GEN-0084" TargetMode="External"/><Relationship Id="rId139" Type="http://schemas.openxmlformats.org/officeDocument/2006/relationships/hyperlink" Target="https://www.itu.int/md/meetingdoc.asp?lang=en&amp;parent=T17-TSAG-R-0008" TargetMode="External"/><Relationship Id="rId85" Type="http://schemas.openxmlformats.org/officeDocument/2006/relationships/hyperlink" Target="https://www.itu.int/md/T17-TSAG-200210-TD-GEN-0675" TargetMode="External"/><Relationship Id="rId150" Type="http://schemas.openxmlformats.org/officeDocument/2006/relationships/hyperlink" Target="https://www.itu.int/ifa/t/2017/ls/tsag/sp16-tsag-oLS-00050.docx" TargetMode="External"/><Relationship Id="rId171" Type="http://schemas.openxmlformats.org/officeDocument/2006/relationships/hyperlink" Target="https://www.itu.int/md/T17-TSAG-190923-TD-GEN-0453" TargetMode="External"/><Relationship Id="rId192" Type="http://schemas.openxmlformats.org/officeDocument/2006/relationships/hyperlink" Target="https://www.itu.int/md/T17-TSAG-C-0115" TargetMode="External"/><Relationship Id="rId12" Type="http://schemas.openxmlformats.org/officeDocument/2006/relationships/hyperlink" Target="https://www.itu.int/md/meetingdoc.asp?lang=en&amp;parent=T17-TSAG-R-0003" TargetMode="External"/><Relationship Id="rId33" Type="http://schemas.openxmlformats.org/officeDocument/2006/relationships/hyperlink" Target="https://www.itu.int/md/meetingdoc.asp?lang=en&amp;parent=T17-TSAG-200210-TD-GEN-0766" TargetMode="External"/><Relationship Id="rId108" Type="http://schemas.openxmlformats.org/officeDocument/2006/relationships/hyperlink" Target="https://www.itu.int/md/meetingdoc.asp?lang=en&amp;parent=T17-TSAG-211025-TD-GEN-1027" TargetMode="External"/><Relationship Id="rId129" Type="http://schemas.openxmlformats.org/officeDocument/2006/relationships/hyperlink" Target="https://www.itu.int/md/T17-TSAG-211025-TD-GEN-1078/en" TargetMode="External"/><Relationship Id="rId54" Type="http://schemas.openxmlformats.org/officeDocument/2006/relationships/hyperlink" Target="https://www.itu.int/md/meetingdoc.asp?lang=en&amp;parent=T17-TSAG-170501-TD-GEN-0086" TargetMode="External"/><Relationship Id="rId75" Type="http://schemas.openxmlformats.org/officeDocument/2006/relationships/hyperlink" Target="https://extranet.itu.int/sites/itu-t/studygroups/2017-2020/tsag/strategy/SitePages/Home.aspx" TargetMode="External"/><Relationship Id="rId96" Type="http://schemas.openxmlformats.org/officeDocument/2006/relationships/hyperlink" Target="https://www.itu.int/md/T17-TSAG-190923-TD-GEN-0491/en" TargetMode="External"/><Relationship Id="rId140" Type="http://schemas.openxmlformats.org/officeDocument/2006/relationships/hyperlink" Target="https://www.itu.int/md/meetingdoc.asp?lang=en&amp;parent=T17-TSAG-220110-TD-GEN-1192" TargetMode="External"/><Relationship Id="rId161" Type="http://schemas.openxmlformats.org/officeDocument/2006/relationships/hyperlink" Target="https://www.itu.int/md/meetingdoc.asp?lang=en&amp;parent=T17-WTSA.20-C-0024" TargetMode="External"/><Relationship Id="rId182" Type="http://schemas.openxmlformats.org/officeDocument/2006/relationships/hyperlink" Target="https://www.itu.int/md/T17-TSAG-190923-TD-GEN-0551" TargetMode="External"/><Relationship Id="rId6" Type="http://schemas.openxmlformats.org/officeDocument/2006/relationships/footnotes" Target="footnotes.xml"/><Relationship Id="rId23" Type="http://schemas.openxmlformats.org/officeDocument/2006/relationships/hyperlink" Target="https://www.itu.int/md/meetingdoc.asp?lang=en&amp;parent=T17-TSAG-R-0012" TargetMode="External"/><Relationship Id="rId119" Type="http://schemas.openxmlformats.org/officeDocument/2006/relationships/hyperlink" Target="https://www.itu.int/md/meetingdoc.asp?lang=en&amp;parent=T17-TSAG-180226-TD-GEN-0137" TargetMode="External"/><Relationship Id="rId44" Type="http://schemas.openxmlformats.org/officeDocument/2006/relationships/hyperlink" Target="https://www.itu.int/md/meetingdoc.asp?lang=en&amp;parent=T17-TSAG-220110-TD-GEN-1178" TargetMode="External"/><Relationship Id="rId65" Type="http://schemas.openxmlformats.org/officeDocument/2006/relationships/hyperlink" Target="https://www.sae.org/" TargetMode="External"/><Relationship Id="rId86" Type="http://schemas.openxmlformats.org/officeDocument/2006/relationships/hyperlink" Target="https://www.itu.int/md/T17-TSAG-190923-TD-GEN-0489" TargetMode="External"/><Relationship Id="rId130" Type="http://schemas.openxmlformats.org/officeDocument/2006/relationships/hyperlink" Target="https://www.itu.int/md/meetingdoc.asp?lang=en&amp;parent=T17-TSAG-220110-TD-GEN-1237" TargetMode="External"/><Relationship Id="rId151" Type="http://schemas.openxmlformats.org/officeDocument/2006/relationships/hyperlink" Target="https://www.itu.int/md/meetingdoc.asp?lang=en&amp;parent=T17-WTSA.20-C-0025" TargetMode="External"/><Relationship Id="rId172" Type="http://schemas.openxmlformats.org/officeDocument/2006/relationships/hyperlink" Target="https://www.itu.int/md/T17-TSAG-200210-TD-GEN-0644" TargetMode="External"/><Relationship Id="rId193" Type="http://schemas.openxmlformats.org/officeDocument/2006/relationships/hyperlink" Target="https://www.itu.int/md/T17-TSAG-190923-TD-GEN-0577" TargetMode="External"/><Relationship Id="rId13" Type="http://schemas.openxmlformats.org/officeDocument/2006/relationships/hyperlink" Target="https://www.itu.int/md/meetingdoc.asp?lang=en&amp;parent=T17-TSAG-R-0007" TargetMode="External"/><Relationship Id="rId109" Type="http://schemas.openxmlformats.org/officeDocument/2006/relationships/hyperlink" Target="https://www.itu.int/md/meetingdoc.asp?lang=en&amp;parent=T17-TSAG-220110-TD-GEN-1182" TargetMode="External"/><Relationship Id="rId34" Type="http://schemas.openxmlformats.org/officeDocument/2006/relationships/hyperlink" Target="https://extranet.itu.int/sites/itu-t/studygroups/2017-2020/tsag/resolutions/SitePages/ToR.aspx" TargetMode="External"/><Relationship Id="rId55" Type="http://schemas.openxmlformats.org/officeDocument/2006/relationships/hyperlink" Target="https://www.itu.int/md/meetingdoc.asp?lang=en&amp;parent=T17-TSAG-180226-TD-GEN-0129" TargetMode="External"/><Relationship Id="rId76" Type="http://schemas.openxmlformats.org/officeDocument/2006/relationships/hyperlink" Target="https://www.itu.int/md/meetingdoc.asp?lang=en&amp;parent=T17-TSAG-180226-TD-GEN-0215" TargetMode="External"/><Relationship Id="rId97" Type="http://schemas.openxmlformats.org/officeDocument/2006/relationships/hyperlink" Target="https://www.itu.int/md/meetingdoc.asp?lang=en&amp;parent=T17-TSAG-200210-TD-GEN-0676" TargetMode="External"/><Relationship Id="rId120" Type="http://schemas.openxmlformats.org/officeDocument/2006/relationships/hyperlink" Target="https://www.itu.int/md/meetingdoc.asp?lang=en&amp;parent=T17-TSAG-181210-TD-GEN-0290" TargetMode="External"/><Relationship Id="rId141" Type="http://schemas.openxmlformats.org/officeDocument/2006/relationships/hyperlink" Target="https://www.itu.int/ifa/t/2017/ls/tsag/sp16-tsag-oLS-00046.docx" TargetMode="External"/><Relationship Id="rId7" Type="http://schemas.openxmlformats.org/officeDocument/2006/relationships/endnotes" Target="endnotes.xml"/><Relationship Id="rId162" Type="http://schemas.openxmlformats.org/officeDocument/2006/relationships/hyperlink" Target="https://www.itu.int/md/meetingdoc.asp?lang=en&amp;parent=T17-TSAG-220110-TD-GEN-1230" TargetMode="External"/><Relationship Id="rId183" Type="http://schemas.openxmlformats.org/officeDocument/2006/relationships/hyperlink" Target="https://www.itu.int/md/T17-TSAG-190923-TD-GEN-0621"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190923-TD-GEN-0453" TargetMode="External"/><Relationship Id="rId24" Type="http://schemas.openxmlformats.org/officeDocument/2006/relationships/hyperlink" Target="https://www.itu.int/md/T17-TSAG-R-0012/en" TargetMode="External"/><Relationship Id="rId40" Type="http://schemas.openxmlformats.org/officeDocument/2006/relationships/hyperlink" Target="https://www.itu.int/md/meetingdoc.asp?lang=en&amp;parent=T17-TSAG-190923-TD-GEN-0455" TargetMode="External"/><Relationship Id="rId45" Type="http://schemas.openxmlformats.org/officeDocument/2006/relationships/hyperlink" Target="https://www.itu.int/net/ITU-T/ls/ls.aspx?isn=22627" TargetMode="External"/><Relationship Id="rId66" Type="http://schemas.openxmlformats.org/officeDocument/2006/relationships/hyperlink" Target="https://www.jedec.org/" TargetMode="External"/><Relationship Id="rId87" Type="http://schemas.openxmlformats.org/officeDocument/2006/relationships/hyperlink" Target="https://www.itu.int/md/meetingdoc.asp?lang=en&amp;parent=T17-TSAG-200921-TD-GEN-0810" TargetMode="External"/><Relationship Id="rId110" Type="http://schemas.openxmlformats.org/officeDocument/2006/relationships/hyperlink" Target="https://www.itu.int/md/meetingdoc.asp?lang=en&amp;parent=T17-WTSA.20-C-0024" TargetMode="External"/><Relationship Id="rId115" Type="http://schemas.openxmlformats.org/officeDocument/2006/relationships/hyperlink" Target="https://www.itu.int/md/T17-TSAG-210111-TD-GEN-0958" TargetMode="External"/><Relationship Id="rId131" Type="http://schemas.openxmlformats.org/officeDocument/2006/relationships/hyperlink" Target="https://www.itu.int/md/T17-TSAG-R-0001/fr" TargetMode="External"/><Relationship Id="rId136" Type="http://schemas.openxmlformats.org/officeDocument/2006/relationships/hyperlink" Target="https://www.itu.int/ifa/t/2017/ls/tsag/sp16-tsag-oLS-00024.docx" TargetMode="External"/><Relationship Id="rId157" Type="http://schemas.openxmlformats.org/officeDocument/2006/relationships/hyperlink" Target="https://www.itu.int/md/meetingdoc.asp?lang=en&amp;parent=T17-WTSA.20-C-0024" TargetMode="External"/><Relationship Id="rId178" Type="http://schemas.openxmlformats.org/officeDocument/2006/relationships/hyperlink" Target="https://www.itu.int/md/T17-TSAG-190923-TD-GEN-0562" TargetMode="External"/><Relationship Id="rId61" Type="http://schemas.openxmlformats.org/officeDocument/2006/relationships/hyperlink" Target="https://www.itu.int/md/meetingdoc.asp?lang=en&amp;parent=T17-TSAG-211025-TD-GEN-1025" TargetMode="External"/><Relationship Id="rId82" Type="http://schemas.openxmlformats.org/officeDocument/2006/relationships/hyperlink" Target="https://www.itu.int/md/meetingdoc.asp?lang=en&amp;parent=T17-TSAG-211025-TD-GEN-1052" TargetMode="External"/><Relationship Id="rId152" Type="http://schemas.openxmlformats.org/officeDocument/2006/relationships/hyperlink" Target="https://www.itu.int/md/meetingdoc.asp?lang=en&amp;parent=T17-TSAG-220110-TD-GEN-1244" TargetMode="External"/><Relationship Id="rId173" Type="http://schemas.openxmlformats.org/officeDocument/2006/relationships/hyperlink" Target="https://www.itu.int/md/T17-TSAG-200210-TD-GEN-0645" TargetMode="External"/><Relationship Id="rId194" Type="http://schemas.openxmlformats.org/officeDocument/2006/relationships/hyperlink" Target="about:blank" TargetMode="External"/><Relationship Id="rId199" Type="http://schemas.openxmlformats.org/officeDocument/2006/relationships/footer" Target="footer3.xml"/><Relationship Id="rId19" Type="http://schemas.openxmlformats.org/officeDocument/2006/relationships/hyperlink" Target="https://www.itu.int/md/meetingdoc.asp?lang=en&amp;parent=T17-TSAG-R-0023" TargetMode="External"/><Relationship Id="rId14" Type="http://schemas.openxmlformats.org/officeDocument/2006/relationships/hyperlink" Target="https://www.itu.int/md/meetingdoc.asp?lang=en&amp;parent=T17-TSAG-R-0008" TargetMode="External"/><Relationship Id="rId30" Type="http://schemas.openxmlformats.org/officeDocument/2006/relationships/hyperlink" Target="https://www.itu.int/md/meetingdoc.asp?lang=en&amp;parent=T17-TSAG-200210-TD-GEN-0645" TargetMode="External"/><Relationship Id="rId35" Type="http://schemas.openxmlformats.org/officeDocument/2006/relationships/hyperlink" Target="https://www.itu.int/md/meetingdoc.asp?lang=en&amp;parent=T17-TSAG-200921-TD-GEN-0813" TargetMode="External"/><Relationship Id="rId56" Type="http://schemas.openxmlformats.org/officeDocument/2006/relationships/hyperlink" Target="https://www.itu.int/md/meetingdoc.asp?lang=en&amp;parent=T17-TSAG-181210-TD-GEN-0282" TargetMode="External"/><Relationship Id="rId77" Type="http://schemas.openxmlformats.org/officeDocument/2006/relationships/hyperlink" Target="https://www.itu.int/md/T17-TSAG-181210-TD-GEN-0315" TargetMode="External"/><Relationship Id="rId100" Type="http://schemas.openxmlformats.org/officeDocument/2006/relationships/hyperlink" Target="https://www.itu.int/md/meetingdoc.asp?lang=en&amp;parent=T17-TSAG-220110-TD-GEN-1201" TargetMode="External"/><Relationship Id="rId105" Type="http://schemas.openxmlformats.org/officeDocument/2006/relationships/hyperlink" Target="https://www.itu.int/md/meetingdoc.asp?lang=en&amp;parent=T17-TSAG-200210-TD-GEN-0653" TargetMode="External"/><Relationship Id="rId126" Type="http://schemas.openxmlformats.org/officeDocument/2006/relationships/hyperlink" Target="https://www.itu.int/md/meetingdoc.asp?lang=en&amp;parent=T17-TSAG-220110-TD-GEN-1184" TargetMode="External"/><Relationship Id="rId147" Type="http://schemas.openxmlformats.org/officeDocument/2006/relationships/hyperlink" Target="https://www.itu.int/md/meetingdoc.asp?lang=en&amp;parent=T17-TSAG-220110-TD-GEN-1251" TargetMode="External"/><Relationship Id="rId168" Type="http://schemas.openxmlformats.org/officeDocument/2006/relationships/hyperlink" Target="https://www.itu.int/md/T17-TSAG-181210-TD-GEN-0428" TargetMode="External"/><Relationship Id="rId8" Type="http://schemas.openxmlformats.org/officeDocument/2006/relationships/image" Target="media/image1.jpeg"/><Relationship Id="rId51" Type="http://schemas.openxmlformats.org/officeDocument/2006/relationships/hyperlink" Target="https://www.itu.int/md/meetingdoc.asp?lang=en&amp;parent=T17-TSAG-210111-TD-GEN-0953" TargetMode="External"/><Relationship Id="rId72" Type="http://schemas.openxmlformats.org/officeDocument/2006/relationships/hyperlink" Target="https://www.itu.int/md/T17-TSAG-210111-TD-GEN-0956" TargetMode="External"/><Relationship Id="rId93" Type="http://schemas.openxmlformats.org/officeDocument/2006/relationships/hyperlink" Target="https://extranet.itu.int/sites/itu-t/studygroups/2017-2020/tsag/wm/SitePages/Home.aspx" TargetMode="External"/><Relationship Id="rId98" Type="http://schemas.openxmlformats.org/officeDocument/2006/relationships/hyperlink" Target="https://www.itu.int/md/T17-TSAG-200921-TD-GEN-0811" TargetMode="External"/><Relationship Id="rId121" Type="http://schemas.openxmlformats.org/officeDocument/2006/relationships/hyperlink" Target="https://www.itu.int/md/meetingdoc.asp?lang=en&amp;parent=T17-TSAG-190923-TD-GEN-0465" TargetMode="External"/><Relationship Id="rId142" Type="http://schemas.openxmlformats.org/officeDocument/2006/relationships/hyperlink" Target="https://www.itu.int/md/S17-CL-C-0127/fr" TargetMode="External"/><Relationship Id="rId163" Type="http://schemas.openxmlformats.org/officeDocument/2006/relationships/hyperlink" Target="https://www.itu.int/md/T17-TSAG-181210-TD-GEN-0429" TargetMode="External"/><Relationship Id="rId184" Type="http://schemas.openxmlformats.org/officeDocument/2006/relationships/hyperlink" Target="https://www.itu.int/md/T17-TSAG-190923-TD-GEN-0621" TargetMode="External"/><Relationship Id="rId189" Type="http://schemas.openxmlformats.org/officeDocument/2006/relationships/hyperlink" Target="https://www.itu.int/md/T17-TSAG-200210-TD-GEN-0707" TargetMode="External"/><Relationship Id="rId3" Type="http://schemas.openxmlformats.org/officeDocument/2006/relationships/styles" Target="styles.xml"/><Relationship Id="rId25" Type="http://schemas.openxmlformats.org/officeDocument/2006/relationships/hyperlink" Target="https://www.itu.int/md/meetingdoc.asp?lang=en&amp;parent=T17-TSAG-220110-TD-GEN-1204" TargetMode="External"/><Relationship Id="rId46" Type="http://schemas.openxmlformats.org/officeDocument/2006/relationships/hyperlink" Target="https://www.itu.int/md/meetingdoc.asp?lang=en&amp;parent=T17-TSAG-220110-TD-GEN-1230" TargetMode="External"/><Relationship Id="rId67" Type="http://schemas.openxmlformats.org/officeDocument/2006/relationships/hyperlink" Target="https://www.3gpp.org/" TargetMode="External"/><Relationship Id="rId116" Type="http://schemas.openxmlformats.org/officeDocument/2006/relationships/hyperlink" Target="https://www.itu.int/md/T17-TSAG-211025-TD-GEN-1055/en" TargetMode="External"/><Relationship Id="rId137" Type="http://schemas.openxmlformats.org/officeDocument/2006/relationships/hyperlink" Target="https://www.itu.int/md/T17-TSAG-170501-TD-GEN-0036" TargetMode="External"/><Relationship Id="rId158" Type="http://schemas.openxmlformats.org/officeDocument/2006/relationships/hyperlink" Target="https://www.itu.int/md/meetingdoc.asp?lang=en&amp;parent=T17-TSAG-220110-TD-GEN-1233" TargetMode="External"/><Relationship Id="rId20" Type="http://schemas.openxmlformats.org/officeDocument/2006/relationships/hyperlink" Target="https://www.itu.int/md/meetingdoc.asp?lang=en&amp;parent=T17-TSAG-R-0024" TargetMode="External"/><Relationship Id="rId41" Type="http://schemas.openxmlformats.org/officeDocument/2006/relationships/hyperlink" Target="https://www.itu.int/md/meetingdoc.asp?lang=en&amp;parent=T17-TSAG-200210-TD-GEN-0647" TargetMode="External"/><Relationship Id="rId62" Type="http://schemas.openxmlformats.org/officeDocument/2006/relationships/hyperlink" Target="https://www.itu.int/md/meetingdoc.asp?lang=en&amp;parent=T17-TSAG-220110-TD-GEN-1180" TargetMode="External"/><Relationship Id="rId83" Type="http://schemas.openxmlformats.org/officeDocument/2006/relationships/hyperlink" Target="https://www.itu.int/md/meetingdoc.asp?lang=en&amp;parent=T17-TSAG-180226-TD-GEN-0215" TargetMode="External"/><Relationship Id="rId88" Type="http://schemas.openxmlformats.org/officeDocument/2006/relationships/hyperlink" Target="https://www.itu.int/md/meetingdoc.asp?lang=en&amp;parent=T17-TSAG-210111-TD-GEN-0951" TargetMode="External"/><Relationship Id="rId111" Type="http://schemas.openxmlformats.org/officeDocument/2006/relationships/hyperlink" Target="https://www.itu.int/md/meetingdoc.asp?lang=en&amp;parent=T17-WTSA.20-C-0025" TargetMode="External"/><Relationship Id="rId132" Type="http://schemas.openxmlformats.org/officeDocument/2006/relationships/hyperlink" Target="https://www.itu.int/md/T17-TSAG-190923-TD-GEN-0476" TargetMode="External"/><Relationship Id="rId153" Type="http://schemas.openxmlformats.org/officeDocument/2006/relationships/hyperlink" Target="https://www.itu.int/md/meetingdoc.asp?lang=en&amp;parent=T17-WTSA.20-C-0025" TargetMode="External"/><Relationship Id="rId174" Type="http://schemas.openxmlformats.org/officeDocument/2006/relationships/hyperlink" Target="https://www.itu.int/ifa/t/2017/ls/tsag/sp16-tsag-oLS-00018.doc" TargetMode="External"/><Relationship Id="rId179" Type="http://schemas.openxmlformats.org/officeDocument/2006/relationships/hyperlink" Target="https://www.itu.int/md/T17-TSAG-190923-TD-GEN-0519" TargetMode="External"/><Relationship Id="rId195" Type="http://schemas.openxmlformats.org/officeDocument/2006/relationships/image" Target="media/image2.png"/><Relationship Id="rId190" Type="http://schemas.openxmlformats.org/officeDocument/2006/relationships/hyperlink" Target="https://www.itu.int/md/T17-TSAG-C-0113" TargetMode="External"/><Relationship Id="rId15" Type="http://schemas.openxmlformats.org/officeDocument/2006/relationships/hyperlink" Target="https://www.itu.int/md/meetingdoc.asp?lang=en&amp;parent=T17-TSAG-R-0009" TargetMode="External"/><Relationship Id="rId36" Type="http://schemas.openxmlformats.org/officeDocument/2006/relationships/hyperlink" Target="https://www.itu.int/md/meetingdoc.asp?lang=en&amp;parent=T17-TSAG-210111-TD-GEN-0955" TargetMode="External"/><Relationship Id="rId57" Type="http://schemas.openxmlformats.org/officeDocument/2006/relationships/hyperlink" Target="https://www.itu.int/md/meetingdoc.asp?lang=en&amp;parent=T17-TSAG-190923-TD-GEN-0457" TargetMode="External"/><Relationship Id="rId106" Type="http://schemas.openxmlformats.org/officeDocument/2006/relationships/hyperlink" Target="https://www.itu.int/md/meetingdoc.asp?lang=en&amp;parent=T17-TSAG-200921-TD-GEN-0785" TargetMode="External"/><Relationship Id="rId127" Type="http://schemas.openxmlformats.org/officeDocument/2006/relationships/hyperlink" Target="https://www.itu.int/md/meetingdoc.asp?lang=en&amp;parent=T17-TSAG-220110-TD-GEN-1310" TargetMode="External"/><Relationship Id="rId10" Type="http://schemas.openxmlformats.org/officeDocument/2006/relationships/hyperlink" Target="https://www.itu.int/md/meetingdoc.asp?lang=en&amp;parent=T17-TSAG-R-0001" TargetMode="External"/><Relationship Id="rId31" Type="http://schemas.openxmlformats.org/officeDocument/2006/relationships/hyperlink" Target="https://www.itu.int/md/meetingdoc.asp?lang=en&amp;parent=T17-TSAG-200210-TD-GEN-0766" TargetMode="External"/><Relationship Id="rId52" Type="http://schemas.openxmlformats.org/officeDocument/2006/relationships/hyperlink" Target="https://www.itu.int/md/meetingdoc.asp?lang=en&amp;parent=T17-TSAG-211025-TD-GEN-1054" TargetMode="External"/><Relationship Id="rId73" Type="http://schemas.openxmlformats.org/officeDocument/2006/relationships/hyperlink" Target="https://www.itu.int/md/meetingdoc.asp?lang=en&amp;parent=T17-TSAG-170501-TD-GEN-0087" TargetMode="External"/><Relationship Id="rId78" Type="http://schemas.openxmlformats.org/officeDocument/2006/relationships/hyperlink" Target="https://www.itu.int/md/T17-TSAG-200210-TD-GEN-0675" TargetMode="External"/><Relationship Id="rId94" Type="http://schemas.openxmlformats.org/officeDocument/2006/relationships/hyperlink" Target="https://www.itu.int/md/meetingdoc.asp?lang=en&amp;parent=T17-TSAG-180226-TD-GEN-0161" TargetMode="External"/><Relationship Id="rId99" Type="http://schemas.openxmlformats.org/officeDocument/2006/relationships/hyperlink" Target="https://www.itu.int/md/T17-TSAG-210111-TD-GEN-0952" TargetMode="External"/><Relationship Id="rId101" Type="http://schemas.openxmlformats.org/officeDocument/2006/relationships/hyperlink" Target="https://www.itu.int/md/meetingdoc.asp?lang=en&amp;parent=T17-TSAG-170501-TD-GEN-0085" TargetMode="External"/><Relationship Id="rId122" Type="http://schemas.openxmlformats.org/officeDocument/2006/relationships/hyperlink" Target="https://www.itu.int/md/meetingdoc.asp?lang=en&amp;parent=T17-TSAG-200210-TD-GEN-0655" TargetMode="External"/><Relationship Id="rId143" Type="http://schemas.openxmlformats.org/officeDocument/2006/relationships/hyperlink" Target="https://www.itu.int/dms_ties/itu-t/oth/04/02/T04020000280001PDFE.pdf" TargetMode="External"/><Relationship Id="rId148" Type="http://schemas.openxmlformats.org/officeDocument/2006/relationships/hyperlink" Target="https://www.itu.int/md/T17-TSAG-210111-TD-GEN-1014/en" TargetMode="External"/><Relationship Id="rId164" Type="http://schemas.openxmlformats.org/officeDocument/2006/relationships/hyperlink" Target="https://www.itu.int/md/T17-TSAG-C-0055" TargetMode="External"/><Relationship Id="rId169" Type="http://schemas.openxmlformats.org/officeDocument/2006/relationships/hyperlink" Target="https://www.itu.int/md/T17-TSAG-181210-TD-GEN-0284" TargetMode="External"/><Relationship Id="rId185" Type="http://schemas.openxmlformats.org/officeDocument/2006/relationships/hyperlink" Target="https://www.itu.int/md/T17-TSAG-C-0079"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80" Type="http://schemas.openxmlformats.org/officeDocument/2006/relationships/hyperlink" Target="https://www.itu.int/md/T17-TSAG-190923-TD-GEN-0541" TargetMode="External"/><Relationship Id="rId26" Type="http://schemas.openxmlformats.org/officeDocument/2006/relationships/hyperlink" Target="https://www.itu.int/en/ITU-T/tsag/2017-2020/Pages/Rapporteur-Groups.aspx" TargetMode="External"/><Relationship Id="rId47" Type="http://schemas.openxmlformats.org/officeDocument/2006/relationships/hyperlink" Target="https://extranet.itu.int/sites/itu-t/wtsa-20/prepmeet/Lists/ContactSheet/DefViewContacts.aspx" TargetMode="External"/><Relationship Id="rId68" Type="http://schemas.openxmlformats.org/officeDocument/2006/relationships/hyperlink" Target="https://tsdsi.in/" TargetMode="External"/><Relationship Id="rId89" Type="http://schemas.openxmlformats.org/officeDocument/2006/relationships/hyperlink" Target="https://www.itu.int/md/meetingdoc.asp?lang=en&amp;parent=T17-TSAG-211025-TD-GEN-1052" TargetMode="External"/><Relationship Id="rId112" Type="http://schemas.openxmlformats.org/officeDocument/2006/relationships/hyperlink" Target="https://extranet.itu.int/sites/itu-t/studygroups/2017-2020/tsag/wp/SitePages/ToR.aspx" TargetMode="External"/><Relationship Id="rId133" Type="http://schemas.openxmlformats.org/officeDocument/2006/relationships/hyperlink" Target="https://www.itu.int/net/itu-t/ls/ls.aspx?isn=22345" TargetMode="External"/><Relationship Id="rId154" Type="http://schemas.openxmlformats.org/officeDocument/2006/relationships/hyperlink" Target="https://www.itu.int/md/meetingdoc.asp?lang=en&amp;parent=T17-TSAG-220110-TD-GEN-1241" TargetMode="External"/><Relationship Id="rId175" Type="http://schemas.openxmlformats.org/officeDocument/2006/relationships/hyperlink" Target="https://www.itu.int/md/T17-TSAG-190923-TD-GEN-0581" TargetMode="External"/><Relationship Id="rId196" Type="http://schemas.openxmlformats.org/officeDocument/2006/relationships/header" Target="header1.xml"/><Relationship Id="rId200" Type="http://schemas.openxmlformats.org/officeDocument/2006/relationships/fontTable" Target="fontTable.xml"/><Relationship Id="rId16" Type="http://schemas.openxmlformats.org/officeDocument/2006/relationships/hyperlink" Target="https://www.itu.int/md/meetingdoc.asp?lang=en&amp;parent=T17-TSAG-R-0010" TargetMode="External"/><Relationship Id="rId37" Type="http://schemas.openxmlformats.org/officeDocument/2006/relationships/hyperlink" Target="https://www.itu.int/md/meetingdoc.asp?lang=en&amp;parent=T17-TSAG-220110-TD-GEN-1230" TargetMode="External"/><Relationship Id="rId58" Type="http://schemas.openxmlformats.org/officeDocument/2006/relationships/hyperlink" Target="https://www.itu.int/md/meetingdoc.asp?lang=en&amp;parent=T17-TSAG-200210-TD-GEN-0649" TargetMode="External"/><Relationship Id="rId79" Type="http://schemas.openxmlformats.org/officeDocument/2006/relationships/hyperlink" Target="https://www.itu.int/md/T17-TSAG-190923-TD-GEN-0489" TargetMode="External"/><Relationship Id="rId102" Type="http://schemas.openxmlformats.org/officeDocument/2006/relationships/hyperlink" Target="https://www.itu.int/md/meetingdoc.asp?lang=en&amp;parent=T17-TSAG-180226-TD-GEN-0135" TargetMode="External"/><Relationship Id="rId123" Type="http://schemas.openxmlformats.org/officeDocument/2006/relationships/hyperlink" Target="https://www.itu.int/md/meetingdoc.asp?lang=en&amp;parent=T17-TSAG-200921-TD-GEN-0787" TargetMode="External"/><Relationship Id="rId144" Type="http://schemas.openxmlformats.org/officeDocument/2006/relationships/hyperlink" Target="https://www.itu.int/dms_ties/itu-t/oth/04/02/T04020000290001PDFE.pdf" TargetMode="External"/><Relationship Id="rId90" Type="http://schemas.openxmlformats.org/officeDocument/2006/relationships/hyperlink" Target="https://www.itu.int/md/T17-TSAG-200921-TD-GEN-0846/en" TargetMode="External"/><Relationship Id="rId165" Type="http://schemas.openxmlformats.org/officeDocument/2006/relationships/hyperlink" Target="https://www.itu.int/md/T17-TSAG-C-0056" TargetMode="External"/><Relationship Id="rId186" Type="http://schemas.openxmlformats.org/officeDocument/2006/relationships/hyperlink" Target="https://www.itu.int/md/T17-TSAG-C-0080" TargetMode="External"/><Relationship Id="rId27" Type="http://schemas.openxmlformats.org/officeDocument/2006/relationships/hyperlink" Target="https://extranet.itu.int/sites/itu-t/studygroups/2017-2020/tsag/cptrg/SitePages/ToR.aspx" TargetMode="External"/><Relationship Id="rId48" Type="http://schemas.openxmlformats.org/officeDocument/2006/relationships/hyperlink" Target="https://www.itu.int/md/meetingdoc.asp?lang=en&amp;parent=T17-TSAG-220110-TD-GEN-1224" TargetMode="External"/><Relationship Id="rId69" Type="http://schemas.openxmlformats.org/officeDocument/2006/relationships/hyperlink" Target="https://lora-alliance.org/" TargetMode="External"/><Relationship Id="rId113" Type="http://schemas.openxmlformats.org/officeDocument/2006/relationships/hyperlink" Target="https://www.itu.int/md/T17-TSAG-200921-TD-GEN-0812" TargetMode="External"/><Relationship Id="rId134" Type="http://schemas.openxmlformats.org/officeDocument/2006/relationships/hyperlink" Target="https://www.itu.int/md/T17-TSAG-R-0001/fr" TargetMode="External"/><Relationship Id="rId80" Type="http://schemas.openxmlformats.org/officeDocument/2006/relationships/hyperlink" Target="https://www.itu.int/md/meetingdoc.asp?lang=en&amp;parent=T17-TSAG-200921-TD-GEN-0810" TargetMode="External"/><Relationship Id="rId155" Type="http://schemas.openxmlformats.org/officeDocument/2006/relationships/hyperlink" Target="https://www.itu.int/md/meetingdoc.asp?lang=en&amp;parent=T17-WTSA.20-C-0024" TargetMode="External"/><Relationship Id="rId176" Type="http://schemas.openxmlformats.org/officeDocument/2006/relationships/hyperlink" Target="https://www.itu.int/md/T17-TSAG-190923-TD-GEN-0513" TargetMode="External"/><Relationship Id="rId197" Type="http://schemas.openxmlformats.org/officeDocument/2006/relationships/footer" Target="footer1.xml"/><Relationship Id="rId201" Type="http://schemas.openxmlformats.org/officeDocument/2006/relationships/glossaryDocument" Target="glossary/document.xml"/><Relationship Id="rId17" Type="http://schemas.openxmlformats.org/officeDocument/2006/relationships/hyperlink" Target="https://www.itu.int/md/meetingdoc.asp?lang=en&amp;parent=T17-TSAG-R-0011" TargetMode="External"/><Relationship Id="rId38" Type="http://schemas.openxmlformats.org/officeDocument/2006/relationships/hyperlink" Target="https://www.itu.int/md/meetingdoc.asp?lang=en&amp;parent=T17-TSAG-180226-TD-GEN-0245" TargetMode="External"/><Relationship Id="rId59" Type="http://schemas.openxmlformats.org/officeDocument/2006/relationships/hyperlink" Target="https://www.itu.int/md/meetingdoc.asp?lang=en&amp;parent=T17-TSAG-200921-TD-GEN-0779" TargetMode="External"/><Relationship Id="rId103" Type="http://schemas.openxmlformats.org/officeDocument/2006/relationships/hyperlink" Target="https://www.itu.int/md/meetingdoc.asp?lang=en&amp;parent=T17-TSAG-181210-TD-GEN-0288" TargetMode="External"/><Relationship Id="rId124" Type="http://schemas.openxmlformats.org/officeDocument/2006/relationships/hyperlink" Target="https://www.itu.int/md/meetingdoc.asp?lang=en&amp;parent=T17-TSAG-210111-TD-GEN-0930" TargetMode="External"/><Relationship Id="rId70" Type="http://schemas.openxmlformats.org/officeDocument/2006/relationships/hyperlink" Target="https://www.itu.int/en/ITU-T/extcoop/Pages/sdo.aspx" TargetMode="External"/><Relationship Id="rId91" Type="http://schemas.openxmlformats.org/officeDocument/2006/relationships/hyperlink" Target="https://extranet.itu.int/sites/itu-t/studygroups/2017-2020/tsag/strategy/_layouts/15/WopiFrame.aspx?sourcedoc=%7B2BC22F05-B5DE-42D2-A18D-DDBEB4F325E2%7D&amp;file=TD061_Rapporteur%20analysis%20on%20Hot%20Topics%20as%20background%20information%20to%20RG-StdsStrat%20members.docx&amp;action=default&amp;CT=1610031292419&amp;OR=DocLibClassicUI" TargetMode="External"/><Relationship Id="rId145" Type="http://schemas.openxmlformats.org/officeDocument/2006/relationships/hyperlink" Target="https://www.itu.int/dms_ties/itu-t/oth/04/02/T040200002A0001PDFE.pdf" TargetMode="External"/><Relationship Id="rId166" Type="http://schemas.openxmlformats.org/officeDocument/2006/relationships/hyperlink" Target="https://www.itu.int/md/T17-TSAG-C-0061" TargetMode="External"/><Relationship Id="rId187" Type="http://schemas.openxmlformats.org/officeDocument/2006/relationships/hyperlink" Target="https://www.itu.int/md/T17-TSAG-C-0090" TargetMode="External"/><Relationship Id="rId1" Type="http://schemas.openxmlformats.org/officeDocument/2006/relationships/customXml" Target="../customXml/item1.xml"/><Relationship Id="rId28" Type="http://schemas.openxmlformats.org/officeDocument/2006/relationships/hyperlink" Target="https://www.itu.int/md/meetingdoc.asp?lang=en&amp;parent=T17-TSAG-181210-TD-GEN-0284" TargetMode="External"/><Relationship Id="rId49" Type="http://schemas.openxmlformats.org/officeDocument/2006/relationships/hyperlink" Target="https://extranet.itu.int/sites/itu-t/studygroups/2017-2020/tsag/sc/SitePages/ToR.aspx" TargetMode="External"/><Relationship Id="rId114" Type="http://schemas.openxmlformats.org/officeDocument/2006/relationships/hyperlink" Target="https://www.itu.int/md/T17-TSAG-210111-TD-GEN-0954" TargetMode="External"/><Relationship Id="rId60" Type="http://schemas.openxmlformats.org/officeDocument/2006/relationships/hyperlink" Target="https://www.itu.int/md/meetingdoc.asp?lang=en&amp;parent=T17-TSAG-210111-TD-GEN-0922" TargetMode="External"/><Relationship Id="rId81" Type="http://schemas.openxmlformats.org/officeDocument/2006/relationships/hyperlink" Target="https://www.itu.int/md/meetingdoc.asp?lang=en&amp;parent=T17-TSAG-210111-TD-GEN-0951" TargetMode="External"/><Relationship Id="rId135" Type="http://schemas.openxmlformats.org/officeDocument/2006/relationships/hyperlink" Target="https://www.itu.int/md/T17-TSAG-190923-TD-GEN-0475" TargetMode="External"/><Relationship Id="rId156" Type="http://schemas.openxmlformats.org/officeDocument/2006/relationships/hyperlink" Target="https://www.itu.int/md/meetingdoc.asp?lang=en&amp;parent=T17-TSAG-220110-TD-GEN-1244" TargetMode="External"/><Relationship Id="rId177" Type="http://schemas.openxmlformats.org/officeDocument/2006/relationships/hyperlink" Target="https://www.itu.int/md/T17-TSAG-190923-TD-GEN-0540" TargetMode="External"/><Relationship Id="rId198" Type="http://schemas.openxmlformats.org/officeDocument/2006/relationships/footer" Target="footer2.xml"/><Relationship Id="rId202" Type="http://schemas.openxmlformats.org/officeDocument/2006/relationships/theme" Target="theme/theme1.xml"/><Relationship Id="rId18" Type="http://schemas.openxmlformats.org/officeDocument/2006/relationships/hyperlink" Target="https://www.itu.int/md/meetingdoc.asp?lang=en&amp;parent=T17-TSAG-R-0022" TargetMode="External"/><Relationship Id="rId39" Type="http://schemas.openxmlformats.org/officeDocument/2006/relationships/hyperlink" Target="https://www.itu.int/md/meetingdoc.asp?lang=en&amp;parent=T17-TSAG-181210-TD-GEN-0280" TargetMode="External"/><Relationship Id="rId50" Type="http://schemas.openxmlformats.org/officeDocument/2006/relationships/hyperlink" Target="https://www.itu.int/md/T17-TSAG-181210-TD-GEN-0318" TargetMode="External"/><Relationship Id="rId104" Type="http://schemas.openxmlformats.org/officeDocument/2006/relationships/hyperlink" Target="https://www.itu.int/md/meetingdoc.asp?lang=en&amp;parent=T17-TSAG-190923-TD-GEN-0463" TargetMode="External"/><Relationship Id="rId125" Type="http://schemas.openxmlformats.org/officeDocument/2006/relationships/hyperlink" Target="https://www.itu.int/md/meetingdoc.asp?lang=en&amp;parent=T17-TSAG-211025-TD-GEN-1029" TargetMode="External"/><Relationship Id="rId146" Type="http://schemas.openxmlformats.org/officeDocument/2006/relationships/hyperlink" Target="https://extranet.itu.int/ipr-adhoc/_layouts/15/WopiFrame.aspx?sourcedoc=%7B9456CE14-DAF8-4D23-BAAE-ECD238B6CB59%7D&amp;file=IPR-TD-263R2%20%20IPR%20AHG%20Secretariat.docx&amp;action=default&amp;CT=1638284171473&amp;OR=DocLibClassicUI" TargetMode="External"/><Relationship Id="rId167" Type="http://schemas.openxmlformats.org/officeDocument/2006/relationships/hyperlink" Target="https://www.itu.int/md/T17-TSAG-181210-TD-GEN-0427" TargetMode="External"/><Relationship Id="rId188" Type="http://schemas.openxmlformats.org/officeDocument/2006/relationships/hyperlink" Target="https://www.itu.int/md/T17-TSAG-190923-TD-GEN-0577" TargetMode="External"/><Relationship Id="rId71" Type="http://schemas.openxmlformats.org/officeDocument/2006/relationships/hyperlink" Target="https://extranet.itu.int/sites/itu-t/studygroups/2017-2020/tsag/sop/SitePages/ToR.aspx" TargetMode="External"/><Relationship Id="rId92" Type="http://schemas.openxmlformats.org/officeDocument/2006/relationships/hyperlink" Target="https://www.itu.int/md/T17-TSAG-200921-TD-GEN-08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D3EF34C8AA458C81D8EE040B09DB5E"/>
        <w:category>
          <w:name w:val="General"/>
          <w:gallery w:val="placeholder"/>
        </w:category>
        <w:types>
          <w:type w:val="bbPlcHdr"/>
        </w:types>
        <w:behaviors>
          <w:behavior w:val="content"/>
        </w:behaviors>
        <w:guid w:val="{9A88866A-B25C-4D9E-9423-62F6AA213CBC}"/>
      </w:docPartPr>
      <w:docPartBody>
        <w:p w:rsidR="002E35E2" w:rsidRDefault="00C17279" w:rsidP="00C17279">
          <w:pPr>
            <w:pStyle w:val="4DD3EF34C8AA458C81D8EE040B09DB5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79"/>
    <w:rsid w:val="002B579C"/>
    <w:rsid w:val="002C29FD"/>
    <w:rsid w:val="002E35E2"/>
    <w:rsid w:val="003E2ED2"/>
    <w:rsid w:val="004866B6"/>
    <w:rsid w:val="004A1A78"/>
    <w:rsid w:val="00994A6B"/>
    <w:rsid w:val="00B97A43"/>
    <w:rsid w:val="00C17279"/>
    <w:rsid w:val="00C97F02"/>
    <w:rsid w:val="00D05B7B"/>
    <w:rsid w:val="00F00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6B6"/>
    <w:rPr>
      <w:color w:val="808080"/>
    </w:rPr>
  </w:style>
  <w:style w:type="paragraph" w:customStyle="1" w:styleId="4DD3EF34C8AA458C81D8EE040B09DB5E">
    <w:name w:val="4DD3EF34C8AA458C81D8EE040B09DB5E"/>
    <w:rsid w:val="00C17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1101-BBD3-4F4B-8649-87EEE70A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17826</Words>
  <Characters>117487</Characters>
  <Application>Microsoft Office Word</Application>
  <DocSecurity>0</DocSecurity>
  <Lines>979</Lines>
  <Paragraphs>270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135043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Royer, Veronique</cp:lastModifiedBy>
  <cp:revision>3</cp:revision>
  <cp:lastPrinted>2016-06-07T13:22:00Z</cp:lastPrinted>
  <dcterms:created xsi:type="dcterms:W3CDTF">2022-02-07T07:06:00Z</dcterms:created>
  <dcterms:modified xsi:type="dcterms:W3CDTF">2022-02-07T07:20:00Z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