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85"/>
        <w:gridCol w:w="425"/>
        <w:gridCol w:w="3467"/>
        <w:gridCol w:w="5329"/>
      </w:tblGrid>
      <w:tr w:rsidR="007B6316" w:rsidRPr="00003C0B" w14:paraId="6A5229FB" w14:textId="77777777" w:rsidTr="007B6316">
        <w:trPr>
          <w:cantSplit/>
          <w:trHeight w:val="340"/>
        </w:trPr>
        <w:tc>
          <w:tcPr>
            <w:tcW w:w="1410" w:type="dxa"/>
            <w:gridSpan w:val="2"/>
          </w:tcPr>
          <w:p w14:paraId="7242E71C" w14:textId="77777777" w:rsidR="007B6316" w:rsidRPr="00003C0B" w:rsidRDefault="007B6316" w:rsidP="00303D62">
            <w:pPr>
              <w:tabs>
                <w:tab w:val="left" w:pos="4111"/>
              </w:tabs>
              <w:spacing w:before="10"/>
              <w:ind w:left="57"/>
              <w:rPr>
                <w:sz w:val="22"/>
              </w:rPr>
            </w:pPr>
            <w:r w:rsidRPr="00003C0B">
              <w:rPr>
                <w:noProof/>
                <w:lang w:eastAsia="es-ES_tradnl"/>
              </w:rPr>
              <w:drawing>
                <wp:inline distT="0" distB="0" distL="0" distR="0" wp14:anchorId="45780F09" wp14:editId="29E5A7C2">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0BA90999" w14:textId="77777777" w:rsidR="007B6316" w:rsidRPr="00003C0B" w:rsidRDefault="007B6316" w:rsidP="007B6316">
            <w:pPr>
              <w:spacing w:before="0"/>
              <w:rPr>
                <w:rFonts w:cs="Times New Roman Bold"/>
                <w:b/>
                <w:bCs/>
                <w:smallCaps/>
                <w:sz w:val="26"/>
                <w:szCs w:val="26"/>
              </w:rPr>
            </w:pPr>
            <w:r w:rsidRPr="00003C0B">
              <w:rPr>
                <w:rFonts w:cs="Times New Roman Bold"/>
                <w:b/>
                <w:bCs/>
                <w:smallCaps/>
                <w:sz w:val="36"/>
                <w:szCs w:val="36"/>
              </w:rPr>
              <w:t>Unión Internacional de Telecomunicaciones</w:t>
            </w:r>
          </w:p>
          <w:p w14:paraId="6EE1DFC3" w14:textId="77777777" w:rsidR="007B6316" w:rsidRPr="00003C0B" w:rsidRDefault="007B6316" w:rsidP="007B6316">
            <w:pPr>
              <w:spacing w:before="0"/>
            </w:pPr>
            <w:r w:rsidRPr="00003C0B">
              <w:rPr>
                <w:rFonts w:cs="Times New Roman Bold"/>
                <w:b/>
                <w:bCs/>
                <w:smallCaps/>
                <w:sz w:val="28"/>
                <w:szCs w:val="28"/>
              </w:rPr>
              <w:t>Oficina</w:t>
            </w:r>
            <w:r w:rsidRPr="00003C0B">
              <w:rPr>
                <w:rFonts w:cs="Times New Roman Bold"/>
                <w:b/>
                <w:bCs/>
                <w:iCs/>
                <w:smallCaps/>
                <w:sz w:val="22"/>
                <w:szCs w:val="22"/>
              </w:rPr>
              <w:t xml:space="preserve"> </w:t>
            </w:r>
            <w:r w:rsidRPr="00003C0B">
              <w:rPr>
                <w:rFonts w:cs="Times New Roman Bold"/>
                <w:b/>
                <w:bCs/>
                <w:iCs/>
                <w:smallCaps/>
                <w:sz w:val="28"/>
                <w:szCs w:val="28"/>
              </w:rPr>
              <w:t>de Normalización de las Telecomunicaciones</w:t>
            </w:r>
          </w:p>
        </w:tc>
      </w:tr>
      <w:tr w:rsidR="007B6316" w:rsidRPr="00003C0B" w14:paraId="5BB360E5" w14:textId="77777777" w:rsidTr="00095A9C">
        <w:trPr>
          <w:cantSplit/>
          <w:trHeight w:val="340"/>
        </w:trPr>
        <w:tc>
          <w:tcPr>
            <w:tcW w:w="985" w:type="dxa"/>
          </w:tcPr>
          <w:p w14:paraId="6D2182FC" w14:textId="77777777" w:rsidR="007B6316" w:rsidRPr="00003C0B" w:rsidRDefault="007B6316" w:rsidP="00303D62">
            <w:pPr>
              <w:tabs>
                <w:tab w:val="left" w:pos="4111"/>
              </w:tabs>
              <w:spacing w:before="10"/>
              <w:ind w:left="57"/>
              <w:rPr>
                <w:b/>
                <w:bCs/>
                <w:sz w:val="22"/>
              </w:rPr>
            </w:pPr>
          </w:p>
        </w:tc>
        <w:tc>
          <w:tcPr>
            <w:tcW w:w="3892" w:type="dxa"/>
            <w:gridSpan w:val="2"/>
          </w:tcPr>
          <w:p w14:paraId="39AAE09A" w14:textId="77777777" w:rsidR="007B6316" w:rsidRPr="00003C0B" w:rsidRDefault="007B6316" w:rsidP="00303D62">
            <w:pPr>
              <w:tabs>
                <w:tab w:val="left" w:pos="4111"/>
              </w:tabs>
              <w:spacing w:before="0"/>
              <w:ind w:left="57"/>
              <w:rPr>
                <w:b/>
              </w:rPr>
            </w:pPr>
          </w:p>
        </w:tc>
        <w:tc>
          <w:tcPr>
            <w:tcW w:w="5329" w:type="dxa"/>
          </w:tcPr>
          <w:p w14:paraId="6B7752E1" w14:textId="5309E668" w:rsidR="007B6316" w:rsidRPr="00003C0B" w:rsidRDefault="007B6316" w:rsidP="007B6316">
            <w:pPr>
              <w:tabs>
                <w:tab w:val="clear" w:pos="794"/>
                <w:tab w:val="clear" w:pos="1191"/>
                <w:tab w:val="clear" w:pos="1588"/>
                <w:tab w:val="clear" w:pos="1985"/>
                <w:tab w:val="left" w:pos="284"/>
              </w:tabs>
              <w:spacing w:after="120"/>
              <w:ind w:left="284" w:hanging="227"/>
              <w:rPr>
                <w:sz w:val="22"/>
                <w:szCs w:val="22"/>
              </w:rPr>
            </w:pPr>
            <w:r w:rsidRPr="00003C0B">
              <w:rPr>
                <w:sz w:val="22"/>
                <w:szCs w:val="22"/>
              </w:rPr>
              <w:t>Ginebra,</w:t>
            </w:r>
            <w:r w:rsidR="00F165DE" w:rsidRPr="00003C0B">
              <w:rPr>
                <w:sz w:val="22"/>
                <w:szCs w:val="22"/>
              </w:rPr>
              <w:t xml:space="preserve"> 16 de febrero de 2022</w:t>
            </w:r>
          </w:p>
        </w:tc>
      </w:tr>
      <w:tr w:rsidR="007B6316" w:rsidRPr="00003C0B" w14:paraId="7E6BD28B" w14:textId="77777777" w:rsidTr="00095A9C">
        <w:trPr>
          <w:cantSplit/>
          <w:trHeight w:val="340"/>
        </w:trPr>
        <w:tc>
          <w:tcPr>
            <w:tcW w:w="985" w:type="dxa"/>
          </w:tcPr>
          <w:p w14:paraId="0B992569" w14:textId="77777777" w:rsidR="007B6316" w:rsidRPr="00003C0B" w:rsidRDefault="007B6316" w:rsidP="00303D62">
            <w:pPr>
              <w:tabs>
                <w:tab w:val="left" w:pos="4111"/>
              </w:tabs>
              <w:spacing w:before="10"/>
              <w:ind w:left="57"/>
              <w:rPr>
                <w:b/>
                <w:bCs/>
                <w:sz w:val="22"/>
                <w:szCs w:val="22"/>
              </w:rPr>
            </w:pPr>
            <w:r w:rsidRPr="00003C0B">
              <w:rPr>
                <w:b/>
                <w:bCs/>
                <w:sz w:val="22"/>
                <w:szCs w:val="22"/>
              </w:rPr>
              <w:t>Ref.:</w:t>
            </w:r>
          </w:p>
          <w:p w14:paraId="0D3CD60F" w14:textId="77777777" w:rsidR="007B6316" w:rsidRPr="00003C0B" w:rsidRDefault="007B6316" w:rsidP="007B6316">
            <w:pPr>
              <w:tabs>
                <w:tab w:val="left" w:pos="4111"/>
              </w:tabs>
              <w:spacing w:before="10"/>
              <w:ind w:left="57"/>
              <w:rPr>
                <w:b/>
                <w:bCs/>
                <w:sz w:val="22"/>
                <w:szCs w:val="22"/>
              </w:rPr>
            </w:pPr>
          </w:p>
        </w:tc>
        <w:tc>
          <w:tcPr>
            <w:tcW w:w="3892" w:type="dxa"/>
            <w:gridSpan w:val="2"/>
          </w:tcPr>
          <w:p w14:paraId="71ECB7AA" w14:textId="4AA2286E" w:rsidR="007B6316" w:rsidRPr="00003C0B" w:rsidRDefault="007B6316" w:rsidP="00303D62">
            <w:pPr>
              <w:tabs>
                <w:tab w:val="left" w:pos="4111"/>
              </w:tabs>
              <w:spacing w:before="0"/>
              <w:ind w:left="57"/>
              <w:rPr>
                <w:b/>
                <w:sz w:val="22"/>
                <w:szCs w:val="22"/>
              </w:rPr>
            </w:pPr>
            <w:r w:rsidRPr="00003C0B">
              <w:rPr>
                <w:b/>
                <w:sz w:val="22"/>
                <w:szCs w:val="22"/>
              </w:rPr>
              <w:t xml:space="preserve">Circular TSB </w:t>
            </w:r>
            <w:r w:rsidR="00F165DE" w:rsidRPr="00003C0B">
              <w:rPr>
                <w:b/>
                <w:sz w:val="22"/>
                <w:szCs w:val="22"/>
              </w:rPr>
              <w:t>380</w:t>
            </w:r>
          </w:p>
          <w:p w14:paraId="6899DF9B" w14:textId="77777777" w:rsidR="00095A9C" w:rsidRPr="00003C0B" w:rsidRDefault="006851AA" w:rsidP="007B6316">
            <w:pPr>
              <w:tabs>
                <w:tab w:val="left" w:pos="4111"/>
              </w:tabs>
              <w:spacing w:before="0"/>
              <w:ind w:left="57"/>
              <w:rPr>
                <w:b/>
                <w:sz w:val="22"/>
                <w:szCs w:val="22"/>
              </w:rPr>
            </w:pPr>
            <w:r w:rsidRPr="00003C0B">
              <w:rPr>
                <w:b/>
                <w:sz w:val="22"/>
                <w:szCs w:val="22"/>
              </w:rPr>
              <w:t>FG-AI4A/MM</w:t>
            </w:r>
          </w:p>
          <w:p w14:paraId="6DDEAA1D" w14:textId="400A5CE0" w:rsidR="006851AA" w:rsidRPr="00003C0B" w:rsidRDefault="006851AA" w:rsidP="007B6316">
            <w:pPr>
              <w:tabs>
                <w:tab w:val="left" w:pos="4111"/>
              </w:tabs>
              <w:spacing w:before="0"/>
              <w:ind w:left="57"/>
              <w:rPr>
                <w:sz w:val="22"/>
                <w:szCs w:val="22"/>
              </w:rPr>
            </w:pPr>
          </w:p>
        </w:tc>
        <w:tc>
          <w:tcPr>
            <w:tcW w:w="5329" w:type="dxa"/>
            <w:vMerge w:val="restart"/>
          </w:tcPr>
          <w:p w14:paraId="4E113D53" w14:textId="2010C3A0" w:rsidR="00F165DE" w:rsidRPr="00003C0B" w:rsidRDefault="00FF25AD" w:rsidP="00FF25AD">
            <w:pPr>
              <w:tabs>
                <w:tab w:val="clear" w:pos="794"/>
                <w:tab w:val="left" w:pos="226"/>
                <w:tab w:val="left" w:pos="4111"/>
              </w:tabs>
              <w:spacing w:before="0"/>
              <w:ind w:left="219" w:hanging="219"/>
              <w:rPr>
                <w:sz w:val="22"/>
                <w:szCs w:val="22"/>
              </w:rPr>
            </w:pPr>
            <w:bookmarkStart w:id="0" w:name="Addressee_S"/>
            <w:bookmarkEnd w:id="0"/>
            <w:r w:rsidRPr="00003C0B">
              <w:rPr>
                <w:sz w:val="22"/>
                <w:szCs w:val="22"/>
              </w:rPr>
              <w:t>–</w:t>
            </w:r>
            <w:r w:rsidR="007B6316" w:rsidRPr="00003C0B">
              <w:rPr>
                <w:sz w:val="22"/>
                <w:szCs w:val="22"/>
              </w:rPr>
              <w:tab/>
              <w:t>A las Administr</w:t>
            </w:r>
            <w:r w:rsidR="005E3D32" w:rsidRPr="00003C0B">
              <w:rPr>
                <w:sz w:val="22"/>
                <w:szCs w:val="22"/>
              </w:rPr>
              <w:t>aciones de los Estados Miembros</w:t>
            </w:r>
            <w:r w:rsidR="005E3D32" w:rsidRPr="00003C0B">
              <w:rPr>
                <w:sz w:val="22"/>
                <w:szCs w:val="22"/>
              </w:rPr>
              <w:br/>
            </w:r>
            <w:r w:rsidR="007B6316" w:rsidRPr="00003C0B">
              <w:rPr>
                <w:sz w:val="22"/>
                <w:szCs w:val="22"/>
              </w:rPr>
              <w:t>de la Unión</w:t>
            </w:r>
            <w:r w:rsidR="00843396" w:rsidRPr="00003C0B">
              <w:rPr>
                <w:sz w:val="22"/>
                <w:szCs w:val="22"/>
              </w:rPr>
              <w:t>;</w:t>
            </w:r>
          </w:p>
          <w:p w14:paraId="31AE0FA9" w14:textId="18B23B0A" w:rsidR="00F165DE" w:rsidRPr="00003C0B" w:rsidRDefault="00FF25AD" w:rsidP="00F165DE">
            <w:pPr>
              <w:tabs>
                <w:tab w:val="clear" w:pos="794"/>
                <w:tab w:val="left" w:pos="226"/>
                <w:tab w:val="left" w:pos="4111"/>
              </w:tabs>
              <w:spacing w:before="0"/>
              <w:rPr>
                <w:sz w:val="22"/>
                <w:szCs w:val="22"/>
              </w:rPr>
            </w:pPr>
            <w:r w:rsidRPr="00003C0B">
              <w:rPr>
                <w:sz w:val="22"/>
                <w:szCs w:val="22"/>
              </w:rPr>
              <w:t>–</w:t>
            </w:r>
            <w:r w:rsidR="005E3D32" w:rsidRPr="00003C0B">
              <w:rPr>
                <w:sz w:val="22"/>
                <w:szCs w:val="22"/>
              </w:rPr>
              <w:tab/>
              <w:t>A los Miembros de</w:t>
            </w:r>
            <w:r w:rsidR="00F165DE" w:rsidRPr="00003C0B">
              <w:rPr>
                <w:sz w:val="22"/>
                <w:szCs w:val="22"/>
              </w:rPr>
              <w:t xml:space="preserve"> Sector</w:t>
            </w:r>
            <w:r w:rsidR="005E3D32" w:rsidRPr="00003C0B">
              <w:rPr>
                <w:sz w:val="22"/>
                <w:szCs w:val="22"/>
              </w:rPr>
              <w:t xml:space="preserve"> del</w:t>
            </w:r>
            <w:r w:rsidR="00F165DE" w:rsidRPr="00003C0B">
              <w:rPr>
                <w:sz w:val="22"/>
                <w:szCs w:val="22"/>
              </w:rPr>
              <w:t xml:space="preserve"> UIT</w:t>
            </w:r>
            <w:r w:rsidR="00F165DE" w:rsidRPr="00003C0B">
              <w:rPr>
                <w:sz w:val="22"/>
                <w:szCs w:val="22"/>
              </w:rPr>
              <w:noBreakHyphen/>
              <w:t>T;</w:t>
            </w:r>
          </w:p>
          <w:p w14:paraId="7D9BA088" w14:textId="5E22CD5C" w:rsidR="00F165DE" w:rsidRPr="00003C0B" w:rsidRDefault="00FF25AD" w:rsidP="00F165DE">
            <w:pPr>
              <w:tabs>
                <w:tab w:val="clear" w:pos="794"/>
                <w:tab w:val="left" w:pos="226"/>
                <w:tab w:val="left" w:pos="4111"/>
              </w:tabs>
              <w:spacing w:before="0"/>
              <w:rPr>
                <w:sz w:val="22"/>
                <w:szCs w:val="22"/>
              </w:rPr>
            </w:pPr>
            <w:r w:rsidRPr="00003C0B">
              <w:rPr>
                <w:sz w:val="22"/>
                <w:szCs w:val="22"/>
              </w:rPr>
              <w:t>–</w:t>
            </w:r>
            <w:r w:rsidR="00F165DE" w:rsidRPr="00003C0B">
              <w:rPr>
                <w:sz w:val="22"/>
                <w:szCs w:val="22"/>
              </w:rPr>
              <w:tab/>
              <w:t>A los Asociados del UIT</w:t>
            </w:r>
            <w:r w:rsidR="00F165DE" w:rsidRPr="00003C0B">
              <w:rPr>
                <w:sz w:val="22"/>
                <w:szCs w:val="22"/>
              </w:rPr>
              <w:noBreakHyphen/>
              <w:t>T;</w:t>
            </w:r>
          </w:p>
          <w:p w14:paraId="12310A7B" w14:textId="099361F3" w:rsidR="007B6316" w:rsidRPr="00003C0B" w:rsidRDefault="00FF25AD" w:rsidP="00FF25AD">
            <w:pPr>
              <w:tabs>
                <w:tab w:val="clear" w:pos="794"/>
                <w:tab w:val="clear" w:pos="1191"/>
                <w:tab w:val="clear" w:pos="1588"/>
                <w:tab w:val="clear" w:pos="1985"/>
                <w:tab w:val="left" w:pos="219"/>
              </w:tabs>
              <w:spacing w:before="0"/>
              <w:rPr>
                <w:sz w:val="22"/>
                <w:szCs w:val="22"/>
              </w:rPr>
            </w:pPr>
            <w:r w:rsidRPr="00003C0B">
              <w:rPr>
                <w:sz w:val="22"/>
                <w:szCs w:val="22"/>
              </w:rPr>
              <w:t>–</w:t>
            </w:r>
            <w:r w:rsidR="00F165DE" w:rsidRPr="00003C0B">
              <w:rPr>
                <w:sz w:val="22"/>
                <w:szCs w:val="22"/>
              </w:rPr>
              <w:tab/>
              <w:t xml:space="preserve">A las Instituciones Académicas </w:t>
            </w:r>
            <w:r w:rsidR="006851AA" w:rsidRPr="00003C0B">
              <w:rPr>
                <w:sz w:val="22"/>
                <w:szCs w:val="22"/>
              </w:rPr>
              <w:t>de la UIT.</w:t>
            </w:r>
          </w:p>
        </w:tc>
      </w:tr>
      <w:tr w:rsidR="007B6316" w:rsidRPr="00003C0B" w14:paraId="790A4DCC" w14:textId="77777777" w:rsidTr="00095A9C">
        <w:trPr>
          <w:cantSplit/>
        </w:trPr>
        <w:tc>
          <w:tcPr>
            <w:tcW w:w="985" w:type="dxa"/>
          </w:tcPr>
          <w:p w14:paraId="097911BD" w14:textId="77777777" w:rsidR="007B6316" w:rsidRPr="00003C0B" w:rsidRDefault="007B6316" w:rsidP="00303D62">
            <w:pPr>
              <w:tabs>
                <w:tab w:val="left" w:pos="4111"/>
              </w:tabs>
              <w:spacing w:before="10"/>
              <w:ind w:left="57"/>
              <w:rPr>
                <w:b/>
                <w:bCs/>
                <w:sz w:val="22"/>
                <w:szCs w:val="22"/>
              </w:rPr>
            </w:pPr>
            <w:r w:rsidRPr="00003C0B">
              <w:rPr>
                <w:b/>
                <w:bCs/>
                <w:sz w:val="22"/>
                <w:szCs w:val="22"/>
              </w:rPr>
              <w:t>Tel.:</w:t>
            </w:r>
          </w:p>
        </w:tc>
        <w:tc>
          <w:tcPr>
            <w:tcW w:w="3892" w:type="dxa"/>
            <w:gridSpan w:val="2"/>
          </w:tcPr>
          <w:p w14:paraId="04AA413A" w14:textId="12BA6543" w:rsidR="007B6316" w:rsidRPr="00003C0B" w:rsidRDefault="007B6316" w:rsidP="00303D62">
            <w:pPr>
              <w:tabs>
                <w:tab w:val="left" w:pos="4111"/>
              </w:tabs>
              <w:spacing w:before="0"/>
              <w:ind w:left="57"/>
              <w:rPr>
                <w:rStyle w:val="Hyperlink"/>
                <w:sz w:val="22"/>
                <w:szCs w:val="22"/>
              </w:rPr>
            </w:pPr>
            <w:r w:rsidRPr="00003C0B">
              <w:rPr>
                <w:sz w:val="22"/>
                <w:szCs w:val="22"/>
              </w:rPr>
              <w:t>+41 22 730</w:t>
            </w:r>
            <w:r w:rsidR="00F165DE" w:rsidRPr="00003C0B">
              <w:rPr>
                <w:sz w:val="22"/>
                <w:szCs w:val="22"/>
              </w:rPr>
              <w:t xml:space="preserve"> 5697</w:t>
            </w:r>
          </w:p>
        </w:tc>
        <w:tc>
          <w:tcPr>
            <w:tcW w:w="5329" w:type="dxa"/>
            <w:vMerge/>
          </w:tcPr>
          <w:p w14:paraId="1294FF14" w14:textId="77777777" w:rsidR="007B6316" w:rsidRPr="00003C0B" w:rsidRDefault="007B6316" w:rsidP="00303D62">
            <w:pPr>
              <w:tabs>
                <w:tab w:val="left" w:pos="4111"/>
              </w:tabs>
              <w:spacing w:before="0"/>
              <w:rPr>
                <w:b/>
                <w:sz w:val="22"/>
                <w:szCs w:val="22"/>
              </w:rPr>
            </w:pPr>
          </w:p>
        </w:tc>
      </w:tr>
      <w:tr w:rsidR="007B6316" w:rsidRPr="00003C0B" w14:paraId="426A93B4" w14:textId="77777777" w:rsidTr="00095A9C">
        <w:trPr>
          <w:cantSplit/>
        </w:trPr>
        <w:tc>
          <w:tcPr>
            <w:tcW w:w="985" w:type="dxa"/>
          </w:tcPr>
          <w:p w14:paraId="1B577968" w14:textId="77777777" w:rsidR="007B6316" w:rsidRPr="00003C0B" w:rsidRDefault="007B6316" w:rsidP="00303D62">
            <w:pPr>
              <w:tabs>
                <w:tab w:val="left" w:pos="4111"/>
              </w:tabs>
              <w:spacing w:before="10"/>
              <w:ind w:left="57"/>
              <w:rPr>
                <w:b/>
                <w:bCs/>
                <w:sz w:val="22"/>
                <w:szCs w:val="22"/>
              </w:rPr>
            </w:pPr>
            <w:r w:rsidRPr="00003C0B">
              <w:rPr>
                <w:b/>
                <w:bCs/>
                <w:sz w:val="22"/>
                <w:szCs w:val="22"/>
              </w:rPr>
              <w:t>Fax:</w:t>
            </w:r>
          </w:p>
        </w:tc>
        <w:tc>
          <w:tcPr>
            <w:tcW w:w="3892" w:type="dxa"/>
            <w:gridSpan w:val="2"/>
          </w:tcPr>
          <w:p w14:paraId="05D94CA6" w14:textId="77777777" w:rsidR="007B6316" w:rsidRPr="00003C0B" w:rsidRDefault="007B6316" w:rsidP="00303D62">
            <w:pPr>
              <w:tabs>
                <w:tab w:val="left" w:pos="4111"/>
              </w:tabs>
              <w:spacing w:before="0"/>
              <w:ind w:left="57"/>
              <w:rPr>
                <w:rStyle w:val="Hyperlink"/>
                <w:sz w:val="22"/>
                <w:szCs w:val="22"/>
              </w:rPr>
            </w:pPr>
            <w:r w:rsidRPr="00003C0B">
              <w:rPr>
                <w:sz w:val="22"/>
                <w:szCs w:val="22"/>
              </w:rPr>
              <w:t>+41 22 730 5853</w:t>
            </w:r>
          </w:p>
        </w:tc>
        <w:tc>
          <w:tcPr>
            <w:tcW w:w="5329" w:type="dxa"/>
            <w:vMerge/>
          </w:tcPr>
          <w:p w14:paraId="7C5E22D1" w14:textId="77777777" w:rsidR="007B6316" w:rsidRPr="00003C0B" w:rsidRDefault="007B6316" w:rsidP="00303D62">
            <w:pPr>
              <w:tabs>
                <w:tab w:val="left" w:pos="4111"/>
              </w:tabs>
              <w:spacing w:before="0"/>
              <w:rPr>
                <w:b/>
                <w:sz w:val="22"/>
                <w:szCs w:val="22"/>
              </w:rPr>
            </w:pPr>
          </w:p>
        </w:tc>
      </w:tr>
      <w:tr w:rsidR="006851AA" w:rsidRPr="00003C0B" w14:paraId="5EDD6B96" w14:textId="77777777" w:rsidTr="00095A9C">
        <w:trPr>
          <w:cantSplit/>
        </w:trPr>
        <w:tc>
          <w:tcPr>
            <w:tcW w:w="985" w:type="dxa"/>
          </w:tcPr>
          <w:p w14:paraId="0DB129E6" w14:textId="77777777" w:rsidR="006851AA" w:rsidRPr="00003C0B" w:rsidRDefault="006851AA" w:rsidP="006851AA">
            <w:pPr>
              <w:tabs>
                <w:tab w:val="left" w:pos="4111"/>
              </w:tabs>
              <w:spacing w:before="10"/>
              <w:ind w:left="57"/>
              <w:rPr>
                <w:b/>
                <w:bCs/>
                <w:sz w:val="22"/>
                <w:szCs w:val="22"/>
              </w:rPr>
            </w:pPr>
            <w:r w:rsidRPr="00003C0B">
              <w:rPr>
                <w:b/>
                <w:bCs/>
                <w:sz w:val="22"/>
                <w:szCs w:val="22"/>
              </w:rPr>
              <w:t>Correo-e:</w:t>
            </w:r>
          </w:p>
        </w:tc>
        <w:tc>
          <w:tcPr>
            <w:tcW w:w="3892" w:type="dxa"/>
            <w:gridSpan w:val="2"/>
          </w:tcPr>
          <w:p w14:paraId="60A1174C" w14:textId="24791408" w:rsidR="006851AA" w:rsidRPr="00003C0B" w:rsidRDefault="000522E9" w:rsidP="00095A9C">
            <w:pPr>
              <w:tabs>
                <w:tab w:val="left" w:pos="4111"/>
              </w:tabs>
              <w:spacing w:before="0"/>
              <w:ind w:left="57"/>
              <w:rPr>
                <w:sz w:val="22"/>
                <w:szCs w:val="22"/>
              </w:rPr>
            </w:pPr>
            <w:hyperlink r:id="rId9" w:history="1">
              <w:bookmarkStart w:id="1" w:name="lt_pId037"/>
              <w:r w:rsidR="006851AA" w:rsidRPr="00003C0B">
                <w:rPr>
                  <w:rStyle w:val="Hyperlink"/>
                  <w:rFonts w:cs="Calibri"/>
                  <w:sz w:val="22"/>
                  <w:szCs w:val="22"/>
                </w:rPr>
                <w:t>tsbfgai4a@itu.int</w:t>
              </w:r>
              <w:bookmarkEnd w:id="1"/>
            </w:hyperlink>
          </w:p>
        </w:tc>
        <w:tc>
          <w:tcPr>
            <w:tcW w:w="5329" w:type="dxa"/>
          </w:tcPr>
          <w:p w14:paraId="1F07A809" w14:textId="77777777" w:rsidR="006851AA" w:rsidRPr="00003C0B" w:rsidRDefault="006851AA" w:rsidP="006851AA">
            <w:pPr>
              <w:tabs>
                <w:tab w:val="left" w:pos="4111"/>
              </w:tabs>
              <w:spacing w:before="0"/>
              <w:rPr>
                <w:sz w:val="22"/>
                <w:szCs w:val="22"/>
              </w:rPr>
            </w:pPr>
            <w:r w:rsidRPr="00003C0B">
              <w:rPr>
                <w:b/>
                <w:sz w:val="22"/>
                <w:szCs w:val="22"/>
              </w:rPr>
              <w:t>Copia</w:t>
            </w:r>
            <w:r w:rsidRPr="00003C0B">
              <w:rPr>
                <w:sz w:val="22"/>
                <w:szCs w:val="22"/>
              </w:rPr>
              <w:t>:</w:t>
            </w:r>
          </w:p>
          <w:p w14:paraId="766D0655" w14:textId="1046AB99" w:rsidR="006851AA" w:rsidRPr="00003C0B" w:rsidRDefault="00FF25AD" w:rsidP="006851AA">
            <w:pPr>
              <w:tabs>
                <w:tab w:val="left" w:pos="226"/>
                <w:tab w:val="left" w:pos="4111"/>
              </w:tabs>
              <w:spacing w:before="0"/>
              <w:ind w:left="226" w:hanging="226"/>
              <w:rPr>
                <w:sz w:val="22"/>
                <w:szCs w:val="22"/>
              </w:rPr>
            </w:pPr>
            <w:r w:rsidRPr="00003C0B">
              <w:rPr>
                <w:sz w:val="22"/>
                <w:szCs w:val="22"/>
              </w:rPr>
              <w:t>–</w:t>
            </w:r>
            <w:r w:rsidR="006851AA" w:rsidRPr="00003C0B">
              <w:rPr>
                <w:sz w:val="22"/>
                <w:szCs w:val="22"/>
              </w:rPr>
              <w:tab/>
              <w:t>A lo</w:t>
            </w:r>
            <w:r w:rsidR="005E3D32" w:rsidRPr="00003C0B">
              <w:rPr>
                <w:sz w:val="22"/>
                <w:szCs w:val="22"/>
              </w:rPr>
              <w:t xml:space="preserve">s </w:t>
            </w:r>
            <w:proofErr w:type="gramStart"/>
            <w:r w:rsidR="005E3D32" w:rsidRPr="00003C0B">
              <w:rPr>
                <w:sz w:val="22"/>
                <w:szCs w:val="22"/>
              </w:rPr>
              <w:t>Presidentes</w:t>
            </w:r>
            <w:proofErr w:type="gramEnd"/>
            <w:r w:rsidR="005E3D32" w:rsidRPr="00003C0B">
              <w:rPr>
                <w:sz w:val="22"/>
                <w:szCs w:val="22"/>
              </w:rPr>
              <w:t xml:space="preserve"> y Vicepresidentes</w:t>
            </w:r>
            <w:r w:rsidR="005E3D32" w:rsidRPr="00003C0B">
              <w:rPr>
                <w:sz w:val="22"/>
                <w:szCs w:val="22"/>
              </w:rPr>
              <w:br/>
            </w:r>
            <w:r w:rsidR="006851AA" w:rsidRPr="00003C0B">
              <w:rPr>
                <w:sz w:val="22"/>
                <w:szCs w:val="22"/>
              </w:rPr>
              <w:t>de las</w:t>
            </w:r>
            <w:r w:rsidR="005E3D32" w:rsidRPr="00003C0B">
              <w:rPr>
                <w:sz w:val="22"/>
                <w:szCs w:val="22"/>
              </w:rPr>
              <w:t xml:space="preserve"> </w:t>
            </w:r>
            <w:r w:rsidR="006851AA" w:rsidRPr="00003C0B">
              <w:rPr>
                <w:sz w:val="22"/>
                <w:szCs w:val="22"/>
              </w:rPr>
              <w:t>Comisiones de Estudio del UIT-T;</w:t>
            </w:r>
          </w:p>
          <w:p w14:paraId="4F98E802" w14:textId="52FBF188" w:rsidR="006851AA" w:rsidRPr="00003C0B" w:rsidRDefault="00FF25AD" w:rsidP="00FF25AD">
            <w:pPr>
              <w:tabs>
                <w:tab w:val="clear" w:pos="794"/>
                <w:tab w:val="clear" w:pos="1191"/>
                <w:tab w:val="clear" w:pos="1588"/>
                <w:tab w:val="clear" w:pos="1985"/>
                <w:tab w:val="left" w:pos="226"/>
                <w:tab w:val="left" w:pos="510"/>
              </w:tabs>
              <w:spacing w:before="0"/>
              <w:ind w:left="226" w:hanging="226"/>
              <w:rPr>
                <w:sz w:val="22"/>
                <w:szCs w:val="22"/>
              </w:rPr>
            </w:pPr>
            <w:r w:rsidRPr="00003C0B">
              <w:rPr>
                <w:sz w:val="22"/>
                <w:szCs w:val="22"/>
              </w:rPr>
              <w:t>–</w:t>
            </w:r>
            <w:r w:rsidR="006851AA" w:rsidRPr="00003C0B">
              <w:rPr>
                <w:sz w:val="22"/>
                <w:szCs w:val="22"/>
              </w:rPr>
              <w:tab/>
              <w:t xml:space="preserve">A la </w:t>
            </w:r>
            <w:proofErr w:type="gramStart"/>
            <w:r w:rsidR="006851AA" w:rsidRPr="00003C0B">
              <w:rPr>
                <w:sz w:val="22"/>
                <w:szCs w:val="22"/>
              </w:rPr>
              <w:t>Direct</w:t>
            </w:r>
            <w:r w:rsidR="005E3D32" w:rsidRPr="00003C0B">
              <w:rPr>
                <w:sz w:val="22"/>
                <w:szCs w:val="22"/>
              </w:rPr>
              <w:t>ora</w:t>
            </w:r>
            <w:proofErr w:type="gramEnd"/>
            <w:r w:rsidR="005E3D32" w:rsidRPr="00003C0B">
              <w:rPr>
                <w:sz w:val="22"/>
                <w:szCs w:val="22"/>
              </w:rPr>
              <w:t xml:space="preserve"> de la Oficina de Desarrollo</w:t>
            </w:r>
            <w:r w:rsidR="005E3D32" w:rsidRPr="00003C0B">
              <w:rPr>
                <w:sz w:val="22"/>
                <w:szCs w:val="22"/>
              </w:rPr>
              <w:br/>
            </w:r>
            <w:r w:rsidR="006851AA" w:rsidRPr="00003C0B">
              <w:rPr>
                <w:sz w:val="22"/>
                <w:szCs w:val="22"/>
              </w:rPr>
              <w:t>de las Telecomunicaciones;</w:t>
            </w:r>
          </w:p>
          <w:p w14:paraId="3D70A38C" w14:textId="1D121C3D" w:rsidR="00843396" w:rsidRPr="00003C0B" w:rsidRDefault="00FF25AD" w:rsidP="00FF25AD">
            <w:pPr>
              <w:tabs>
                <w:tab w:val="clear" w:pos="794"/>
                <w:tab w:val="clear" w:pos="1191"/>
                <w:tab w:val="clear" w:pos="1588"/>
                <w:tab w:val="clear" w:pos="1985"/>
                <w:tab w:val="left" w:pos="226"/>
                <w:tab w:val="left" w:pos="510"/>
              </w:tabs>
              <w:spacing w:before="0"/>
              <w:ind w:left="226" w:hanging="226"/>
              <w:rPr>
                <w:sz w:val="22"/>
                <w:szCs w:val="22"/>
              </w:rPr>
            </w:pPr>
            <w:r w:rsidRPr="00003C0B">
              <w:rPr>
                <w:sz w:val="22"/>
                <w:szCs w:val="22"/>
              </w:rPr>
              <w:t>–</w:t>
            </w:r>
            <w:r w:rsidR="006851AA" w:rsidRPr="00003C0B">
              <w:rPr>
                <w:sz w:val="22"/>
                <w:szCs w:val="22"/>
              </w:rPr>
              <w:tab/>
              <w:t xml:space="preserve">Al </w:t>
            </w:r>
            <w:proofErr w:type="gramStart"/>
            <w:r w:rsidR="006851AA" w:rsidRPr="00003C0B">
              <w:rPr>
                <w:sz w:val="22"/>
                <w:szCs w:val="22"/>
              </w:rPr>
              <w:t>Director</w:t>
            </w:r>
            <w:proofErr w:type="gramEnd"/>
            <w:r w:rsidR="006851AA" w:rsidRPr="00003C0B">
              <w:rPr>
                <w:sz w:val="22"/>
                <w:szCs w:val="22"/>
              </w:rPr>
              <w:t xml:space="preserve"> de la Oficina de Radiocomunicaciones.</w:t>
            </w:r>
          </w:p>
          <w:p w14:paraId="38097BC1" w14:textId="29BB6E2A" w:rsidR="006851AA" w:rsidRPr="00003C0B" w:rsidRDefault="006851AA" w:rsidP="006851AA">
            <w:pPr>
              <w:tabs>
                <w:tab w:val="clear" w:pos="794"/>
                <w:tab w:val="clear" w:pos="1191"/>
                <w:tab w:val="clear" w:pos="1588"/>
                <w:tab w:val="clear" w:pos="1985"/>
                <w:tab w:val="left" w:pos="226"/>
                <w:tab w:val="left" w:pos="510"/>
              </w:tabs>
              <w:spacing w:before="0"/>
              <w:ind w:left="226" w:hanging="169"/>
              <w:rPr>
                <w:sz w:val="22"/>
                <w:szCs w:val="22"/>
              </w:rPr>
            </w:pPr>
          </w:p>
        </w:tc>
      </w:tr>
      <w:tr w:rsidR="006851AA" w:rsidRPr="00003C0B" w14:paraId="6CB7FB04" w14:textId="77777777" w:rsidTr="00095A9C">
        <w:trPr>
          <w:cantSplit/>
        </w:trPr>
        <w:tc>
          <w:tcPr>
            <w:tcW w:w="985" w:type="dxa"/>
          </w:tcPr>
          <w:p w14:paraId="6F75367A" w14:textId="77777777" w:rsidR="006851AA" w:rsidRPr="00003C0B" w:rsidRDefault="006851AA" w:rsidP="006851AA">
            <w:pPr>
              <w:tabs>
                <w:tab w:val="left" w:pos="4111"/>
              </w:tabs>
              <w:spacing w:before="10"/>
              <w:ind w:left="57"/>
              <w:rPr>
                <w:b/>
                <w:bCs/>
                <w:sz w:val="22"/>
              </w:rPr>
            </w:pPr>
            <w:r w:rsidRPr="00003C0B">
              <w:rPr>
                <w:b/>
                <w:bCs/>
                <w:sz w:val="22"/>
              </w:rPr>
              <w:t>Asunto:</w:t>
            </w:r>
          </w:p>
        </w:tc>
        <w:tc>
          <w:tcPr>
            <w:tcW w:w="9221" w:type="dxa"/>
            <w:gridSpan w:val="3"/>
          </w:tcPr>
          <w:p w14:paraId="7EB7D01E" w14:textId="5004E176" w:rsidR="006851AA" w:rsidRPr="00003C0B" w:rsidRDefault="006851AA" w:rsidP="00095A9C">
            <w:pPr>
              <w:tabs>
                <w:tab w:val="left" w:pos="4111"/>
              </w:tabs>
              <w:spacing w:before="0"/>
              <w:rPr>
                <w:b/>
                <w:sz w:val="22"/>
                <w:szCs w:val="22"/>
              </w:rPr>
            </w:pPr>
            <w:bookmarkStart w:id="2" w:name="lt_pId160"/>
            <w:r w:rsidRPr="00003C0B">
              <w:rPr>
                <w:b/>
                <w:bCs/>
                <w:sz w:val="22"/>
                <w:szCs w:val="22"/>
              </w:rPr>
              <w:t xml:space="preserve">Creación de un nuevo Grupo Temático del UIT-T sobre </w:t>
            </w:r>
            <w:r w:rsidR="00FF25AD" w:rsidRPr="00003C0B">
              <w:rPr>
                <w:b/>
                <w:bCs/>
                <w:sz w:val="22"/>
                <w:szCs w:val="22"/>
              </w:rPr>
              <w:t>"</w:t>
            </w:r>
            <w:r w:rsidRPr="00003C0B">
              <w:rPr>
                <w:b/>
                <w:bCs/>
                <w:sz w:val="22"/>
                <w:szCs w:val="22"/>
              </w:rPr>
              <w:t>Inteligencia Artificial (IA) e Internet de las Cosas (</w:t>
            </w:r>
            <w:proofErr w:type="spellStart"/>
            <w:r w:rsidRPr="00003C0B">
              <w:rPr>
                <w:b/>
                <w:bCs/>
                <w:sz w:val="22"/>
                <w:szCs w:val="22"/>
              </w:rPr>
              <w:t>IoT</w:t>
            </w:r>
            <w:proofErr w:type="spellEnd"/>
            <w:r w:rsidRPr="00003C0B">
              <w:rPr>
                <w:b/>
                <w:bCs/>
                <w:sz w:val="22"/>
                <w:szCs w:val="22"/>
              </w:rPr>
              <w:t>) para la agricultura digital</w:t>
            </w:r>
            <w:r w:rsidR="00FF25AD" w:rsidRPr="00003C0B">
              <w:rPr>
                <w:b/>
                <w:bCs/>
                <w:sz w:val="22"/>
                <w:szCs w:val="22"/>
              </w:rPr>
              <w:t>"</w:t>
            </w:r>
            <w:r w:rsidRPr="00003C0B">
              <w:rPr>
                <w:b/>
                <w:bCs/>
                <w:sz w:val="22"/>
                <w:szCs w:val="22"/>
              </w:rPr>
              <w:t xml:space="preserve"> (</w:t>
            </w:r>
            <w:r w:rsidR="000C7376" w:rsidRPr="00003C0B">
              <w:rPr>
                <w:b/>
                <w:bCs/>
                <w:sz w:val="22"/>
                <w:szCs w:val="22"/>
              </w:rPr>
              <w:t>FG</w:t>
            </w:r>
            <w:r w:rsidRPr="00003C0B">
              <w:rPr>
                <w:b/>
                <w:bCs/>
                <w:sz w:val="22"/>
                <w:szCs w:val="22"/>
              </w:rPr>
              <w:t>-AI4A</w:t>
            </w:r>
            <w:proofErr w:type="gramStart"/>
            <w:r w:rsidRPr="00003C0B">
              <w:rPr>
                <w:b/>
                <w:bCs/>
                <w:sz w:val="22"/>
                <w:szCs w:val="22"/>
              </w:rPr>
              <w:t>)</w:t>
            </w:r>
            <w:bookmarkEnd w:id="2"/>
            <w:r w:rsidRPr="00003C0B">
              <w:rPr>
                <w:rFonts w:ascii="Calibri" w:hAnsi="Calibri" w:cs="Calibri"/>
                <w:b/>
                <w:bCs/>
                <w:sz w:val="22"/>
                <w:szCs w:val="22"/>
              </w:rPr>
              <w:t xml:space="preserve"> </w:t>
            </w:r>
            <w:r w:rsidRPr="00003C0B">
              <w:rPr>
                <w:b/>
                <w:bCs/>
                <w:sz w:val="22"/>
                <w:szCs w:val="22"/>
              </w:rPr>
              <w:t>,</w:t>
            </w:r>
            <w:proofErr w:type="gramEnd"/>
            <w:r w:rsidRPr="00003C0B">
              <w:rPr>
                <w:b/>
                <w:bCs/>
                <w:sz w:val="22"/>
                <w:szCs w:val="22"/>
              </w:rPr>
              <w:t xml:space="preserve"> y celebración de su primera reunión, en la modalidad virtual, los días 30 y 31 de marzo de 2022</w:t>
            </w:r>
          </w:p>
        </w:tc>
      </w:tr>
    </w:tbl>
    <w:p w14:paraId="1019317B" w14:textId="47F0DD1E" w:rsidR="00504E51" w:rsidRPr="00003C0B" w:rsidRDefault="00504E51" w:rsidP="00FF25AD">
      <w:pPr>
        <w:pStyle w:val="Normalaftertitle0"/>
        <w:rPr>
          <w:rFonts w:cs="Calibri"/>
          <w:sz w:val="22"/>
        </w:rPr>
      </w:pPr>
      <w:bookmarkStart w:id="3" w:name="StartTyping_S"/>
      <w:bookmarkStart w:id="4" w:name="suitetext"/>
      <w:bookmarkStart w:id="5" w:name="text"/>
      <w:bookmarkEnd w:id="3"/>
      <w:bookmarkEnd w:id="4"/>
      <w:bookmarkEnd w:id="5"/>
      <w:r w:rsidRPr="00003C0B">
        <w:rPr>
          <w:sz w:val="22"/>
        </w:rPr>
        <w:t>Muy Señora mía/Muy Señor mío</w:t>
      </w:r>
      <w:r w:rsidR="00D81257">
        <w:rPr>
          <w:sz w:val="22"/>
        </w:rPr>
        <w:t>,</w:t>
      </w:r>
    </w:p>
    <w:p w14:paraId="6E5975CF" w14:textId="74C1B056" w:rsidR="00095A9C" w:rsidRPr="00003C0B" w:rsidRDefault="00504E51" w:rsidP="00504E51">
      <w:pPr>
        <w:rPr>
          <w:sz w:val="22"/>
          <w:szCs w:val="22"/>
        </w:rPr>
      </w:pPr>
      <w:r w:rsidRPr="00003C0B">
        <w:rPr>
          <w:sz w:val="22"/>
          <w:szCs w:val="22"/>
        </w:rPr>
        <w:t>1</w:t>
      </w:r>
      <w:r w:rsidRPr="00003C0B">
        <w:rPr>
          <w:sz w:val="22"/>
          <w:szCs w:val="22"/>
        </w:rPr>
        <w:tab/>
      </w:r>
      <w:proofErr w:type="gramStart"/>
      <w:r w:rsidRPr="00003C0B">
        <w:rPr>
          <w:sz w:val="22"/>
          <w:szCs w:val="22"/>
        </w:rPr>
        <w:t>A</w:t>
      </w:r>
      <w:proofErr w:type="gramEnd"/>
      <w:r w:rsidRPr="00003C0B">
        <w:rPr>
          <w:sz w:val="22"/>
          <w:szCs w:val="22"/>
        </w:rPr>
        <w:t xml:space="preserve"> raíz del acuerdo alcanzado por la Comisión de Estudio 20 del UIT-T en su reunión virtual (celebrada del 11 al 21 de octubre de 2021), me complace anunciar la constitución de un nuevo </w:t>
      </w:r>
      <w:hyperlink r:id="rId10" w:history="1">
        <w:r w:rsidRPr="00003C0B">
          <w:rPr>
            <w:rStyle w:val="Hyperlink"/>
            <w:sz w:val="22"/>
            <w:szCs w:val="22"/>
          </w:rPr>
          <w:t>Grupo Temático del UIT-T sobre Inteligencia Artificial (IA) e Internet de las Cosas (</w:t>
        </w:r>
        <w:proofErr w:type="spellStart"/>
        <w:r w:rsidRPr="00003C0B">
          <w:rPr>
            <w:rStyle w:val="Hyperlink"/>
            <w:sz w:val="22"/>
            <w:szCs w:val="22"/>
          </w:rPr>
          <w:t>IoT</w:t>
        </w:r>
        <w:proofErr w:type="spellEnd"/>
        <w:r w:rsidRPr="00003C0B">
          <w:rPr>
            <w:rStyle w:val="Hyperlink"/>
            <w:sz w:val="22"/>
            <w:szCs w:val="22"/>
          </w:rPr>
          <w:t>) para la agricultura digital (FG-AI4A)</w:t>
        </w:r>
      </w:hyperlink>
      <w:r w:rsidR="005E3D32" w:rsidRPr="00003C0B">
        <w:rPr>
          <w:sz w:val="22"/>
        </w:rPr>
        <w:t>.</w:t>
      </w:r>
    </w:p>
    <w:p w14:paraId="6384C57C" w14:textId="7C86D378" w:rsidR="00504E51" w:rsidRPr="00003C0B" w:rsidRDefault="00504E51" w:rsidP="00504E51">
      <w:pPr>
        <w:rPr>
          <w:rFonts w:cs="Calibri"/>
          <w:sz w:val="22"/>
          <w:szCs w:val="22"/>
        </w:rPr>
      </w:pPr>
      <w:r w:rsidRPr="00003C0B">
        <w:rPr>
          <w:sz w:val="22"/>
          <w:szCs w:val="22"/>
        </w:rPr>
        <w:t>2</w:t>
      </w:r>
      <w:r w:rsidRPr="00003C0B">
        <w:rPr>
          <w:sz w:val="22"/>
          <w:szCs w:val="22"/>
        </w:rPr>
        <w:tab/>
      </w:r>
      <w:proofErr w:type="gramStart"/>
      <w:r w:rsidRPr="00003C0B">
        <w:rPr>
          <w:sz w:val="22"/>
          <w:szCs w:val="22"/>
        </w:rPr>
        <w:t>Copresidido</w:t>
      </w:r>
      <w:proofErr w:type="gramEnd"/>
      <w:r w:rsidRPr="00003C0B">
        <w:rPr>
          <w:sz w:val="22"/>
          <w:szCs w:val="22"/>
        </w:rPr>
        <w:t xml:space="preserve"> por el Dr. </w:t>
      </w:r>
      <w:proofErr w:type="spellStart"/>
      <w:r w:rsidRPr="00003C0B">
        <w:rPr>
          <w:sz w:val="22"/>
          <w:szCs w:val="22"/>
        </w:rPr>
        <w:t>Ramy</w:t>
      </w:r>
      <w:proofErr w:type="spellEnd"/>
      <w:r w:rsidRPr="00003C0B">
        <w:rPr>
          <w:sz w:val="22"/>
          <w:szCs w:val="22"/>
        </w:rPr>
        <w:t xml:space="preserve"> Ahmed </w:t>
      </w:r>
      <w:proofErr w:type="spellStart"/>
      <w:r w:rsidRPr="00003C0B">
        <w:rPr>
          <w:sz w:val="22"/>
          <w:szCs w:val="22"/>
        </w:rPr>
        <w:t>Fathy</w:t>
      </w:r>
      <w:proofErr w:type="spellEnd"/>
      <w:r w:rsidRPr="00003C0B">
        <w:rPr>
          <w:sz w:val="22"/>
          <w:szCs w:val="22"/>
        </w:rPr>
        <w:t xml:space="preserve"> (Egipto) y el Dr. </w:t>
      </w:r>
      <w:proofErr w:type="spellStart"/>
      <w:r w:rsidRPr="00003C0B">
        <w:rPr>
          <w:sz w:val="22"/>
          <w:szCs w:val="22"/>
        </w:rPr>
        <w:t>Sebastian</w:t>
      </w:r>
      <w:proofErr w:type="spellEnd"/>
      <w:r w:rsidRPr="00003C0B">
        <w:rPr>
          <w:sz w:val="22"/>
          <w:szCs w:val="22"/>
        </w:rPr>
        <w:t xml:space="preserve"> </w:t>
      </w:r>
      <w:proofErr w:type="spellStart"/>
      <w:r w:rsidRPr="00003C0B">
        <w:rPr>
          <w:sz w:val="22"/>
          <w:szCs w:val="22"/>
        </w:rPr>
        <w:t>Bosse</w:t>
      </w:r>
      <w:proofErr w:type="spellEnd"/>
      <w:r w:rsidRPr="00003C0B">
        <w:rPr>
          <w:sz w:val="22"/>
          <w:szCs w:val="22"/>
        </w:rPr>
        <w:t xml:space="preserve"> (Fraunhofer HHI, Alemania), el FG-AI4A estudia las posibilidades de aprovechar las tecnologías emergentes como la IA y la </w:t>
      </w:r>
      <w:proofErr w:type="spellStart"/>
      <w:r w:rsidRPr="00003C0B">
        <w:rPr>
          <w:sz w:val="22"/>
          <w:szCs w:val="22"/>
        </w:rPr>
        <w:t>IoT</w:t>
      </w:r>
      <w:proofErr w:type="spellEnd"/>
      <w:r w:rsidRPr="00003C0B">
        <w:rPr>
          <w:sz w:val="22"/>
          <w:szCs w:val="22"/>
        </w:rPr>
        <w:t xml:space="preserve"> para la recopilación y el tratamiento de datos, </w:t>
      </w:r>
      <w:r w:rsidR="00843396" w:rsidRPr="00003C0B">
        <w:rPr>
          <w:sz w:val="22"/>
          <w:szCs w:val="22"/>
        </w:rPr>
        <w:t>y de</w:t>
      </w:r>
      <w:r w:rsidRPr="00003C0B">
        <w:rPr>
          <w:sz w:val="22"/>
          <w:szCs w:val="22"/>
        </w:rPr>
        <w:t xml:space="preserve"> mejorar la modelización a partir de un creciente volumen de datos agrícolas y geoespaciales, a fin de permitir intervenciones eficaces en relación con la optimización de los procesos de producción agrícola. El equipo directivo del FG-AI4A incluye además al Sr. </w:t>
      </w:r>
      <w:proofErr w:type="spellStart"/>
      <w:r w:rsidRPr="00003C0B">
        <w:rPr>
          <w:sz w:val="22"/>
          <w:szCs w:val="22"/>
        </w:rPr>
        <w:t>Chunlin</w:t>
      </w:r>
      <w:proofErr w:type="spellEnd"/>
      <w:r w:rsidRPr="00003C0B">
        <w:rPr>
          <w:sz w:val="22"/>
          <w:szCs w:val="22"/>
        </w:rPr>
        <w:t xml:space="preserve"> </w:t>
      </w:r>
      <w:proofErr w:type="spellStart"/>
      <w:r w:rsidRPr="00003C0B">
        <w:rPr>
          <w:sz w:val="22"/>
          <w:szCs w:val="22"/>
        </w:rPr>
        <w:t>Pang</w:t>
      </w:r>
      <w:proofErr w:type="spellEnd"/>
      <w:r w:rsidRPr="00003C0B">
        <w:rPr>
          <w:sz w:val="22"/>
          <w:szCs w:val="22"/>
        </w:rPr>
        <w:t xml:space="preserve"> (</w:t>
      </w:r>
      <w:proofErr w:type="spellStart"/>
      <w:r w:rsidRPr="00003C0B">
        <w:rPr>
          <w:sz w:val="22"/>
          <w:szCs w:val="22"/>
        </w:rPr>
        <w:t>Telematics</w:t>
      </w:r>
      <w:proofErr w:type="spellEnd"/>
      <w:r w:rsidRPr="00003C0B">
        <w:rPr>
          <w:sz w:val="22"/>
          <w:szCs w:val="22"/>
        </w:rPr>
        <w:t xml:space="preserve"> </w:t>
      </w:r>
      <w:proofErr w:type="spellStart"/>
      <w:r w:rsidR="00095A9C" w:rsidRPr="00003C0B">
        <w:rPr>
          <w:sz w:val="22"/>
          <w:szCs w:val="22"/>
        </w:rPr>
        <w:t>Industry</w:t>
      </w:r>
      <w:proofErr w:type="spellEnd"/>
      <w:r w:rsidR="00095A9C" w:rsidRPr="00003C0B">
        <w:rPr>
          <w:sz w:val="22"/>
          <w:szCs w:val="22"/>
        </w:rPr>
        <w:t xml:space="preserve"> </w:t>
      </w:r>
      <w:proofErr w:type="spellStart"/>
      <w:r w:rsidRPr="00003C0B">
        <w:rPr>
          <w:sz w:val="22"/>
          <w:szCs w:val="22"/>
        </w:rPr>
        <w:t>Application</w:t>
      </w:r>
      <w:proofErr w:type="spellEnd"/>
      <w:r w:rsidRPr="00003C0B">
        <w:rPr>
          <w:sz w:val="22"/>
          <w:szCs w:val="22"/>
        </w:rPr>
        <w:t xml:space="preserve"> Alliance-TIAA, China), el Sr. </w:t>
      </w:r>
      <w:proofErr w:type="spellStart"/>
      <w:r w:rsidRPr="00003C0B">
        <w:rPr>
          <w:sz w:val="22"/>
          <w:szCs w:val="22"/>
        </w:rPr>
        <w:t>Zhongxin</w:t>
      </w:r>
      <w:proofErr w:type="spellEnd"/>
      <w:r w:rsidRPr="00003C0B">
        <w:rPr>
          <w:sz w:val="22"/>
          <w:szCs w:val="22"/>
        </w:rPr>
        <w:t xml:space="preserve"> Chen (Organización de las Naciones Unidas para la Alimentación y la Agricultura, FAO), el Dr. </w:t>
      </w:r>
      <w:proofErr w:type="spellStart"/>
      <w:r w:rsidRPr="00003C0B">
        <w:rPr>
          <w:sz w:val="22"/>
          <w:szCs w:val="22"/>
        </w:rPr>
        <w:t>Gyu</w:t>
      </w:r>
      <w:proofErr w:type="spellEnd"/>
      <w:r w:rsidRPr="00003C0B">
        <w:rPr>
          <w:sz w:val="22"/>
          <w:szCs w:val="22"/>
        </w:rPr>
        <w:t xml:space="preserve"> </w:t>
      </w:r>
      <w:proofErr w:type="spellStart"/>
      <w:r w:rsidRPr="00003C0B">
        <w:rPr>
          <w:sz w:val="22"/>
          <w:szCs w:val="22"/>
        </w:rPr>
        <w:t>Myoung</w:t>
      </w:r>
      <w:proofErr w:type="spellEnd"/>
      <w:r w:rsidRPr="00003C0B">
        <w:rPr>
          <w:sz w:val="22"/>
          <w:szCs w:val="22"/>
        </w:rPr>
        <w:t xml:space="preserve"> Lee (República de Corea) y el Sr. Paolo Gemma (Huawei Technologies Co., Ltd.)</w:t>
      </w:r>
      <w:r w:rsidR="009A0DAB" w:rsidRPr="00003C0B">
        <w:rPr>
          <w:sz w:val="22"/>
          <w:szCs w:val="22"/>
        </w:rPr>
        <w:t>,</w:t>
      </w:r>
      <w:r w:rsidRPr="00003C0B">
        <w:rPr>
          <w:sz w:val="22"/>
          <w:szCs w:val="22"/>
        </w:rPr>
        <w:t xml:space="preserve"> en calidad de </w:t>
      </w:r>
      <w:proofErr w:type="gramStart"/>
      <w:r w:rsidRPr="00003C0B">
        <w:rPr>
          <w:sz w:val="22"/>
          <w:szCs w:val="22"/>
        </w:rPr>
        <w:t>Vicepresidentes</w:t>
      </w:r>
      <w:proofErr w:type="gramEnd"/>
      <w:r w:rsidRPr="00003C0B">
        <w:rPr>
          <w:sz w:val="22"/>
          <w:szCs w:val="22"/>
        </w:rPr>
        <w:t>. Las actividades de este Grupo Temático se llevarán a cabo en estrecha colaboración con la FAO.</w:t>
      </w:r>
    </w:p>
    <w:p w14:paraId="7799008F" w14:textId="53D653F9" w:rsidR="00504E51" w:rsidRPr="00003C0B" w:rsidRDefault="00504E51" w:rsidP="00504E51">
      <w:pPr>
        <w:rPr>
          <w:rFonts w:cs="Calibri"/>
          <w:sz w:val="22"/>
          <w:szCs w:val="22"/>
        </w:rPr>
      </w:pPr>
      <w:r w:rsidRPr="00003C0B">
        <w:rPr>
          <w:sz w:val="22"/>
          <w:szCs w:val="22"/>
        </w:rPr>
        <w:t>3</w:t>
      </w:r>
      <w:r w:rsidRPr="00003C0B">
        <w:rPr>
          <w:sz w:val="22"/>
          <w:szCs w:val="22"/>
        </w:rPr>
        <w:tab/>
      </w:r>
      <w:proofErr w:type="gramStart"/>
      <w:r w:rsidRPr="00003C0B">
        <w:rPr>
          <w:sz w:val="22"/>
          <w:szCs w:val="22"/>
        </w:rPr>
        <w:t>La</w:t>
      </w:r>
      <w:proofErr w:type="gramEnd"/>
      <w:r w:rsidRPr="00003C0B">
        <w:rPr>
          <w:sz w:val="22"/>
          <w:szCs w:val="22"/>
        </w:rPr>
        <w:t xml:space="preserve"> participación en el FG-AI4A es gratuita y está abierta a expertos y organizaciones de todos los sectores y disciplinas pertinentes como la inteligencia artificial y el aprendizaje automático (AI/ML), la Internet de las Cosas (</w:t>
      </w:r>
      <w:proofErr w:type="spellStart"/>
      <w:r w:rsidRPr="00003C0B">
        <w:rPr>
          <w:sz w:val="22"/>
          <w:szCs w:val="22"/>
        </w:rPr>
        <w:t>IoT</w:t>
      </w:r>
      <w:proofErr w:type="spellEnd"/>
      <w:r w:rsidRPr="00003C0B">
        <w:rPr>
          <w:sz w:val="22"/>
          <w:szCs w:val="22"/>
        </w:rPr>
        <w:t xml:space="preserve">), las geociencias y otras esferas conexas de la agricultura digital. Se invita a todos los interesados en seguir dicha labor o participar en ella a que se suscriban a una lista de correo electrónico específica; en el siguiente enlace se facilita información adicional sobre el proceso de inscripción: </w:t>
      </w:r>
      <w:hyperlink r:id="rId11" w:history="1">
        <w:r w:rsidR="00095A9C" w:rsidRPr="00003C0B">
          <w:rPr>
            <w:rStyle w:val="Hyperlink"/>
            <w:sz w:val="22"/>
            <w:szCs w:val="22"/>
          </w:rPr>
          <w:t>https://www.itu.int/en/ITU-T/focusgroups/ai4a/Pages/quicksteps.aspx</w:t>
        </w:r>
      </w:hyperlink>
      <w:r w:rsidRPr="00003C0B">
        <w:rPr>
          <w:sz w:val="22"/>
          <w:szCs w:val="22"/>
        </w:rPr>
        <w:t>.</w:t>
      </w:r>
    </w:p>
    <w:p w14:paraId="43B757F9" w14:textId="5B6B971B" w:rsidR="00504E51" w:rsidRPr="00003C0B" w:rsidRDefault="00504E51" w:rsidP="00504E51">
      <w:pPr>
        <w:rPr>
          <w:rFonts w:cs="Calibri"/>
          <w:sz w:val="22"/>
          <w:szCs w:val="22"/>
        </w:rPr>
      </w:pPr>
      <w:r w:rsidRPr="00003C0B">
        <w:rPr>
          <w:sz w:val="22"/>
          <w:szCs w:val="22"/>
        </w:rPr>
        <w:t>4</w:t>
      </w:r>
      <w:r w:rsidRPr="00003C0B">
        <w:rPr>
          <w:sz w:val="22"/>
          <w:szCs w:val="22"/>
        </w:rPr>
        <w:tab/>
      </w:r>
      <w:proofErr w:type="gramStart"/>
      <w:r w:rsidRPr="00003C0B">
        <w:rPr>
          <w:sz w:val="22"/>
          <w:szCs w:val="22"/>
        </w:rPr>
        <w:t>El</w:t>
      </w:r>
      <w:proofErr w:type="gramEnd"/>
      <w:r w:rsidRPr="00003C0B">
        <w:rPr>
          <w:sz w:val="22"/>
          <w:szCs w:val="22"/>
        </w:rPr>
        <w:t xml:space="preserve"> Grupo Temático ejercerá sus funciones con arreglo a los procedimientos estipulados en la </w:t>
      </w:r>
      <w:hyperlink r:id="rId12" w:history="1">
        <w:r w:rsidRPr="00003C0B">
          <w:rPr>
            <w:rStyle w:val="Hyperlink"/>
            <w:sz w:val="22"/>
            <w:szCs w:val="22"/>
          </w:rPr>
          <w:t>Recomendación UIT-T A.7</w:t>
        </w:r>
      </w:hyperlink>
      <w:r w:rsidRPr="00003C0B">
        <w:rPr>
          <w:sz w:val="22"/>
          <w:szCs w:val="22"/>
        </w:rPr>
        <w:t xml:space="preserve"> y de conformidad con</w:t>
      </w:r>
      <w:r w:rsidR="009A0DAB" w:rsidRPr="00003C0B">
        <w:rPr>
          <w:sz w:val="22"/>
          <w:szCs w:val="22"/>
        </w:rPr>
        <w:t xml:space="preserve"> el</w:t>
      </w:r>
      <w:r w:rsidRPr="00003C0B">
        <w:rPr>
          <w:sz w:val="22"/>
          <w:szCs w:val="22"/>
        </w:rPr>
        <w:t xml:space="preserve"> mandato acordado que figura en el </w:t>
      </w:r>
      <w:r w:rsidRPr="00003C0B">
        <w:rPr>
          <w:b/>
          <w:bCs/>
          <w:sz w:val="22"/>
          <w:szCs w:val="22"/>
        </w:rPr>
        <w:t>Anexo 1.</w:t>
      </w:r>
      <w:r w:rsidRPr="00003C0B">
        <w:rPr>
          <w:sz w:val="22"/>
          <w:szCs w:val="22"/>
        </w:rPr>
        <w:t xml:space="preserve"> Su duración prevista es de un año a partir de su primera reunión.</w:t>
      </w:r>
    </w:p>
    <w:p w14:paraId="6BB6C631" w14:textId="4990D208" w:rsidR="00504E51" w:rsidRPr="00003C0B" w:rsidRDefault="00504E51" w:rsidP="00504E51">
      <w:pPr>
        <w:rPr>
          <w:rFonts w:cs="Calibri"/>
          <w:sz w:val="22"/>
          <w:szCs w:val="22"/>
        </w:rPr>
      </w:pPr>
      <w:r w:rsidRPr="00003C0B">
        <w:rPr>
          <w:sz w:val="22"/>
          <w:szCs w:val="22"/>
        </w:rPr>
        <w:t>5</w:t>
      </w:r>
      <w:r w:rsidRPr="00003C0B">
        <w:rPr>
          <w:sz w:val="22"/>
          <w:szCs w:val="22"/>
        </w:rPr>
        <w:tab/>
      </w:r>
      <w:proofErr w:type="gramStart"/>
      <w:r w:rsidRPr="00003C0B">
        <w:rPr>
          <w:sz w:val="22"/>
          <w:szCs w:val="22"/>
        </w:rPr>
        <w:t>La</w:t>
      </w:r>
      <w:proofErr w:type="gramEnd"/>
      <w:r w:rsidRPr="00003C0B">
        <w:rPr>
          <w:sz w:val="22"/>
          <w:szCs w:val="22"/>
        </w:rPr>
        <w:t xml:space="preserve"> primera reunión del FG-AI4A se celebrará de forma virtual los días 30 y 31 de marzo de 2022, de las 13.00 a las 16.00 horas (hora de Ginebra). Entre los objetivos de la primera reunión figuran:</w:t>
      </w:r>
    </w:p>
    <w:p w14:paraId="5DDE44BA" w14:textId="1CA3B682" w:rsidR="00504E51" w:rsidRPr="00003C0B" w:rsidRDefault="005E3D32" w:rsidP="005E3D32">
      <w:pPr>
        <w:pStyle w:val="enumlev1"/>
        <w:rPr>
          <w:sz w:val="22"/>
        </w:rPr>
      </w:pPr>
      <w:r w:rsidRPr="00003C0B">
        <w:rPr>
          <w:sz w:val="22"/>
        </w:rPr>
        <w:t>–</w:t>
      </w:r>
      <w:r w:rsidRPr="00003C0B">
        <w:rPr>
          <w:sz w:val="22"/>
        </w:rPr>
        <w:tab/>
      </w:r>
      <w:r w:rsidR="00504E51" w:rsidRPr="00003C0B">
        <w:rPr>
          <w:sz w:val="22"/>
        </w:rPr>
        <w:t>el acuerdo sobre el plan de trabajo, la estructura y los productos del FG-AI4A;</w:t>
      </w:r>
    </w:p>
    <w:p w14:paraId="32FF8862" w14:textId="403B91C7" w:rsidR="00504E51" w:rsidRPr="00003C0B" w:rsidRDefault="005E3D32" w:rsidP="005E3D32">
      <w:pPr>
        <w:pStyle w:val="enumlev1"/>
        <w:rPr>
          <w:sz w:val="22"/>
        </w:rPr>
      </w:pPr>
      <w:r w:rsidRPr="00003C0B">
        <w:rPr>
          <w:sz w:val="22"/>
        </w:rPr>
        <w:t>–</w:t>
      </w:r>
      <w:r w:rsidRPr="00003C0B">
        <w:rPr>
          <w:sz w:val="22"/>
        </w:rPr>
        <w:tab/>
      </w:r>
      <w:r w:rsidR="00504E51" w:rsidRPr="00003C0B">
        <w:rPr>
          <w:sz w:val="22"/>
        </w:rPr>
        <w:t>el acuerdo sobre los métodos de trabajo del FG-AI4A sobre la base de la Recomendación UIT-T A.7;</w:t>
      </w:r>
    </w:p>
    <w:p w14:paraId="101FF843" w14:textId="485460C6" w:rsidR="00504E51" w:rsidRPr="00003C0B" w:rsidRDefault="005E3D32" w:rsidP="005E3D32">
      <w:pPr>
        <w:pStyle w:val="enumlev1"/>
        <w:rPr>
          <w:rFonts w:cs="Calibri"/>
          <w:sz w:val="22"/>
        </w:rPr>
      </w:pPr>
      <w:r w:rsidRPr="00003C0B">
        <w:rPr>
          <w:sz w:val="22"/>
        </w:rPr>
        <w:t>–</w:t>
      </w:r>
      <w:r w:rsidRPr="00003C0B">
        <w:rPr>
          <w:sz w:val="22"/>
        </w:rPr>
        <w:tab/>
      </w:r>
      <w:r w:rsidR="00504E51" w:rsidRPr="00003C0B">
        <w:rPr>
          <w:sz w:val="22"/>
        </w:rPr>
        <w:t>el acuerdo sobre el calendario establecido para los resultados del FG-AI4A;</w:t>
      </w:r>
    </w:p>
    <w:p w14:paraId="3583E1F4" w14:textId="54C2284F" w:rsidR="00504E51" w:rsidRPr="00003C0B" w:rsidRDefault="005E3D32" w:rsidP="005E3D32">
      <w:pPr>
        <w:pStyle w:val="enumlev1"/>
        <w:rPr>
          <w:rFonts w:cs="Calibri"/>
          <w:sz w:val="22"/>
        </w:rPr>
      </w:pPr>
      <w:r w:rsidRPr="00003C0B">
        <w:rPr>
          <w:sz w:val="22"/>
        </w:rPr>
        <w:lastRenderedPageBreak/>
        <w:t>–</w:t>
      </w:r>
      <w:r w:rsidRPr="00003C0B">
        <w:rPr>
          <w:sz w:val="22"/>
        </w:rPr>
        <w:tab/>
      </w:r>
      <w:r w:rsidR="00504E51" w:rsidRPr="00003C0B">
        <w:rPr>
          <w:sz w:val="22"/>
        </w:rPr>
        <w:t>el acuerdo sobre la planificación de las futuras reuniones del FG-AI4A, incluida su frecuencia;</w:t>
      </w:r>
    </w:p>
    <w:p w14:paraId="1F802FA6" w14:textId="4D8B6256" w:rsidR="00504E51" w:rsidRPr="00003C0B" w:rsidRDefault="005E3D32" w:rsidP="005E3D32">
      <w:pPr>
        <w:pStyle w:val="enumlev1"/>
        <w:rPr>
          <w:rFonts w:cs="Calibri"/>
          <w:sz w:val="22"/>
        </w:rPr>
      </w:pPr>
      <w:r w:rsidRPr="00003C0B">
        <w:rPr>
          <w:sz w:val="22"/>
        </w:rPr>
        <w:t>–</w:t>
      </w:r>
      <w:r w:rsidRPr="00003C0B">
        <w:rPr>
          <w:sz w:val="22"/>
        </w:rPr>
        <w:tab/>
      </w:r>
      <w:r w:rsidR="00504E51" w:rsidRPr="00003C0B">
        <w:rPr>
          <w:sz w:val="22"/>
        </w:rPr>
        <w:t>el examen y la presentación de contribuciones escritas, incluidos los nuevos casos de uso;</w:t>
      </w:r>
      <w:r w:rsidR="000A6620" w:rsidRPr="00003C0B">
        <w:rPr>
          <w:sz w:val="22"/>
        </w:rPr>
        <w:t xml:space="preserve"> y</w:t>
      </w:r>
    </w:p>
    <w:p w14:paraId="13B0BD43" w14:textId="751740BA" w:rsidR="00504E51" w:rsidRPr="00003C0B" w:rsidRDefault="005E3D32" w:rsidP="005E3D32">
      <w:pPr>
        <w:pStyle w:val="enumlev1"/>
        <w:rPr>
          <w:sz w:val="22"/>
        </w:rPr>
      </w:pPr>
      <w:r w:rsidRPr="00003C0B">
        <w:rPr>
          <w:sz w:val="22"/>
        </w:rPr>
        <w:t>–</w:t>
      </w:r>
      <w:r w:rsidRPr="00003C0B">
        <w:rPr>
          <w:sz w:val="22"/>
        </w:rPr>
        <w:tab/>
      </w:r>
      <w:r w:rsidR="00504E51" w:rsidRPr="00003C0B">
        <w:rPr>
          <w:sz w:val="22"/>
        </w:rPr>
        <w:t>la designación del equipo directivo del FG-AI4A</w:t>
      </w:r>
      <w:r w:rsidR="000A6620" w:rsidRPr="00003C0B">
        <w:rPr>
          <w:sz w:val="22"/>
        </w:rPr>
        <w:t>, incluidos sus vicepresidentes.</w:t>
      </w:r>
    </w:p>
    <w:p w14:paraId="7E597187" w14:textId="0553EF78" w:rsidR="00504E51" w:rsidRPr="00003C0B" w:rsidRDefault="00504E51" w:rsidP="00504E51">
      <w:pPr>
        <w:pStyle w:val="enumlev1"/>
        <w:ind w:left="0" w:firstLine="0"/>
        <w:rPr>
          <w:rFonts w:cs="Calibri"/>
          <w:sz w:val="22"/>
          <w:szCs w:val="22"/>
        </w:rPr>
      </w:pPr>
      <w:r w:rsidRPr="00003C0B">
        <w:rPr>
          <w:sz w:val="22"/>
          <w:szCs w:val="22"/>
        </w:rPr>
        <w:t xml:space="preserve">La primera reunión irá precedida del </w:t>
      </w:r>
      <w:r w:rsidR="00095A9C" w:rsidRPr="00003C0B">
        <w:rPr>
          <w:sz w:val="22"/>
          <w:szCs w:val="22"/>
        </w:rPr>
        <w:t>webinario</w:t>
      </w:r>
      <w:r w:rsidRPr="00003C0B">
        <w:rPr>
          <w:sz w:val="22"/>
          <w:szCs w:val="22"/>
        </w:rPr>
        <w:t xml:space="preserve"> sobre </w:t>
      </w:r>
      <w:r w:rsidR="00003C0B">
        <w:rPr>
          <w:b/>
          <w:bCs/>
          <w:i/>
          <w:iCs/>
          <w:sz w:val="22"/>
          <w:szCs w:val="22"/>
        </w:rPr>
        <w:t>"</w:t>
      </w:r>
      <w:r w:rsidRPr="00003C0B">
        <w:rPr>
          <w:b/>
          <w:bCs/>
          <w:i/>
          <w:iCs/>
          <w:sz w:val="22"/>
          <w:szCs w:val="22"/>
        </w:rPr>
        <w:t xml:space="preserve">Aceleración de la transformación digital agrícola mediante la IA y la </w:t>
      </w:r>
      <w:proofErr w:type="spellStart"/>
      <w:r w:rsidRPr="00003C0B">
        <w:rPr>
          <w:b/>
          <w:bCs/>
          <w:i/>
          <w:iCs/>
          <w:sz w:val="22"/>
          <w:szCs w:val="22"/>
        </w:rPr>
        <w:t>IoT</w:t>
      </w:r>
      <w:proofErr w:type="spellEnd"/>
      <w:r w:rsidR="00003C0B">
        <w:rPr>
          <w:b/>
          <w:bCs/>
          <w:i/>
          <w:iCs/>
          <w:sz w:val="22"/>
          <w:szCs w:val="22"/>
        </w:rPr>
        <w:t>"</w:t>
      </w:r>
      <w:r w:rsidRPr="00003C0B">
        <w:rPr>
          <w:sz w:val="22"/>
          <w:szCs w:val="22"/>
        </w:rPr>
        <w:t xml:space="preserve">, organizado el 29 de marzo de 2022 como parte </w:t>
      </w:r>
      <w:r w:rsidR="000A6620" w:rsidRPr="00003C0B">
        <w:rPr>
          <w:sz w:val="22"/>
          <w:szCs w:val="22"/>
        </w:rPr>
        <w:t xml:space="preserve">de la </w:t>
      </w:r>
      <w:hyperlink r:id="rId13" w:history="1">
        <w:r w:rsidR="000A6620" w:rsidRPr="00003C0B">
          <w:rPr>
            <w:rStyle w:val="Hyperlink"/>
            <w:sz w:val="22"/>
            <w:szCs w:val="22"/>
          </w:rPr>
          <w:t>serie de seminarios web sobre transformación digital de ciudades y comunidades</w:t>
        </w:r>
      </w:hyperlink>
      <w:r w:rsidR="005E3D32" w:rsidRPr="00003C0B">
        <w:rPr>
          <w:sz w:val="22"/>
        </w:rPr>
        <w:t>.</w:t>
      </w:r>
    </w:p>
    <w:p w14:paraId="48653F1B" w14:textId="631C8042" w:rsidR="00504E51" w:rsidRPr="00003C0B" w:rsidRDefault="00504E51" w:rsidP="00504E51">
      <w:pPr>
        <w:rPr>
          <w:rFonts w:cs="Calibri"/>
          <w:sz w:val="22"/>
          <w:szCs w:val="22"/>
        </w:rPr>
      </w:pPr>
      <w:r w:rsidRPr="00003C0B">
        <w:rPr>
          <w:sz w:val="22"/>
          <w:szCs w:val="22"/>
        </w:rPr>
        <w:t>6</w:t>
      </w:r>
      <w:r w:rsidRPr="00003C0B">
        <w:rPr>
          <w:sz w:val="22"/>
          <w:szCs w:val="22"/>
        </w:rPr>
        <w:tab/>
      </w:r>
      <w:proofErr w:type="gramStart"/>
      <w:r w:rsidRPr="00003C0B">
        <w:rPr>
          <w:sz w:val="22"/>
          <w:szCs w:val="22"/>
        </w:rPr>
        <w:t>Habida</w:t>
      </w:r>
      <w:proofErr w:type="gramEnd"/>
      <w:r w:rsidRPr="00003C0B">
        <w:rPr>
          <w:sz w:val="22"/>
          <w:szCs w:val="22"/>
        </w:rPr>
        <w:t xml:space="preserve"> cuenta de que las contribuciones por escrito son </w:t>
      </w:r>
      <w:r w:rsidR="000A6620" w:rsidRPr="00003C0B">
        <w:rPr>
          <w:sz w:val="22"/>
          <w:szCs w:val="22"/>
        </w:rPr>
        <w:t>importantes</w:t>
      </w:r>
      <w:r w:rsidRPr="00003C0B">
        <w:rPr>
          <w:sz w:val="22"/>
          <w:szCs w:val="22"/>
        </w:rPr>
        <w:t xml:space="preserve"> para el éxito final de los Grupos Temáticos, recomendamos encarecidamente a sus autores que se ajusten al mandato incluido en el </w:t>
      </w:r>
      <w:r w:rsidRPr="00003C0B">
        <w:rPr>
          <w:b/>
          <w:bCs/>
          <w:sz w:val="22"/>
          <w:szCs w:val="22"/>
        </w:rPr>
        <w:t>Anexo 1</w:t>
      </w:r>
      <w:r w:rsidRPr="00003C0B">
        <w:rPr>
          <w:sz w:val="22"/>
          <w:szCs w:val="22"/>
        </w:rPr>
        <w:t xml:space="preserve"> y que aborden los objetivos destacados </w:t>
      </w:r>
      <w:r w:rsidRPr="00003C0B">
        <w:rPr>
          <w:i/>
          <w:iCs/>
          <w:sz w:val="22"/>
          <w:szCs w:val="22"/>
        </w:rPr>
        <w:t>supra</w:t>
      </w:r>
      <w:r w:rsidRPr="00003C0B">
        <w:rPr>
          <w:sz w:val="22"/>
          <w:szCs w:val="22"/>
        </w:rPr>
        <w:t>, a fin de impulsar un plan de desarrollo inicial de los productos finales. Dichas contribuciones deben presentarse a la Secretaría de la TSB (</w:t>
      </w:r>
      <w:hyperlink r:id="rId14" w:history="1">
        <w:r w:rsidRPr="00003C0B">
          <w:rPr>
            <w:rStyle w:val="Hyperlink"/>
            <w:sz w:val="22"/>
            <w:szCs w:val="22"/>
          </w:rPr>
          <w:t>tsbfgai4a@itu.int</w:t>
        </w:r>
      </w:hyperlink>
      <w:r w:rsidRPr="00003C0B">
        <w:rPr>
          <w:sz w:val="22"/>
          <w:szCs w:val="22"/>
        </w:rPr>
        <w:t xml:space="preserve">) en formato electrónico mediante las plantillas disponibles en la </w:t>
      </w:r>
      <w:hyperlink r:id="rId15" w:history="1">
        <w:r w:rsidR="000A6620" w:rsidRPr="00003C0B">
          <w:rPr>
            <w:rStyle w:val="Hyperlink"/>
            <w:sz w:val="22"/>
            <w:szCs w:val="22"/>
          </w:rPr>
          <w:t>página web de inicio del FG-AI4A</w:t>
        </w:r>
      </w:hyperlink>
      <w:r w:rsidRPr="00003C0B">
        <w:rPr>
          <w:sz w:val="22"/>
          <w:szCs w:val="22"/>
        </w:rPr>
        <w:t xml:space="preserve">. </w:t>
      </w:r>
      <w:r w:rsidRPr="00003C0B">
        <w:rPr>
          <w:b/>
          <w:bCs/>
          <w:sz w:val="22"/>
          <w:szCs w:val="22"/>
        </w:rPr>
        <w:t>El plazo de presentación de contribuciones a la primera reunión finaliza el 18 de marzo de 2022.</w:t>
      </w:r>
    </w:p>
    <w:p w14:paraId="7C453CDF" w14:textId="75F3E865" w:rsidR="00095A9C" w:rsidRPr="00003C0B" w:rsidRDefault="00504E51" w:rsidP="00504E51">
      <w:pPr>
        <w:rPr>
          <w:sz w:val="22"/>
          <w:szCs w:val="22"/>
        </w:rPr>
      </w:pPr>
      <w:r w:rsidRPr="00003C0B">
        <w:rPr>
          <w:sz w:val="22"/>
          <w:szCs w:val="22"/>
        </w:rPr>
        <w:t>7</w:t>
      </w:r>
      <w:r w:rsidRPr="00003C0B">
        <w:rPr>
          <w:sz w:val="22"/>
          <w:szCs w:val="22"/>
        </w:rPr>
        <w:tab/>
      </w:r>
      <w:proofErr w:type="gramStart"/>
      <w:r w:rsidRPr="00003C0B">
        <w:rPr>
          <w:sz w:val="22"/>
          <w:szCs w:val="22"/>
        </w:rPr>
        <w:t>El</w:t>
      </w:r>
      <w:proofErr w:type="gramEnd"/>
      <w:r w:rsidRPr="00003C0B">
        <w:rPr>
          <w:sz w:val="22"/>
          <w:szCs w:val="22"/>
        </w:rPr>
        <w:t xml:space="preserve"> orden del día, los documentos y otra información útil de la reunión se pondrán a disposición a través de la </w:t>
      </w:r>
      <w:hyperlink r:id="rId16" w:history="1">
        <w:r w:rsidRPr="00003C0B">
          <w:rPr>
            <w:rStyle w:val="Hyperlink"/>
            <w:sz w:val="22"/>
            <w:szCs w:val="22"/>
          </w:rPr>
          <w:t>página web de inicio del FG-AI4A</w:t>
        </w:r>
      </w:hyperlink>
      <w:r w:rsidRPr="00003C0B">
        <w:rPr>
          <w:sz w:val="22"/>
          <w:szCs w:val="22"/>
        </w:rPr>
        <w:t xml:space="preserve"> antes de la reunión. Los debates tendrán lugar únicamente en inglés a través de la </w:t>
      </w:r>
      <w:hyperlink r:id="rId17" w:anchor="/MyMeetings" w:history="1">
        <w:r w:rsidRPr="00003C0B">
          <w:rPr>
            <w:rStyle w:val="Hyperlink"/>
            <w:sz w:val="22"/>
            <w:szCs w:val="22"/>
          </w:rPr>
          <w:t xml:space="preserve">plataforma </w:t>
        </w:r>
        <w:proofErr w:type="spellStart"/>
        <w:r w:rsidRPr="00003C0B">
          <w:rPr>
            <w:rStyle w:val="Hyperlink"/>
            <w:sz w:val="22"/>
            <w:szCs w:val="22"/>
          </w:rPr>
          <w:t>MyMeetings</w:t>
        </w:r>
        <w:proofErr w:type="spellEnd"/>
      </w:hyperlink>
      <w:r w:rsidRPr="00003C0B">
        <w:rPr>
          <w:sz w:val="22"/>
          <w:szCs w:val="22"/>
        </w:rPr>
        <w:t>.</w:t>
      </w:r>
    </w:p>
    <w:p w14:paraId="0826328D" w14:textId="09DEC1E0" w:rsidR="00504E51" w:rsidRPr="00003C0B" w:rsidRDefault="00490956" w:rsidP="00504E51">
      <w:pPr>
        <w:spacing w:after="120"/>
        <w:rPr>
          <w:rFonts w:cs="Calibri"/>
          <w:sz w:val="22"/>
          <w:szCs w:val="22"/>
        </w:rPr>
      </w:pPr>
      <w:r>
        <w:rPr>
          <w:sz w:val="22"/>
          <w:szCs w:val="22"/>
        </w:rPr>
        <w:t>8</w:t>
      </w:r>
      <w:r w:rsidR="00504E51" w:rsidRPr="00003C0B">
        <w:rPr>
          <w:sz w:val="22"/>
          <w:szCs w:val="22"/>
        </w:rPr>
        <w:tab/>
      </w:r>
      <w:proofErr w:type="gramStart"/>
      <w:r w:rsidR="00504E51" w:rsidRPr="00003C0B">
        <w:rPr>
          <w:sz w:val="22"/>
          <w:szCs w:val="22"/>
        </w:rPr>
        <w:t>Para</w:t>
      </w:r>
      <w:proofErr w:type="gramEnd"/>
      <w:r w:rsidR="00504E51" w:rsidRPr="00003C0B">
        <w:rPr>
          <w:sz w:val="22"/>
          <w:szCs w:val="22"/>
        </w:rPr>
        <w:t xml:space="preserve"> que la UIT pueda llevar a cabo la labor de organización necesaria, se invita a los participantes a que se inscriban en línea a través de la </w:t>
      </w:r>
      <w:hyperlink r:id="rId18" w:history="1">
        <w:r w:rsidR="00504E51" w:rsidRPr="00003C0B">
          <w:rPr>
            <w:rStyle w:val="Hyperlink"/>
            <w:sz w:val="22"/>
            <w:szCs w:val="22"/>
          </w:rPr>
          <w:t>página web de inicio del FG-AI4A</w:t>
        </w:r>
      </w:hyperlink>
      <w:r w:rsidR="00504E51" w:rsidRPr="00003C0B">
        <w:rPr>
          <w:sz w:val="22"/>
          <w:szCs w:val="22"/>
        </w:rPr>
        <w:t xml:space="preserve"> lo antes posible. </w:t>
      </w:r>
      <w:r w:rsidR="00504E51" w:rsidRPr="00003C0B">
        <w:rPr>
          <w:sz w:val="22"/>
          <w:szCs w:val="22"/>
          <w:u w:val="single"/>
        </w:rPr>
        <w:t>Cabe observar que la inscripción es obligatoria.</w:t>
      </w:r>
    </w:p>
    <w:tbl>
      <w:tblPr>
        <w:tblStyle w:val="TableGrid"/>
        <w:tblW w:w="5000" w:type="pct"/>
        <w:tblLayout w:type="fixed"/>
        <w:tblLook w:val="04A0" w:firstRow="1" w:lastRow="0" w:firstColumn="1" w:lastColumn="0" w:noHBand="0" w:noVBand="1"/>
      </w:tblPr>
      <w:tblGrid>
        <w:gridCol w:w="1982"/>
        <w:gridCol w:w="7647"/>
      </w:tblGrid>
      <w:tr w:rsidR="00504E51" w:rsidRPr="00003C0B" w14:paraId="63E5101C" w14:textId="77777777" w:rsidTr="007164E6">
        <w:trPr>
          <w:trHeight w:val="438"/>
        </w:trPr>
        <w:tc>
          <w:tcPr>
            <w:tcW w:w="1999" w:type="dxa"/>
          </w:tcPr>
          <w:p w14:paraId="3C6E0DFC" w14:textId="589A69C1" w:rsidR="00504E51" w:rsidRPr="00003C0B" w:rsidRDefault="007164E6" w:rsidP="00473577">
            <w:pPr>
              <w:keepNext/>
              <w:keepLines/>
              <w:spacing w:before="60" w:after="60" w:line="300" w:lineRule="exact"/>
              <w:jc w:val="center"/>
              <w:rPr>
                <w:rFonts w:cstheme="minorHAnsi"/>
                <w:sz w:val="22"/>
                <w:szCs w:val="22"/>
              </w:rPr>
            </w:pPr>
            <w:r w:rsidRPr="00003C0B">
              <w:rPr>
                <w:rFonts w:cstheme="minorHAnsi"/>
                <w:sz w:val="22"/>
                <w:szCs w:val="22"/>
              </w:rPr>
              <w:t>10 de marzo</w:t>
            </w:r>
            <w:r w:rsidRPr="00003C0B">
              <w:rPr>
                <w:rFonts w:cstheme="minorHAnsi"/>
                <w:sz w:val="22"/>
                <w:szCs w:val="22"/>
              </w:rPr>
              <w:br/>
            </w:r>
            <w:r w:rsidR="00504E51" w:rsidRPr="00003C0B">
              <w:rPr>
                <w:rFonts w:cstheme="minorHAnsi"/>
                <w:sz w:val="22"/>
                <w:szCs w:val="22"/>
              </w:rPr>
              <w:t>de 2022</w:t>
            </w:r>
          </w:p>
        </w:tc>
        <w:tc>
          <w:tcPr>
            <w:tcW w:w="7720" w:type="dxa"/>
            <w:vAlign w:val="center"/>
          </w:tcPr>
          <w:p w14:paraId="651B5051" w14:textId="5482D882" w:rsidR="00504E51" w:rsidRPr="00003C0B" w:rsidRDefault="007164E6" w:rsidP="007164E6">
            <w:pPr>
              <w:pStyle w:val="enumlev1"/>
              <w:tabs>
                <w:tab w:val="clear" w:pos="794"/>
                <w:tab w:val="left" w:pos="452"/>
              </w:tabs>
              <w:rPr>
                <w:rFonts w:cstheme="minorHAnsi"/>
                <w:sz w:val="22"/>
                <w:szCs w:val="22"/>
              </w:rPr>
            </w:pPr>
            <w:r w:rsidRPr="00003C0B">
              <w:rPr>
                <w:rFonts w:cstheme="minorHAnsi"/>
                <w:sz w:val="22"/>
                <w:szCs w:val="22"/>
              </w:rPr>
              <w:t>–</w:t>
            </w:r>
            <w:r w:rsidRPr="00003C0B">
              <w:rPr>
                <w:rFonts w:cstheme="minorHAnsi"/>
                <w:sz w:val="22"/>
                <w:szCs w:val="22"/>
              </w:rPr>
              <w:tab/>
            </w:r>
            <w:r w:rsidR="00504E51" w:rsidRPr="00003C0B">
              <w:rPr>
                <w:rFonts w:cstheme="minorHAnsi"/>
                <w:sz w:val="22"/>
                <w:szCs w:val="22"/>
              </w:rPr>
              <w:t xml:space="preserve">Preinscripción (en línea a través de la </w:t>
            </w:r>
            <w:hyperlink r:id="rId19" w:history="1">
              <w:r w:rsidR="00BA53B2" w:rsidRPr="00003C0B">
                <w:rPr>
                  <w:rStyle w:val="Hyperlink"/>
                  <w:rFonts w:cstheme="minorHAnsi"/>
                  <w:sz w:val="22"/>
                  <w:szCs w:val="22"/>
                </w:rPr>
                <w:t>página web de inicio del FG-AI4A</w:t>
              </w:r>
            </w:hyperlink>
            <w:r w:rsidR="00504E51" w:rsidRPr="00003C0B">
              <w:rPr>
                <w:rFonts w:cstheme="minorHAnsi"/>
                <w:sz w:val="22"/>
                <w:szCs w:val="22"/>
              </w:rPr>
              <w:t>)</w:t>
            </w:r>
          </w:p>
        </w:tc>
      </w:tr>
      <w:tr w:rsidR="00504E51" w:rsidRPr="00003C0B" w14:paraId="586385A2" w14:textId="77777777" w:rsidTr="007164E6">
        <w:trPr>
          <w:trHeight w:val="438"/>
        </w:trPr>
        <w:tc>
          <w:tcPr>
            <w:tcW w:w="1999" w:type="dxa"/>
          </w:tcPr>
          <w:p w14:paraId="65A7F675" w14:textId="1A1664D6" w:rsidR="00504E51" w:rsidRPr="00003C0B" w:rsidRDefault="007164E6" w:rsidP="00473577">
            <w:pPr>
              <w:pStyle w:val="ListParagraph"/>
              <w:keepNext/>
              <w:keepLines/>
              <w:spacing w:before="60" w:after="60" w:line="300" w:lineRule="exact"/>
              <w:ind w:leftChars="0" w:left="0"/>
              <w:jc w:val="center"/>
              <w:rPr>
                <w:rFonts w:asciiTheme="minorHAnsi" w:hAnsiTheme="minorHAnsi" w:cstheme="minorHAnsi"/>
                <w:sz w:val="22"/>
                <w:szCs w:val="22"/>
                <w:lang w:val="es-ES_tradnl"/>
              </w:rPr>
            </w:pPr>
            <w:r w:rsidRPr="00003C0B">
              <w:rPr>
                <w:rFonts w:asciiTheme="minorHAnsi" w:hAnsiTheme="minorHAnsi" w:cstheme="minorHAnsi"/>
                <w:sz w:val="22"/>
                <w:szCs w:val="22"/>
                <w:lang w:val="es-ES_tradnl"/>
              </w:rPr>
              <w:t>18 de marzo</w:t>
            </w:r>
            <w:r w:rsidRPr="00003C0B">
              <w:rPr>
                <w:rFonts w:asciiTheme="minorHAnsi" w:hAnsiTheme="minorHAnsi" w:cstheme="minorHAnsi"/>
                <w:sz w:val="22"/>
                <w:szCs w:val="22"/>
                <w:lang w:val="es-ES_tradnl"/>
              </w:rPr>
              <w:br/>
            </w:r>
            <w:r w:rsidR="00504E51" w:rsidRPr="00003C0B">
              <w:rPr>
                <w:rFonts w:asciiTheme="minorHAnsi" w:hAnsiTheme="minorHAnsi" w:cstheme="minorHAnsi"/>
                <w:sz w:val="22"/>
                <w:szCs w:val="22"/>
                <w:lang w:val="es-ES_tradnl"/>
              </w:rPr>
              <w:t>de 2022</w:t>
            </w:r>
          </w:p>
        </w:tc>
        <w:tc>
          <w:tcPr>
            <w:tcW w:w="7720" w:type="dxa"/>
            <w:vAlign w:val="center"/>
          </w:tcPr>
          <w:p w14:paraId="77A6E31B" w14:textId="7C9EB233" w:rsidR="00504E51" w:rsidRPr="00003C0B" w:rsidRDefault="007164E6" w:rsidP="007164E6">
            <w:pPr>
              <w:pStyle w:val="enumlev1"/>
              <w:tabs>
                <w:tab w:val="clear" w:pos="794"/>
                <w:tab w:val="left" w:pos="452"/>
              </w:tabs>
              <w:rPr>
                <w:rFonts w:cstheme="minorHAnsi"/>
                <w:sz w:val="22"/>
                <w:szCs w:val="22"/>
              </w:rPr>
            </w:pPr>
            <w:r w:rsidRPr="00003C0B">
              <w:rPr>
                <w:rFonts w:cstheme="minorHAnsi"/>
                <w:sz w:val="22"/>
                <w:szCs w:val="22"/>
              </w:rPr>
              <w:t>–</w:t>
            </w:r>
            <w:r w:rsidRPr="00003C0B">
              <w:rPr>
                <w:rFonts w:cstheme="minorHAnsi"/>
                <w:sz w:val="22"/>
                <w:szCs w:val="22"/>
              </w:rPr>
              <w:tab/>
            </w:r>
            <w:r w:rsidR="00504E51" w:rsidRPr="00003C0B">
              <w:rPr>
                <w:rFonts w:cstheme="minorHAnsi"/>
                <w:sz w:val="22"/>
                <w:szCs w:val="22"/>
              </w:rPr>
              <w:t xml:space="preserve">Presentación de contribuciones por escrito (por correo-e a </w:t>
            </w:r>
            <w:hyperlink r:id="rId20" w:history="1">
              <w:r w:rsidR="00F44D92" w:rsidRPr="00003C0B">
                <w:rPr>
                  <w:rStyle w:val="Hyperlink"/>
                  <w:sz w:val="22"/>
                  <w:szCs w:val="22"/>
                </w:rPr>
                <w:t>tsbfgai4a@itu.int</w:t>
              </w:r>
            </w:hyperlink>
            <w:r w:rsidR="00504E51" w:rsidRPr="00003C0B">
              <w:rPr>
                <w:rFonts w:cstheme="minorHAnsi"/>
                <w:sz w:val="22"/>
                <w:szCs w:val="22"/>
              </w:rPr>
              <w:t>)</w:t>
            </w:r>
          </w:p>
        </w:tc>
      </w:tr>
    </w:tbl>
    <w:p w14:paraId="7D0A7762" w14:textId="77777777" w:rsidR="00504E51" w:rsidRPr="00003C0B" w:rsidRDefault="00504E51" w:rsidP="00504E51">
      <w:pPr>
        <w:spacing w:before="360"/>
        <w:rPr>
          <w:rFonts w:cs="Calibri"/>
          <w:sz w:val="22"/>
          <w:szCs w:val="22"/>
        </w:rPr>
      </w:pPr>
      <w:r w:rsidRPr="00003C0B">
        <w:rPr>
          <w:sz w:val="22"/>
          <w:szCs w:val="22"/>
        </w:rPr>
        <w:t>Le deseo una reunión agradable y fructífera.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118"/>
      </w:tblGrid>
      <w:tr w:rsidR="00504E51" w:rsidRPr="00003C0B" w14:paraId="07C7AF3E" w14:textId="77777777" w:rsidTr="00473577">
        <w:trPr>
          <w:trHeight w:val="1955"/>
        </w:trPr>
        <w:tc>
          <w:tcPr>
            <w:tcW w:w="6663" w:type="dxa"/>
            <w:tcBorders>
              <w:right w:val="single" w:sz="4" w:space="0" w:color="auto"/>
            </w:tcBorders>
          </w:tcPr>
          <w:p w14:paraId="1592DB26" w14:textId="04FCA2CF" w:rsidR="00504E51" w:rsidRPr="00003C0B" w:rsidRDefault="00504E51" w:rsidP="00473577">
            <w:pPr>
              <w:keepNext/>
              <w:keepLines/>
              <w:spacing w:before="360"/>
              <w:ind w:left="-110"/>
              <w:rPr>
                <w:rFonts w:cs="Calibri"/>
                <w:sz w:val="22"/>
                <w:szCs w:val="22"/>
              </w:rPr>
            </w:pPr>
            <w:r w:rsidRPr="00003C0B">
              <w:rPr>
                <w:sz w:val="22"/>
                <w:szCs w:val="22"/>
              </w:rPr>
              <w:t>Atentamente,</w:t>
            </w:r>
          </w:p>
          <w:p w14:paraId="3DEDEDB0" w14:textId="6AFE9991" w:rsidR="00504E51" w:rsidRPr="00003C0B" w:rsidRDefault="000522E9" w:rsidP="00BA53B2">
            <w:pPr>
              <w:keepNext/>
              <w:keepLines/>
              <w:spacing w:before="960"/>
              <w:ind w:left="-110"/>
              <w:rPr>
                <w:rFonts w:cs="Calibri"/>
                <w:sz w:val="22"/>
                <w:szCs w:val="22"/>
              </w:rPr>
            </w:pPr>
            <w:r>
              <w:rPr>
                <w:noProof/>
                <w:sz w:val="22"/>
                <w:szCs w:val="22"/>
              </w:rPr>
              <w:drawing>
                <wp:anchor distT="0" distB="0" distL="114300" distR="114300" simplePos="0" relativeHeight="251658240" behindDoc="1" locked="0" layoutInCell="1" allowOverlap="1" wp14:anchorId="7E1D84B5" wp14:editId="3461141A">
                  <wp:simplePos x="0" y="0"/>
                  <wp:positionH relativeFrom="column">
                    <wp:posOffset>-71120</wp:posOffset>
                  </wp:positionH>
                  <wp:positionV relativeFrom="paragraph">
                    <wp:posOffset>185420</wp:posOffset>
                  </wp:positionV>
                  <wp:extent cx="641511" cy="288925"/>
                  <wp:effectExtent l="0" t="0" r="635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41511" cy="288925"/>
                          </a:xfrm>
                          <a:prstGeom prst="rect">
                            <a:avLst/>
                          </a:prstGeom>
                        </pic:spPr>
                      </pic:pic>
                    </a:graphicData>
                  </a:graphic>
                  <wp14:sizeRelH relativeFrom="margin">
                    <wp14:pctWidth>0</wp14:pctWidth>
                  </wp14:sizeRelH>
                  <wp14:sizeRelV relativeFrom="margin">
                    <wp14:pctHeight>0</wp14:pctHeight>
                  </wp14:sizeRelV>
                </wp:anchor>
              </w:drawing>
            </w:r>
            <w:r w:rsidR="00504E51" w:rsidRPr="00003C0B">
              <w:rPr>
                <w:sz w:val="22"/>
                <w:szCs w:val="22"/>
              </w:rPr>
              <w:t>Chaesub Lee</w:t>
            </w:r>
            <w:r w:rsidR="00095A9C" w:rsidRPr="00003C0B">
              <w:rPr>
                <w:sz w:val="22"/>
                <w:szCs w:val="22"/>
              </w:rPr>
              <w:br/>
            </w:r>
            <w:proofErr w:type="gramStart"/>
            <w:r w:rsidR="00504E51" w:rsidRPr="00003C0B">
              <w:rPr>
                <w:sz w:val="22"/>
                <w:szCs w:val="22"/>
              </w:rPr>
              <w:t>Director</w:t>
            </w:r>
            <w:proofErr w:type="gramEnd"/>
            <w:r w:rsidR="00504E51" w:rsidRPr="00003C0B">
              <w:rPr>
                <w:sz w:val="22"/>
                <w:szCs w:val="22"/>
              </w:rPr>
              <w:t xml:space="preserve"> de la Oficina de Normalización</w:t>
            </w:r>
            <w:r w:rsidR="00BA53B2" w:rsidRPr="00003C0B">
              <w:rPr>
                <w:sz w:val="22"/>
                <w:szCs w:val="22"/>
              </w:rPr>
              <w:br/>
            </w:r>
            <w:r w:rsidR="00504E51" w:rsidRPr="00003C0B">
              <w:rPr>
                <w:sz w:val="22"/>
                <w:szCs w:val="22"/>
              </w:rPr>
              <w:t>de las Telecomunicaciones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C44B35" w14:textId="77777777" w:rsidR="00504E51" w:rsidRPr="00003C0B" w:rsidRDefault="00504E51" w:rsidP="00473577">
            <w:pPr>
              <w:spacing w:before="0"/>
              <w:jc w:val="center"/>
              <w:rPr>
                <w:rFonts w:cs="Calibri"/>
                <w:sz w:val="22"/>
                <w:szCs w:val="22"/>
              </w:rPr>
            </w:pPr>
            <w:r w:rsidRPr="00003C0B">
              <w:rPr>
                <w:rFonts w:cs="Calibri"/>
                <w:noProof/>
                <w:sz w:val="22"/>
                <w:szCs w:val="22"/>
                <w:lang w:eastAsia="es-ES_tradnl"/>
              </w:rPr>
              <w:drawing>
                <wp:inline distT="0" distB="0" distL="0" distR="0" wp14:anchorId="3B3A4754" wp14:editId="45CF3A15">
                  <wp:extent cx="1231265" cy="1231265"/>
                  <wp:effectExtent l="0" t="0" r="6985" b="698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a:ln>
                            <a:noFill/>
                          </a:ln>
                        </pic:spPr>
                      </pic:pic>
                    </a:graphicData>
                  </a:graphic>
                </wp:inline>
              </w:drawing>
            </w:r>
          </w:p>
          <w:p w14:paraId="64861B06" w14:textId="77777777" w:rsidR="00504E51" w:rsidRPr="00003C0B" w:rsidRDefault="00504E51" w:rsidP="00473577">
            <w:pPr>
              <w:spacing w:before="0"/>
              <w:jc w:val="center"/>
              <w:rPr>
                <w:rFonts w:cs="Calibri"/>
                <w:sz w:val="22"/>
                <w:szCs w:val="22"/>
              </w:rPr>
            </w:pPr>
            <w:r w:rsidRPr="00003C0B">
              <w:rPr>
                <w:sz w:val="22"/>
                <w:szCs w:val="22"/>
              </w:rPr>
              <w:t>Información más reciente sobre la reunión</w:t>
            </w:r>
          </w:p>
        </w:tc>
      </w:tr>
    </w:tbl>
    <w:p w14:paraId="129A8CE2" w14:textId="77777777" w:rsidR="00504E51" w:rsidRPr="00003C0B" w:rsidRDefault="00504E51" w:rsidP="00504E51">
      <w:pPr>
        <w:rPr>
          <w:rFonts w:cs="Calibri"/>
          <w:sz w:val="22"/>
          <w:szCs w:val="22"/>
        </w:rPr>
      </w:pPr>
    </w:p>
    <w:p w14:paraId="4FF267F4" w14:textId="77777777" w:rsidR="00095A9C" w:rsidRPr="00003C0B" w:rsidRDefault="00504E51" w:rsidP="00504E51">
      <w:pPr>
        <w:rPr>
          <w:sz w:val="22"/>
          <w:szCs w:val="22"/>
        </w:rPr>
      </w:pPr>
      <w:r w:rsidRPr="00003C0B">
        <w:rPr>
          <w:b/>
          <w:bCs/>
          <w:sz w:val="22"/>
          <w:szCs w:val="22"/>
        </w:rPr>
        <w:t>Anexo</w:t>
      </w:r>
      <w:r w:rsidRPr="00003C0B">
        <w:rPr>
          <w:sz w:val="22"/>
          <w:szCs w:val="22"/>
        </w:rPr>
        <w:t>: 1</w:t>
      </w:r>
    </w:p>
    <w:p w14:paraId="3A3825A0" w14:textId="77777777" w:rsidR="00BA53B2" w:rsidRPr="00003C0B" w:rsidRDefault="00BA53B2">
      <w:pPr>
        <w:tabs>
          <w:tab w:val="clear" w:pos="794"/>
          <w:tab w:val="clear" w:pos="1191"/>
          <w:tab w:val="clear" w:pos="1588"/>
          <w:tab w:val="clear" w:pos="1985"/>
        </w:tabs>
        <w:overflowPunct/>
        <w:autoSpaceDE/>
        <w:autoSpaceDN/>
        <w:adjustRightInd/>
        <w:spacing w:before="0"/>
        <w:textAlignment w:val="auto"/>
        <w:rPr>
          <w:rFonts w:ascii="Calibri" w:hAnsi="Calibri"/>
          <w:b/>
          <w:bCs/>
          <w:caps/>
          <w:sz w:val="28"/>
        </w:rPr>
      </w:pPr>
      <w:r w:rsidRPr="00003C0B">
        <w:rPr>
          <w:b/>
          <w:bCs/>
        </w:rPr>
        <w:br w:type="page"/>
      </w:r>
    </w:p>
    <w:p w14:paraId="0C1CA5E4" w14:textId="4F674B2D" w:rsidR="00504E51" w:rsidRPr="00003C0B" w:rsidRDefault="007164E6" w:rsidP="007164E6">
      <w:pPr>
        <w:pStyle w:val="AnnexNo"/>
        <w:rPr>
          <w:lang w:val="es-ES_tradnl"/>
        </w:rPr>
      </w:pPr>
      <w:r w:rsidRPr="00003C0B">
        <w:rPr>
          <w:lang w:val="es-ES_tradnl"/>
        </w:rPr>
        <w:lastRenderedPageBreak/>
        <w:t>ANEXO 1</w:t>
      </w:r>
    </w:p>
    <w:p w14:paraId="4214D573" w14:textId="0EF66FE9" w:rsidR="00504E51" w:rsidRPr="00003C0B" w:rsidRDefault="00504E51" w:rsidP="007164E6">
      <w:pPr>
        <w:pStyle w:val="Annextitle0"/>
        <w:rPr>
          <w:lang w:val="es-ES_tradnl"/>
        </w:rPr>
      </w:pPr>
      <w:r w:rsidRPr="00003C0B">
        <w:rPr>
          <w:lang w:val="es-ES_tradnl"/>
        </w:rPr>
        <w:t xml:space="preserve">Mandato del Grupo Temático del UIT-T sobre </w:t>
      </w:r>
      <w:r w:rsidR="007164E6" w:rsidRPr="00003C0B">
        <w:rPr>
          <w:lang w:val="es-ES_tradnl"/>
        </w:rPr>
        <w:t>"Inteligencia Artificial (IA)</w:t>
      </w:r>
      <w:r w:rsidR="007164E6" w:rsidRPr="00003C0B">
        <w:rPr>
          <w:lang w:val="es-ES_tradnl"/>
        </w:rPr>
        <w:br/>
      </w:r>
      <w:r w:rsidRPr="00003C0B">
        <w:rPr>
          <w:lang w:val="es-ES_tradnl"/>
        </w:rPr>
        <w:t>e Internet de las Cosas (</w:t>
      </w:r>
      <w:proofErr w:type="spellStart"/>
      <w:r w:rsidRPr="00003C0B">
        <w:rPr>
          <w:lang w:val="es-ES_tradnl"/>
        </w:rPr>
        <w:t>IoT</w:t>
      </w:r>
      <w:proofErr w:type="spellEnd"/>
      <w:r w:rsidRPr="00003C0B">
        <w:rPr>
          <w:lang w:val="es-ES_tradnl"/>
        </w:rPr>
        <w:t>) para la agricultura digital</w:t>
      </w:r>
      <w:r w:rsidR="007164E6" w:rsidRPr="00003C0B">
        <w:rPr>
          <w:lang w:val="es-ES_tradnl"/>
        </w:rPr>
        <w:t>"</w:t>
      </w:r>
      <w:r w:rsidRPr="00003C0B">
        <w:rPr>
          <w:lang w:val="es-ES_tradnl"/>
        </w:rPr>
        <w:t xml:space="preserve"> (FG-AI4A)</w:t>
      </w:r>
    </w:p>
    <w:p w14:paraId="344D6A67" w14:textId="27F111F0" w:rsidR="00504E51" w:rsidRPr="00003C0B" w:rsidRDefault="007164E6" w:rsidP="007164E6">
      <w:pPr>
        <w:pStyle w:val="Heading1"/>
      </w:pPr>
      <w:bookmarkStart w:id="6" w:name="_Hlk7618046"/>
      <w:r w:rsidRPr="00003C0B">
        <w:t>1</w:t>
      </w:r>
      <w:r w:rsidR="00504E51" w:rsidRPr="00003C0B">
        <w:tab/>
      </w:r>
      <w:proofErr w:type="gramStart"/>
      <w:r w:rsidR="00504E51" w:rsidRPr="00003C0B">
        <w:t>Contexto</w:t>
      </w:r>
      <w:proofErr w:type="gramEnd"/>
      <w:r w:rsidR="00504E51" w:rsidRPr="00003C0B">
        <w:t xml:space="preserve"> y alcance</w:t>
      </w:r>
    </w:p>
    <w:p w14:paraId="18F7D227"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En 2015, las Naciones Unidas adoptaron los 17 Objetivos de Desarrollo Sostenible (ODS), que deben alcanzarse para 2030. Muchos de estos objetivos, como el ODS 2 (hambre cero), el ODS 6 (agua limpia y saneamiento), el ODS 8 (trabajo decente y crecimiento económico), el ODS 9 (industria, innovación e infraestructura), el ODS 12 (producción y consumo responsables), el ODS 13 (acción por el clima), el ODS 14 (vida submarina) y el ODS 15 (vida de ecosistemas terrestres) están estrechamente relacionados con los avances tecnológicos en la agricultura.</w:t>
      </w:r>
    </w:p>
    <w:p w14:paraId="7645E8BF" w14:textId="642E3986"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Según cifras actuales, casi 690 millones de pe</w:t>
      </w:r>
      <w:r w:rsidR="00552A3B" w:rsidRPr="00003C0B">
        <w:rPr>
          <w:rFonts w:cstheme="minorHAnsi"/>
          <w:sz w:val="22"/>
          <w:szCs w:val="22"/>
        </w:rPr>
        <w:t>rsonas en todo el mundo (el 8,9</w:t>
      </w:r>
      <w:r w:rsidRPr="00003C0B">
        <w:rPr>
          <w:rFonts w:cstheme="minorHAnsi"/>
          <w:sz w:val="22"/>
          <w:szCs w:val="22"/>
        </w:rPr>
        <w:t>% de la población mundial) padecen hambre</w:t>
      </w:r>
      <w:r w:rsidRPr="00003C0B">
        <w:rPr>
          <w:rFonts w:eastAsiaTheme="minorEastAsia" w:cstheme="minorHAnsi"/>
          <w:sz w:val="22"/>
          <w:szCs w:val="22"/>
          <w:vertAlign w:val="superscript"/>
          <w:lang w:eastAsia="zh-CN"/>
        </w:rPr>
        <w:footnoteReference w:id="1"/>
      </w:r>
      <w:r w:rsidRPr="00003C0B">
        <w:rPr>
          <w:rFonts w:cstheme="minorHAnsi"/>
          <w:sz w:val="22"/>
          <w:szCs w:val="22"/>
        </w:rPr>
        <w:t>. Casi 750 millones (cerca de 1 de cada 10 personas en el mundo) también han sufrido graves niveles de inseguridad alimentaria en 2019</w:t>
      </w:r>
      <w:r w:rsidRPr="00003C0B">
        <w:rPr>
          <w:rFonts w:eastAsiaTheme="minorEastAsia" w:cstheme="minorHAnsi"/>
          <w:sz w:val="22"/>
          <w:szCs w:val="22"/>
          <w:vertAlign w:val="superscript"/>
          <w:lang w:eastAsia="zh-CN"/>
        </w:rPr>
        <w:footnoteReference w:id="2"/>
      </w:r>
      <w:r w:rsidR="00552A3B" w:rsidRPr="00003C0B">
        <w:rPr>
          <w:rFonts w:cstheme="minorHAnsi"/>
          <w:sz w:val="22"/>
          <w:szCs w:val="22"/>
        </w:rPr>
        <w:t>. 2 </w:t>
      </w:r>
      <w:r w:rsidRPr="00003C0B">
        <w:rPr>
          <w:rFonts w:cstheme="minorHAnsi"/>
          <w:sz w:val="22"/>
          <w:szCs w:val="22"/>
        </w:rPr>
        <w:t>000 millones de personas sufren malnutrición</w:t>
      </w:r>
      <w:r w:rsidRPr="00003C0B">
        <w:rPr>
          <w:rFonts w:eastAsiaTheme="minorEastAsia" w:cstheme="minorHAnsi"/>
          <w:sz w:val="22"/>
          <w:szCs w:val="22"/>
          <w:vertAlign w:val="superscript"/>
          <w:lang w:eastAsia="zh-CN"/>
        </w:rPr>
        <w:footnoteReference w:id="3"/>
      </w:r>
      <w:r w:rsidRPr="00003C0B">
        <w:rPr>
          <w:rFonts w:cstheme="minorHAnsi"/>
          <w:sz w:val="22"/>
          <w:szCs w:val="22"/>
        </w:rPr>
        <w:t xml:space="preserve"> debido a factores como la inaccesibilidad y la </w:t>
      </w:r>
      <w:proofErr w:type="spellStart"/>
      <w:r w:rsidRPr="00003C0B">
        <w:rPr>
          <w:rFonts w:cstheme="minorHAnsi"/>
          <w:sz w:val="22"/>
          <w:szCs w:val="22"/>
        </w:rPr>
        <w:t>inasequibilidad</w:t>
      </w:r>
      <w:proofErr w:type="spellEnd"/>
      <w:r w:rsidRPr="00003C0B">
        <w:rPr>
          <w:rFonts w:cstheme="minorHAnsi"/>
          <w:sz w:val="22"/>
          <w:szCs w:val="22"/>
        </w:rPr>
        <w:t xml:space="preserve"> de alimentos nutritivos</w:t>
      </w:r>
      <w:r w:rsidRPr="00003C0B">
        <w:rPr>
          <w:rFonts w:eastAsiaTheme="minorEastAsia" w:cstheme="minorHAnsi"/>
          <w:sz w:val="22"/>
          <w:szCs w:val="22"/>
          <w:vertAlign w:val="superscript"/>
          <w:lang w:eastAsia="zh-CN"/>
        </w:rPr>
        <w:footnoteReference w:id="4"/>
      </w:r>
      <w:r w:rsidRPr="00003C0B">
        <w:rPr>
          <w:rFonts w:cstheme="minorHAnsi"/>
          <w:sz w:val="22"/>
          <w:szCs w:val="22"/>
        </w:rPr>
        <w:t>.</w:t>
      </w:r>
      <w:r w:rsidR="00095A9C" w:rsidRPr="00003C0B">
        <w:rPr>
          <w:rFonts w:cstheme="minorHAnsi"/>
          <w:sz w:val="22"/>
          <w:szCs w:val="22"/>
        </w:rPr>
        <w:t xml:space="preserve"> </w:t>
      </w:r>
      <w:r w:rsidRPr="00003C0B">
        <w:rPr>
          <w:rFonts w:cstheme="minorHAnsi"/>
          <w:sz w:val="22"/>
          <w:szCs w:val="22"/>
        </w:rPr>
        <w:t>Las recesiones o desaceleraciones económicas también conducen a un aumento del desempleo y la reducción de los salarios limita el acceso de las personas pobres a los alimentos nutritivos. Es probable que estas tendencias se acentúen a raíz de la pandemia mundial de COVID-19</w:t>
      </w:r>
      <w:r w:rsidRPr="00003C0B">
        <w:rPr>
          <w:rFonts w:eastAsiaTheme="minorEastAsia" w:cstheme="minorHAnsi"/>
          <w:sz w:val="22"/>
          <w:szCs w:val="22"/>
          <w:vertAlign w:val="superscript"/>
          <w:lang w:eastAsia="zh-CN"/>
        </w:rPr>
        <w:footnoteReference w:id="5"/>
      </w:r>
      <w:r w:rsidRPr="00003C0B">
        <w:rPr>
          <w:rFonts w:cstheme="minorHAnsi"/>
          <w:sz w:val="22"/>
          <w:szCs w:val="22"/>
        </w:rPr>
        <w:t>.</w:t>
      </w:r>
    </w:p>
    <w:p w14:paraId="68BEE3BD" w14:textId="25BE4579" w:rsidR="00095A9C" w:rsidRPr="00003C0B" w:rsidRDefault="00F34F6D"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Por otra parte</w:t>
      </w:r>
      <w:r w:rsidR="00504E51" w:rsidRPr="00003C0B">
        <w:rPr>
          <w:rFonts w:cstheme="minorHAnsi"/>
          <w:sz w:val="22"/>
          <w:szCs w:val="22"/>
        </w:rPr>
        <w:t>, el aumento de la población mundial conlleva una demanda cada vez mayor de alimentos. De hecho, la población mundial e</w:t>
      </w:r>
      <w:r w:rsidR="00552A3B" w:rsidRPr="00003C0B">
        <w:rPr>
          <w:rFonts w:cstheme="minorHAnsi"/>
          <w:sz w:val="22"/>
          <w:szCs w:val="22"/>
        </w:rPr>
        <w:t>stá en camino de alcanzar los 9 </w:t>
      </w:r>
      <w:r w:rsidR="00504E51" w:rsidRPr="00003C0B">
        <w:rPr>
          <w:rFonts w:cstheme="minorHAnsi"/>
          <w:sz w:val="22"/>
          <w:szCs w:val="22"/>
        </w:rPr>
        <w:t>700 millones de personas para 2050</w:t>
      </w:r>
      <w:r w:rsidR="00504E51" w:rsidRPr="00003C0B">
        <w:rPr>
          <w:rFonts w:eastAsiaTheme="minorEastAsia" w:cstheme="minorHAnsi"/>
          <w:sz w:val="22"/>
          <w:szCs w:val="22"/>
          <w:vertAlign w:val="superscript"/>
          <w:lang w:eastAsia="zh-CN"/>
        </w:rPr>
        <w:footnoteReference w:id="6"/>
      </w:r>
      <w:r w:rsidR="00504E51" w:rsidRPr="00003C0B">
        <w:rPr>
          <w:rFonts w:cstheme="minorHAnsi"/>
          <w:sz w:val="22"/>
          <w:szCs w:val="22"/>
        </w:rPr>
        <w:t>. Según algunas estimaciones, para atender esa creciente demanda de alimentos la producci</w:t>
      </w:r>
      <w:r w:rsidR="00552A3B" w:rsidRPr="00003C0B">
        <w:rPr>
          <w:rFonts w:cstheme="minorHAnsi"/>
          <w:sz w:val="22"/>
          <w:szCs w:val="22"/>
        </w:rPr>
        <w:t>ón mundial debe aumentar un 70</w:t>
      </w:r>
      <w:r w:rsidR="00504E51" w:rsidRPr="00003C0B">
        <w:rPr>
          <w:rFonts w:cstheme="minorHAnsi"/>
          <w:sz w:val="22"/>
          <w:szCs w:val="22"/>
        </w:rPr>
        <w:t>% en las próximas décadas, a la vez que el sector agrícola se enfrenta a varios desafíos</w:t>
      </w:r>
      <w:r w:rsidR="00504E51" w:rsidRPr="00003C0B">
        <w:rPr>
          <w:rFonts w:eastAsiaTheme="minorEastAsia" w:cstheme="minorHAnsi"/>
          <w:sz w:val="22"/>
          <w:szCs w:val="22"/>
          <w:vertAlign w:val="superscript"/>
          <w:lang w:eastAsia="zh-CN"/>
        </w:rPr>
        <w:footnoteReference w:id="7"/>
      </w:r>
      <w:r w:rsidR="00504E51" w:rsidRPr="00003C0B">
        <w:rPr>
          <w:rFonts w:cstheme="minorHAnsi"/>
          <w:sz w:val="22"/>
          <w:szCs w:val="22"/>
        </w:rPr>
        <w:t>.</w:t>
      </w:r>
    </w:p>
    <w:p w14:paraId="20503D70"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Además de esta creciente demanda de productos agrícolas, es importante tener en cuenta los costos ambientales; esto introduce limitaciones en materia de sostenibilidad en la producción agrícola con el fin de planificar las generaciones futuras. La agricultura afecta a tanto la cantidad como la calidad de las aguas subterráneas y superficiales. Por ejemplo, se sabe que los plaguicidas y fertilizantes son causa de la mala calidad del agua</w:t>
      </w:r>
      <w:r w:rsidRPr="00003C0B">
        <w:rPr>
          <w:rFonts w:eastAsiaTheme="minorEastAsia" w:cstheme="minorHAnsi"/>
          <w:sz w:val="22"/>
          <w:szCs w:val="22"/>
          <w:vertAlign w:val="superscript"/>
          <w:lang w:eastAsia="ja-JP"/>
        </w:rPr>
        <w:footnoteReference w:id="8"/>
      </w:r>
      <w:r w:rsidRPr="00003C0B">
        <w:rPr>
          <w:rFonts w:cstheme="minorHAnsi"/>
          <w:sz w:val="22"/>
          <w:szCs w:val="22"/>
        </w:rPr>
        <w:t xml:space="preserve">. Las prácticas de irrigación tienen una importancia cada vez mayor. Por consiguiente, a fin </w:t>
      </w:r>
      <w:r w:rsidRPr="00003C0B">
        <w:rPr>
          <w:rFonts w:cstheme="minorHAnsi"/>
          <w:sz w:val="22"/>
          <w:szCs w:val="22"/>
        </w:rPr>
        <w:lastRenderedPageBreak/>
        <w:t>de garantizar la sostenibilidad de la agricultura, se han de encontrar soluciones para lograr una aplicación precisa de los plaguicidas y fertilizantes y una irrigación eficiente.</w:t>
      </w:r>
    </w:p>
    <w:p w14:paraId="77C0A551" w14:textId="1B5BECF3" w:rsidR="00095A9C" w:rsidRPr="00003C0B" w:rsidRDefault="00F34F6D"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Asimismo</w:t>
      </w:r>
      <w:r w:rsidR="00504E51" w:rsidRPr="00003C0B">
        <w:rPr>
          <w:rFonts w:cstheme="minorHAnsi"/>
          <w:sz w:val="22"/>
          <w:szCs w:val="22"/>
        </w:rPr>
        <w:t>, en muchos países de todo el mundo, las sociedades rurales se enfrentan a problemas relacionados con el envejecimiento de la población, el abandono de tierras de labranza y el cambio climático. A pesar de la actual inversión de la tendencia observada en algunas partes del mundo debido a la COVID-19, es posible que las ciudades y sus periferias sigan atrayendo a las personas con el tiempo</w:t>
      </w:r>
      <w:r w:rsidR="00504E51" w:rsidRPr="00003C0B">
        <w:rPr>
          <w:rFonts w:eastAsiaTheme="minorEastAsia" w:cstheme="minorHAnsi"/>
          <w:sz w:val="22"/>
          <w:szCs w:val="22"/>
          <w:vertAlign w:val="superscript"/>
          <w:lang w:eastAsia="zh-CN"/>
        </w:rPr>
        <w:footnoteReference w:id="9"/>
      </w:r>
      <w:r w:rsidR="00504E51" w:rsidRPr="00003C0B">
        <w:rPr>
          <w:rFonts w:cstheme="minorHAnsi"/>
          <w:sz w:val="22"/>
          <w:szCs w:val="22"/>
        </w:rPr>
        <w:t>, con motivo de las oportunidades económicas que representan.</w:t>
      </w:r>
    </w:p>
    <w:p w14:paraId="4FECEE42" w14:textId="3B0FBCF4"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Por último, cabe señalar </w:t>
      </w:r>
      <w:proofErr w:type="gramStart"/>
      <w:r w:rsidRPr="00003C0B">
        <w:rPr>
          <w:rFonts w:cstheme="minorHAnsi"/>
          <w:sz w:val="22"/>
          <w:szCs w:val="22"/>
        </w:rPr>
        <w:t>que</w:t>
      </w:r>
      <w:proofErr w:type="gramEnd"/>
      <w:r w:rsidRPr="00003C0B">
        <w:rPr>
          <w:rFonts w:cstheme="minorHAnsi"/>
          <w:sz w:val="22"/>
          <w:szCs w:val="22"/>
        </w:rPr>
        <w:t xml:space="preserve"> aunque se ha previsto que el número de personas que trabajan en el sector agrícola disminuya, </w:t>
      </w:r>
      <w:r w:rsidR="004D12E6" w:rsidRPr="00003C0B">
        <w:rPr>
          <w:rFonts w:cstheme="minorHAnsi"/>
          <w:sz w:val="22"/>
          <w:szCs w:val="22"/>
        </w:rPr>
        <w:t>"</w:t>
      </w:r>
      <w:r w:rsidRPr="00003C0B">
        <w:rPr>
          <w:rFonts w:cstheme="minorHAnsi"/>
          <w:sz w:val="22"/>
          <w:szCs w:val="22"/>
        </w:rPr>
        <w:t>en vista de la inmensa cantidad de trabajadores pobres en el sector, y de la naturaleza intrínsecamente peligrosa e incierta del trabajo agrícola, es necesario que el mundo se centre en paliar el déficit de trabajo decente en todos los niveles</w:t>
      </w:r>
      <w:r w:rsidR="004D12E6" w:rsidRPr="00003C0B">
        <w:rPr>
          <w:rFonts w:cstheme="minorHAnsi"/>
          <w:sz w:val="22"/>
          <w:szCs w:val="22"/>
        </w:rPr>
        <w:t>"</w:t>
      </w:r>
      <w:r w:rsidRPr="00003C0B">
        <w:rPr>
          <w:rFonts w:cstheme="minorHAnsi"/>
          <w:sz w:val="22"/>
          <w:szCs w:val="22"/>
        </w:rPr>
        <w:t>. A este respecto, la automatización y la colaboración entre las personas y los robots en la esfera de la producción agrícola también pueden mejorar considerablemente las condiciones de trabajo.</w:t>
      </w:r>
    </w:p>
    <w:p w14:paraId="4F7D49FE"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En su conjunto, estas circunstancias ponen de relieve la importancia (y los desafíos conexos) de alcanzar el objetivo de hambre cero para 2030. Afortunadamente, los avances tecnológicos son una herramienta que nos puede ayudar a mejorar nuestra gestión de los procesos de producción agrícola y a lograr la seguridad alimentaria.</w:t>
      </w:r>
    </w:p>
    <w:p w14:paraId="0B06A52B"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Con el fin de abordar estos desafíos y oportunidades, el FG-AI4A estudia las posibilidades de utilizar la IA y la </w:t>
      </w:r>
      <w:proofErr w:type="spellStart"/>
      <w:r w:rsidRPr="00003C0B">
        <w:rPr>
          <w:rFonts w:cstheme="minorHAnsi"/>
          <w:sz w:val="22"/>
          <w:szCs w:val="22"/>
        </w:rPr>
        <w:t>IoT</w:t>
      </w:r>
      <w:proofErr w:type="spellEnd"/>
      <w:r w:rsidRPr="00003C0B">
        <w:rPr>
          <w:rFonts w:cstheme="minorHAnsi"/>
          <w:sz w:val="22"/>
          <w:szCs w:val="22"/>
        </w:rPr>
        <w:t xml:space="preserve"> junto con la elaboración de informes técnicos y especificaciones para respaldar las actividades de adquisición y tratamiento de datos, mejora la creación de modelos mediante escalas espacio-temporales extrayendo patrones complejos (y adquiriendo información) sobre la base de una cantidad cada vez mayor de datos agrícolas y geoespaciales, propicia una comunicación eficaz, e infiere y recomienda intervenciones para optimizar los procesos de producción agrícola.</w:t>
      </w:r>
    </w:p>
    <w:p w14:paraId="6DBCF89B" w14:textId="57E4CA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Para alcanzar estos ambiciosos objetivos, el FG-AI4A facilita la colaboración entre múltiples partes interesadas y expertos de todo el mundo, y también aprovecha los resultados de los proyectos y cooperaciones existentes como IoF2020 y Atlas. Se tratará de obtener la cooperación de la Plataforma Internacional para la Alimentación y la Agricultura Digitales de la FAO. En particular, se desplegarán esfuerzos para respaldar la participación de países de ingresos bajos o medianos y de países que se hayan visto particularmente afectados por ese tipo de eventos (por ejemplo, los pequeños Estados insulares en desarrollo, </w:t>
      </w:r>
      <w:r w:rsidR="00E534A2" w:rsidRPr="00003C0B">
        <w:rPr>
          <w:rFonts w:cstheme="minorHAnsi"/>
          <w:sz w:val="22"/>
          <w:szCs w:val="22"/>
        </w:rPr>
        <w:t xml:space="preserve">los </w:t>
      </w:r>
      <w:r w:rsidRPr="00003C0B">
        <w:rPr>
          <w:rFonts w:cstheme="minorHAnsi"/>
          <w:sz w:val="22"/>
          <w:szCs w:val="22"/>
        </w:rPr>
        <w:t xml:space="preserve">países en desarrollo sin litoral y los países menos adelantados). Por último, el FG-AI4A contribuye a avanzar la labor realizada por la Comisión de Estudio rectora (la CE 20) para fomentar las tecnologías destinadas a la comunicación entre las máquinas y a la </w:t>
      </w:r>
      <w:proofErr w:type="spellStart"/>
      <w:r w:rsidRPr="00003C0B">
        <w:rPr>
          <w:rFonts w:cstheme="minorHAnsi"/>
          <w:sz w:val="22"/>
          <w:szCs w:val="22"/>
        </w:rPr>
        <w:t>IoT</w:t>
      </w:r>
      <w:proofErr w:type="spellEnd"/>
      <w:r w:rsidRPr="00003C0B">
        <w:rPr>
          <w:rFonts w:cstheme="minorHAnsi"/>
          <w:sz w:val="22"/>
          <w:szCs w:val="22"/>
        </w:rPr>
        <w:t xml:space="preserve">, y sus correspondientes arquitecturas de extremo a extremo, así como los mecanismos para la interoperabilidad de las aplicaciones y de los conjuntos de datos de la </w:t>
      </w:r>
      <w:proofErr w:type="spellStart"/>
      <w:r w:rsidRPr="00003C0B">
        <w:rPr>
          <w:rFonts w:cstheme="minorHAnsi"/>
          <w:sz w:val="22"/>
          <w:szCs w:val="22"/>
        </w:rPr>
        <w:t>IoT</w:t>
      </w:r>
      <w:proofErr w:type="spellEnd"/>
      <w:r w:rsidRPr="00003C0B">
        <w:rPr>
          <w:rFonts w:cstheme="minorHAnsi"/>
          <w:sz w:val="22"/>
          <w:szCs w:val="22"/>
        </w:rPr>
        <w:t xml:space="preserve">, </w:t>
      </w:r>
      <w:proofErr w:type="gramStart"/>
      <w:r w:rsidRPr="00003C0B">
        <w:rPr>
          <w:rFonts w:cstheme="minorHAnsi"/>
          <w:sz w:val="22"/>
          <w:szCs w:val="22"/>
        </w:rPr>
        <w:t>haciendo especial hincapié</w:t>
      </w:r>
      <w:proofErr w:type="gramEnd"/>
      <w:r w:rsidRPr="00003C0B">
        <w:rPr>
          <w:rFonts w:cstheme="minorHAnsi"/>
          <w:sz w:val="22"/>
          <w:szCs w:val="22"/>
        </w:rPr>
        <w:t xml:space="preserve"> en los casos de uso de la agricultura digital.</w:t>
      </w:r>
    </w:p>
    <w:p w14:paraId="7A5D86F7" w14:textId="244DC640"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Por </w:t>
      </w:r>
      <w:r w:rsidR="00E534A2" w:rsidRPr="00003C0B">
        <w:rPr>
          <w:rFonts w:cstheme="minorHAnsi"/>
          <w:sz w:val="22"/>
          <w:szCs w:val="22"/>
        </w:rPr>
        <w:t>tanto</w:t>
      </w:r>
      <w:r w:rsidRPr="00003C0B">
        <w:rPr>
          <w:rFonts w:cstheme="minorHAnsi"/>
          <w:sz w:val="22"/>
          <w:szCs w:val="22"/>
        </w:rPr>
        <w:t xml:space="preserve">, es necesario utilizar la IA y la </w:t>
      </w:r>
      <w:proofErr w:type="spellStart"/>
      <w:r w:rsidRPr="00003C0B">
        <w:rPr>
          <w:rFonts w:cstheme="minorHAnsi"/>
          <w:sz w:val="22"/>
          <w:szCs w:val="22"/>
        </w:rPr>
        <w:t>IoT</w:t>
      </w:r>
      <w:proofErr w:type="spellEnd"/>
      <w:r w:rsidRPr="00003C0B">
        <w:rPr>
          <w:rFonts w:cstheme="minorHAnsi"/>
          <w:sz w:val="22"/>
          <w:szCs w:val="22"/>
        </w:rPr>
        <w:t xml:space="preserve"> para impulsar la producción agrícola mundial sin añadir más recursos como las tierras, el agua y los recursos humanos. Esto se denomina agricultura digital.</w:t>
      </w:r>
    </w:p>
    <w:p w14:paraId="09FDB88E" w14:textId="20E32C63" w:rsidR="00504E51" w:rsidRPr="00003C0B" w:rsidRDefault="00E534A2"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A </w:t>
      </w:r>
      <w:proofErr w:type="gramStart"/>
      <w:r w:rsidRPr="00003C0B">
        <w:rPr>
          <w:rFonts w:cstheme="minorHAnsi"/>
          <w:sz w:val="22"/>
          <w:szCs w:val="22"/>
        </w:rPr>
        <w:t>continuación</w:t>
      </w:r>
      <w:proofErr w:type="gramEnd"/>
      <w:r w:rsidRPr="00003C0B">
        <w:rPr>
          <w:rFonts w:cstheme="minorHAnsi"/>
          <w:sz w:val="22"/>
          <w:szCs w:val="22"/>
        </w:rPr>
        <w:t xml:space="preserve"> se exponen otros conceptos relacionados.</w:t>
      </w:r>
    </w:p>
    <w:p w14:paraId="659DC5CC" w14:textId="7218FEF4"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La </w:t>
      </w:r>
      <w:r w:rsidRPr="00003C0B">
        <w:rPr>
          <w:rFonts w:cstheme="minorHAnsi"/>
          <w:b/>
          <w:bCs/>
          <w:sz w:val="22"/>
          <w:szCs w:val="22"/>
        </w:rPr>
        <w:t>agricultura de precisión</w:t>
      </w:r>
      <w:r w:rsidRPr="00003C0B">
        <w:rPr>
          <w:rFonts w:cstheme="minorHAnsi"/>
          <w:sz w:val="22"/>
          <w:szCs w:val="22"/>
        </w:rPr>
        <w:t xml:space="preserve"> es </w:t>
      </w:r>
      <w:r w:rsidR="004D12E6" w:rsidRPr="00003C0B">
        <w:rPr>
          <w:rFonts w:cstheme="minorHAnsi"/>
          <w:sz w:val="22"/>
          <w:szCs w:val="22"/>
        </w:rPr>
        <w:t>"</w:t>
      </w:r>
      <w:r w:rsidRPr="00003C0B">
        <w:rPr>
          <w:rFonts w:cstheme="minorHAnsi"/>
          <w:sz w:val="22"/>
          <w:szCs w:val="22"/>
        </w:rPr>
        <w:t xml:space="preserve">un concepto general utilizado para los métodos basados en la </w:t>
      </w:r>
      <w:proofErr w:type="spellStart"/>
      <w:r w:rsidRPr="00003C0B">
        <w:rPr>
          <w:rFonts w:cstheme="minorHAnsi"/>
          <w:sz w:val="22"/>
          <w:szCs w:val="22"/>
        </w:rPr>
        <w:t>IoT</w:t>
      </w:r>
      <w:proofErr w:type="spellEnd"/>
      <w:r w:rsidRPr="00003C0B">
        <w:rPr>
          <w:rFonts w:cstheme="minorHAnsi"/>
          <w:sz w:val="22"/>
          <w:szCs w:val="22"/>
        </w:rPr>
        <w:t xml:space="preserve"> que permiten mejorar el control y la precisión de las actividades agrícolas... la agricultura de precisión permite adoptar decisiones por metro cuadrado o incluso por planta o animal en lugar de hacerlo para todo un </w:t>
      </w:r>
      <w:r w:rsidRPr="00003C0B">
        <w:rPr>
          <w:rFonts w:cstheme="minorHAnsi"/>
          <w:sz w:val="22"/>
          <w:szCs w:val="22"/>
        </w:rPr>
        <w:lastRenderedPageBreak/>
        <w:t>terreno. Al medir de manera precisa las variaciones en un terreno, los agricultores pueden aumentar la eficacia de los plaguicidas y fertilizantes o utilizarlos de manera selectiva</w:t>
      </w:r>
      <w:r w:rsidR="004D12E6" w:rsidRPr="00003C0B">
        <w:rPr>
          <w:rFonts w:cstheme="minorHAnsi"/>
          <w:sz w:val="22"/>
          <w:szCs w:val="22"/>
        </w:rPr>
        <w:t>"</w:t>
      </w:r>
      <w:r w:rsidRPr="00003C0B">
        <w:rPr>
          <w:rFonts w:eastAsiaTheme="minorEastAsia" w:cstheme="minorHAnsi"/>
          <w:sz w:val="22"/>
          <w:szCs w:val="22"/>
          <w:vertAlign w:val="superscript"/>
          <w:lang w:eastAsia="zh-CN"/>
        </w:rPr>
        <w:footnoteReference w:id="10"/>
      </w:r>
      <w:r w:rsidRPr="00003C0B">
        <w:rPr>
          <w:rFonts w:cstheme="minorHAnsi"/>
          <w:sz w:val="22"/>
          <w:szCs w:val="22"/>
        </w:rPr>
        <w:t>.</w:t>
      </w:r>
    </w:p>
    <w:p w14:paraId="70BA155F" w14:textId="1B467FA0"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La </w:t>
      </w:r>
      <w:r w:rsidRPr="00003C0B">
        <w:rPr>
          <w:rFonts w:cstheme="minorHAnsi"/>
          <w:b/>
          <w:bCs/>
          <w:sz w:val="22"/>
          <w:szCs w:val="22"/>
        </w:rPr>
        <w:t xml:space="preserve">ganadería de precisión </w:t>
      </w:r>
      <w:r w:rsidRPr="00003C0B">
        <w:rPr>
          <w:rFonts w:cstheme="minorHAnsi"/>
          <w:sz w:val="22"/>
          <w:szCs w:val="22"/>
        </w:rPr>
        <w:t xml:space="preserve">implica la utilización por parte de los productores de </w:t>
      </w:r>
      <w:r w:rsidR="00CC234D" w:rsidRPr="00003C0B">
        <w:rPr>
          <w:rFonts w:cstheme="minorHAnsi"/>
          <w:sz w:val="22"/>
          <w:szCs w:val="22"/>
        </w:rPr>
        <w:t>"</w:t>
      </w:r>
      <w:r w:rsidRPr="00003C0B">
        <w:rPr>
          <w:rFonts w:cstheme="minorHAnsi"/>
          <w:sz w:val="22"/>
          <w:szCs w:val="22"/>
        </w:rPr>
        <w:t xml:space="preserve">aplicaciones inalámbricas de </w:t>
      </w:r>
      <w:proofErr w:type="spellStart"/>
      <w:r w:rsidRPr="00003C0B">
        <w:rPr>
          <w:rFonts w:cstheme="minorHAnsi"/>
          <w:sz w:val="22"/>
          <w:szCs w:val="22"/>
        </w:rPr>
        <w:t>IoT</w:t>
      </w:r>
      <w:proofErr w:type="spellEnd"/>
      <w:r w:rsidRPr="00003C0B">
        <w:rPr>
          <w:rFonts w:cstheme="minorHAnsi"/>
          <w:sz w:val="22"/>
          <w:szCs w:val="22"/>
        </w:rPr>
        <w:t xml:space="preserve"> para supervisar la ubicación, el bienestar y la salud de su ganado. Con esta información, pueden detectar a los animales enfermos, para separarlos de la manada y evitar la propagación de la enfermedad</w:t>
      </w:r>
      <w:r w:rsidR="00CC234D" w:rsidRPr="00003C0B">
        <w:rPr>
          <w:rFonts w:cstheme="minorHAnsi"/>
          <w:sz w:val="22"/>
          <w:szCs w:val="22"/>
        </w:rPr>
        <w:t>"</w:t>
      </w:r>
      <w:r w:rsidRPr="00003C0B">
        <w:rPr>
          <w:rFonts w:eastAsiaTheme="minorEastAsia" w:cstheme="minorHAnsi"/>
          <w:sz w:val="22"/>
          <w:szCs w:val="22"/>
          <w:vertAlign w:val="superscript"/>
          <w:lang w:eastAsia="zh-CN"/>
        </w:rPr>
        <w:footnoteReference w:id="11"/>
      </w:r>
      <w:r w:rsidRPr="00003C0B">
        <w:rPr>
          <w:rFonts w:cstheme="minorHAnsi"/>
          <w:sz w:val="22"/>
          <w:szCs w:val="22"/>
        </w:rPr>
        <w:t>.</w:t>
      </w:r>
    </w:p>
    <w:p w14:paraId="2DD2DDCA" w14:textId="0AD9D8D1"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La </w:t>
      </w:r>
      <w:r w:rsidRPr="00003C0B">
        <w:rPr>
          <w:rFonts w:cstheme="minorHAnsi"/>
          <w:b/>
          <w:bCs/>
          <w:sz w:val="22"/>
          <w:szCs w:val="22"/>
        </w:rPr>
        <w:t>agricultura en ambiente controlado</w:t>
      </w:r>
      <w:r w:rsidRPr="00003C0B">
        <w:rPr>
          <w:rFonts w:cstheme="minorHAnsi"/>
          <w:sz w:val="22"/>
          <w:szCs w:val="22"/>
        </w:rPr>
        <w:t xml:space="preserve"> </w:t>
      </w:r>
      <w:r w:rsidR="00CC234D" w:rsidRPr="00003C0B">
        <w:rPr>
          <w:rFonts w:cstheme="minorHAnsi"/>
          <w:sz w:val="22"/>
          <w:szCs w:val="22"/>
        </w:rPr>
        <w:t>"</w:t>
      </w:r>
      <w:r w:rsidRPr="00003C0B">
        <w:rPr>
          <w:rFonts w:cstheme="minorHAnsi"/>
          <w:sz w:val="22"/>
          <w:szCs w:val="22"/>
        </w:rPr>
        <w:t xml:space="preserve">es un </w:t>
      </w:r>
      <w:r w:rsidR="00EA4D26" w:rsidRPr="00003C0B">
        <w:rPr>
          <w:rFonts w:cstheme="minorHAnsi"/>
          <w:sz w:val="22"/>
          <w:szCs w:val="22"/>
        </w:rPr>
        <w:t>método en que</w:t>
      </w:r>
      <w:r w:rsidRPr="00003C0B">
        <w:rPr>
          <w:rFonts w:cstheme="minorHAnsi"/>
          <w:sz w:val="22"/>
          <w:szCs w:val="22"/>
        </w:rPr>
        <w:t xml:space="preserve"> el cultivo se realiza en el interior con una utilización optimizada del agua y el espacio en comparación con la agricultura convencional, a la vez que se controlan factores como la luz, la temperatura, la humedad, el nivel de CO</w:t>
      </w:r>
      <w:r w:rsidRPr="00003C0B">
        <w:rPr>
          <w:rFonts w:cstheme="minorHAnsi"/>
          <w:sz w:val="22"/>
          <w:szCs w:val="22"/>
          <w:vertAlign w:val="subscript"/>
        </w:rPr>
        <w:t>2</w:t>
      </w:r>
      <w:r w:rsidRPr="00003C0B">
        <w:rPr>
          <w:rFonts w:cstheme="minorHAnsi"/>
          <w:sz w:val="22"/>
          <w:szCs w:val="22"/>
        </w:rPr>
        <w:t xml:space="preserve"> y la concentración de nutrientes. La </w:t>
      </w:r>
      <w:r w:rsidRPr="00003C0B">
        <w:rPr>
          <w:rFonts w:cstheme="minorHAnsi"/>
          <w:i/>
          <w:iCs/>
          <w:sz w:val="22"/>
          <w:szCs w:val="22"/>
        </w:rPr>
        <w:t>agricultura vertical</w:t>
      </w:r>
      <w:r w:rsidRPr="00003C0B">
        <w:rPr>
          <w:rFonts w:cstheme="minorHAnsi"/>
          <w:sz w:val="22"/>
          <w:szCs w:val="22"/>
        </w:rPr>
        <w:t xml:space="preserve"> es un buen ejemplo de ello, y tiene efectos secundarios favorables. Permite la producción de alimentos más cerca de las ciudades o en ellas</w:t>
      </w:r>
      <w:r w:rsidR="00CC234D" w:rsidRPr="00003C0B">
        <w:rPr>
          <w:rFonts w:cstheme="minorHAnsi"/>
          <w:sz w:val="22"/>
          <w:szCs w:val="22"/>
        </w:rPr>
        <w:t>"</w:t>
      </w:r>
      <w:r w:rsidRPr="00003C0B">
        <w:rPr>
          <w:rFonts w:eastAsiaTheme="minorEastAsia" w:cstheme="minorHAnsi"/>
          <w:sz w:val="22"/>
          <w:szCs w:val="22"/>
          <w:vertAlign w:val="superscript"/>
          <w:lang w:eastAsia="zh-CN"/>
        </w:rPr>
        <w:footnoteReference w:id="12"/>
      </w:r>
      <w:r w:rsidRPr="00003C0B">
        <w:rPr>
          <w:rFonts w:cstheme="minorHAnsi"/>
          <w:sz w:val="22"/>
          <w:szCs w:val="22"/>
        </w:rPr>
        <w:t>.</w:t>
      </w:r>
    </w:p>
    <w:p w14:paraId="0D936707" w14:textId="76EC12D2"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Los </w:t>
      </w:r>
      <w:r w:rsidRPr="00003C0B">
        <w:rPr>
          <w:rFonts w:cstheme="minorHAnsi"/>
          <w:b/>
          <w:bCs/>
          <w:sz w:val="22"/>
          <w:szCs w:val="22"/>
        </w:rPr>
        <w:t>invernaderos inteligentes</w:t>
      </w:r>
      <w:r w:rsidRPr="00003C0B">
        <w:rPr>
          <w:rFonts w:cstheme="minorHAnsi"/>
          <w:sz w:val="22"/>
          <w:szCs w:val="22"/>
        </w:rPr>
        <w:t xml:space="preserve"> utilizan la </w:t>
      </w:r>
      <w:proofErr w:type="spellStart"/>
      <w:r w:rsidRPr="00003C0B">
        <w:rPr>
          <w:rFonts w:cstheme="minorHAnsi"/>
          <w:sz w:val="22"/>
          <w:szCs w:val="22"/>
        </w:rPr>
        <w:t>IoT</w:t>
      </w:r>
      <w:proofErr w:type="spellEnd"/>
      <w:r w:rsidRPr="00003C0B">
        <w:rPr>
          <w:rFonts w:cstheme="minorHAnsi"/>
          <w:sz w:val="22"/>
          <w:szCs w:val="22"/>
        </w:rPr>
        <w:t xml:space="preserve"> para </w:t>
      </w:r>
      <w:r w:rsidR="00CC234D" w:rsidRPr="00003C0B">
        <w:rPr>
          <w:rFonts w:cstheme="minorHAnsi"/>
          <w:sz w:val="22"/>
          <w:szCs w:val="22"/>
        </w:rPr>
        <w:t>"</w:t>
      </w:r>
      <w:r w:rsidRPr="00003C0B">
        <w:rPr>
          <w:rFonts w:cstheme="minorHAnsi"/>
          <w:sz w:val="22"/>
          <w:szCs w:val="22"/>
        </w:rPr>
        <w:t>supervisar de manera inteligente y controlar el clima, eliminando la necesidad de intervenir manualmente. Se implementan diversos sensores para medir los parámetros ambientales en función de las necesidades específicas del cultivo. Esos datos se almacenan en una plataforma basada en la nube para procesarlos ulteriormente y controlarlos reduciendo al mínimo la intervención manual</w:t>
      </w:r>
      <w:r w:rsidR="00CC234D" w:rsidRPr="00003C0B">
        <w:rPr>
          <w:rFonts w:cstheme="minorHAnsi"/>
          <w:sz w:val="22"/>
          <w:szCs w:val="22"/>
        </w:rPr>
        <w:t>"</w:t>
      </w:r>
      <w:r w:rsidRPr="00003C0B">
        <w:rPr>
          <w:rFonts w:eastAsiaTheme="minorEastAsia" w:cstheme="minorHAnsi"/>
          <w:sz w:val="22"/>
          <w:szCs w:val="22"/>
          <w:vertAlign w:val="superscript"/>
          <w:lang w:eastAsia="zh-CN"/>
        </w:rPr>
        <w:footnoteReference w:id="13"/>
      </w:r>
      <w:r w:rsidRPr="00003C0B">
        <w:rPr>
          <w:rFonts w:cstheme="minorHAnsi"/>
          <w:sz w:val="22"/>
          <w:szCs w:val="22"/>
        </w:rPr>
        <w:t>.</w:t>
      </w:r>
    </w:p>
    <w:bookmarkEnd w:id="6"/>
    <w:p w14:paraId="6AE42672" w14:textId="4775DD97" w:rsidR="00504E51" w:rsidRPr="00003C0B" w:rsidRDefault="00CC234D" w:rsidP="00CC234D">
      <w:pPr>
        <w:pStyle w:val="Heading1"/>
      </w:pPr>
      <w:r w:rsidRPr="00003C0B">
        <w:t>2</w:t>
      </w:r>
      <w:r w:rsidR="00504E51" w:rsidRPr="00003C0B">
        <w:tab/>
      </w:r>
      <w:proofErr w:type="gramStart"/>
      <w:r w:rsidR="00504E51" w:rsidRPr="00003C0B">
        <w:t>Objetivos</w:t>
      </w:r>
      <w:proofErr w:type="gramEnd"/>
      <w:r w:rsidR="00504E51" w:rsidRPr="00003C0B">
        <w:t xml:space="preserve"> del Grupo Temático sobre Inteligencia Art</w:t>
      </w:r>
      <w:r w:rsidRPr="00003C0B">
        <w:t>ificial e Internet de las Cosas</w:t>
      </w:r>
      <w:r w:rsidRPr="00003C0B">
        <w:br/>
      </w:r>
      <w:r w:rsidR="00504E51" w:rsidRPr="00003C0B">
        <w:t>para la agricultura digital (FG-AI4A)</w:t>
      </w:r>
    </w:p>
    <w:p w14:paraId="4DA3D860"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El Grupo Temático propuesto estudia las posibilidades de utilizar la IA y la </w:t>
      </w:r>
      <w:proofErr w:type="spellStart"/>
      <w:r w:rsidRPr="00003C0B">
        <w:rPr>
          <w:rFonts w:cstheme="minorHAnsi"/>
          <w:sz w:val="22"/>
          <w:szCs w:val="22"/>
        </w:rPr>
        <w:t>IoT</w:t>
      </w:r>
      <w:proofErr w:type="spellEnd"/>
      <w:r w:rsidRPr="00003C0B">
        <w:rPr>
          <w:rFonts w:cstheme="minorHAnsi"/>
          <w:sz w:val="22"/>
          <w:szCs w:val="22"/>
        </w:rPr>
        <w:t xml:space="preserve"> para respaldar prácticas innovadoras relacionadas con la producción agrícola. El Grupo Temático también analiza los posibles inconvenientes de estas tecnologías en dicho contexto, los obstáculos relacionados con su utilización, las mejores prácticas para su implantación óptima y cualquier otro asunto pertinente.</w:t>
      </w:r>
    </w:p>
    <w:p w14:paraId="398F3712"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En el marco de esta labor, el Grupo Temático lleva a cabo un análisis de la utilización de la IA y la </w:t>
      </w:r>
      <w:proofErr w:type="spellStart"/>
      <w:r w:rsidRPr="00003C0B">
        <w:rPr>
          <w:rFonts w:cstheme="minorHAnsi"/>
          <w:sz w:val="22"/>
          <w:szCs w:val="22"/>
        </w:rPr>
        <w:t>IoT</w:t>
      </w:r>
      <w:proofErr w:type="spellEnd"/>
      <w:r w:rsidRPr="00003C0B">
        <w:rPr>
          <w:rFonts w:cstheme="minorHAnsi"/>
          <w:sz w:val="22"/>
          <w:szCs w:val="22"/>
        </w:rPr>
        <w:t xml:space="preserve"> en la producción agrícola a fin de determinar su situación actual (en los planos mundial y regional), los conceptos clave, las principales tendencias, los problemas y deficiencias importantes de las actividades de normalización en la materia y otros aspectos, formular hipótesis de uso, estudiar los requisitos de alto nivel y los posibles enfoques arquitectónicos, y atender las necesidades de los usuarios de este animado sector. El Grupo Temático tiene por objeto publicar los resultados de estas iniciativas en diversos informes y estudios de casos.</w:t>
      </w:r>
    </w:p>
    <w:p w14:paraId="33267677"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A tal efecto, el FG-AI4A facilita la colaboración entre múltiples partes interesadas y expertos de todo el mundo, actuando como una plataforma abierta en la que expertos representantes de Miembros de la UIT y otras entidades ajenas a la Organización puedan dar un rápido impulso a los estudios sobre la tecnología, las normas y las aplicaciones pertinentes para la IA y la </w:t>
      </w:r>
      <w:proofErr w:type="spellStart"/>
      <w:r w:rsidRPr="00003C0B">
        <w:rPr>
          <w:rFonts w:cstheme="minorHAnsi"/>
          <w:sz w:val="22"/>
          <w:szCs w:val="22"/>
        </w:rPr>
        <w:t>IoT</w:t>
      </w:r>
      <w:proofErr w:type="spellEnd"/>
      <w:r w:rsidRPr="00003C0B">
        <w:rPr>
          <w:rFonts w:cstheme="minorHAnsi"/>
          <w:sz w:val="22"/>
          <w:szCs w:val="22"/>
        </w:rPr>
        <w:t xml:space="preserve"> en la agricultura.</w:t>
      </w:r>
    </w:p>
    <w:p w14:paraId="66FD8929" w14:textId="14DD7C68"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En particular, se desplegarán esfuerzos para respaldar la participación de países de ingresos bajos o medianos y de países que se hayan podido ver más afectados por la agricultura digital (por ejemplo, los pequeños Estados insulares en desarrollo,</w:t>
      </w:r>
      <w:r w:rsidR="00447FB0" w:rsidRPr="00003C0B">
        <w:rPr>
          <w:rFonts w:cstheme="minorHAnsi"/>
          <w:sz w:val="22"/>
          <w:szCs w:val="22"/>
        </w:rPr>
        <w:t xml:space="preserve"> los</w:t>
      </w:r>
      <w:r w:rsidRPr="00003C0B">
        <w:rPr>
          <w:rFonts w:cstheme="minorHAnsi"/>
          <w:sz w:val="22"/>
          <w:szCs w:val="22"/>
        </w:rPr>
        <w:t xml:space="preserve"> países en desarrollo sin litoral y los países menos </w:t>
      </w:r>
      <w:r w:rsidRPr="00003C0B">
        <w:rPr>
          <w:rFonts w:cstheme="minorHAnsi"/>
          <w:sz w:val="22"/>
          <w:szCs w:val="22"/>
        </w:rPr>
        <w:lastRenderedPageBreak/>
        <w:t xml:space="preserve">adelantados). Por último, el FG-AI4A impulsa los esfuerzos de la Comisión de Estudio rectora, la CE 20 del UIT-T, en las esferas de la IA y la </w:t>
      </w:r>
      <w:proofErr w:type="spellStart"/>
      <w:r w:rsidRPr="00003C0B">
        <w:rPr>
          <w:rFonts w:cstheme="minorHAnsi"/>
          <w:sz w:val="22"/>
          <w:szCs w:val="22"/>
        </w:rPr>
        <w:t>IoT</w:t>
      </w:r>
      <w:proofErr w:type="spellEnd"/>
      <w:r w:rsidRPr="00003C0B">
        <w:rPr>
          <w:rFonts w:cstheme="minorHAnsi"/>
          <w:sz w:val="22"/>
          <w:szCs w:val="22"/>
        </w:rPr>
        <w:t>.</w:t>
      </w:r>
    </w:p>
    <w:p w14:paraId="2783D38C"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En términos más concretos, entre los objetivos del Grupo Temático están los siguientes:</w:t>
      </w:r>
    </w:p>
    <w:p w14:paraId="19FE8E8B" w14:textId="1C27340A" w:rsidR="00095A9C" w:rsidRPr="00003C0B" w:rsidRDefault="00CC234D" w:rsidP="00CC234D">
      <w:pPr>
        <w:pStyle w:val="enumlev1"/>
        <w:rPr>
          <w:sz w:val="22"/>
        </w:rPr>
      </w:pPr>
      <w:r w:rsidRPr="00003C0B">
        <w:rPr>
          <w:sz w:val="22"/>
        </w:rPr>
        <w:t>a)</w:t>
      </w:r>
      <w:r w:rsidRPr="00003C0B">
        <w:rPr>
          <w:sz w:val="22"/>
        </w:rPr>
        <w:tab/>
      </w:r>
      <w:r w:rsidR="00504E51" w:rsidRPr="00003C0B">
        <w:rPr>
          <w:sz w:val="22"/>
        </w:rPr>
        <w:t xml:space="preserve">Fomentar las actividades de este Grupo Temático destinadas a su labor previa a la normalización en relación con las tecnologías de IA y la </w:t>
      </w:r>
      <w:proofErr w:type="spellStart"/>
      <w:r w:rsidR="00504E51" w:rsidRPr="00003C0B">
        <w:rPr>
          <w:sz w:val="22"/>
        </w:rPr>
        <w:t>IoT</w:t>
      </w:r>
      <w:proofErr w:type="spellEnd"/>
      <w:r w:rsidR="00504E51" w:rsidRPr="00003C0B">
        <w:rPr>
          <w:sz w:val="22"/>
        </w:rPr>
        <w:t xml:space="preserve"> respetuosas del m</w:t>
      </w:r>
      <w:r w:rsidRPr="00003C0B">
        <w:rPr>
          <w:sz w:val="22"/>
        </w:rPr>
        <w:t>edio ambiente en la agricultura.</w:t>
      </w:r>
    </w:p>
    <w:p w14:paraId="3C5111C8" w14:textId="07B14F5A" w:rsidR="00095A9C" w:rsidRPr="00003C0B" w:rsidRDefault="00CC234D" w:rsidP="00CC234D">
      <w:pPr>
        <w:pStyle w:val="enumlev1"/>
        <w:rPr>
          <w:sz w:val="22"/>
        </w:rPr>
      </w:pPr>
      <w:r w:rsidRPr="00003C0B">
        <w:rPr>
          <w:sz w:val="22"/>
        </w:rPr>
        <w:t>b)</w:t>
      </w:r>
      <w:r w:rsidRPr="00003C0B">
        <w:rPr>
          <w:sz w:val="22"/>
        </w:rPr>
        <w:tab/>
      </w:r>
      <w:r w:rsidR="00504E51" w:rsidRPr="00003C0B">
        <w:rPr>
          <w:sz w:val="22"/>
        </w:rPr>
        <w:t>Constituir una comunidad de interesados y expertos de todo el mundo para analizar la utilización de las tecnologías emergentes para l</w:t>
      </w:r>
      <w:r w:rsidRPr="00003C0B">
        <w:rPr>
          <w:sz w:val="22"/>
        </w:rPr>
        <w:t xml:space="preserve">a IA y la </w:t>
      </w:r>
      <w:proofErr w:type="spellStart"/>
      <w:r w:rsidRPr="00003C0B">
        <w:rPr>
          <w:sz w:val="22"/>
        </w:rPr>
        <w:t>IoT</w:t>
      </w:r>
      <w:proofErr w:type="spellEnd"/>
      <w:r w:rsidRPr="00003C0B">
        <w:rPr>
          <w:sz w:val="22"/>
        </w:rPr>
        <w:t xml:space="preserve"> en la agricultura.</w:t>
      </w:r>
    </w:p>
    <w:p w14:paraId="6885090E" w14:textId="3F140810" w:rsidR="00504E51" w:rsidRPr="00003C0B" w:rsidRDefault="00CC234D" w:rsidP="00CC234D">
      <w:pPr>
        <w:pStyle w:val="enumlev1"/>
        <w:rPr>
          <w:rFonts w:eastAsiaTheme="minorEastAsia"/>
          <w:sz w:val="22"/>
        </w:rPr>
      </w:pPr>
      <w:r w:rsidRPr="00003C0B">
        <w:rPr>
          <w:sz w:val="22"/>
        </w:rPr>
        <w:t>c)</w:t>
      </w:r>
      <w:r w:rsidRPr="00003C0B">
        <w:rPr>
          <w:sz w:val="22"/>
        </w:rPr>
        <w:tab/>
      </w:r>
      <w:r w:rsidR="00504E51" w:rsidRPr="00003C0B">
        <w:rPr>
          <w:sz w:val="22"/>
        </w:rPr>
        <w:t>Armonizar la labor de esa comunidad para facilitar el cumplimiento de los objetivos conexos de las Naciones Unidas, en aras de</w:t>
      </w:r>
      <w:r w:rsidR="00494F74" w:rsidRPr="00003C0B">
        <w:rPr>
          <w:sz w:val="22"/>
        </w:rPr>
        <w:t xml:space="preserve"> lograr</w:t>
      </w:r>
      <w:r w:rsidR="00504E51" w:rsidRPr="00003C0B">
        <w:rPr>
          <w:sz w:val="22"/>
        </w:rPr>
        <w:t xml:space="preserve"> un futuro con mayor seguridad alimentaria y m</w:t>
      </w:r>
      <w:r w:rsidRPr="00003C0B">
        <w:rPr>
          <w:sz w:val="22"/>
        </w:rPr>
        <w:t>ás avanzado en materia agrícola.</w:t>
      </w:r>
    </w:p>
    <w:p w14:paraId="52B9420A" w14:textId="79E8CC18" w:rsidR="00504E51" w:rsidRPr="00003C0B" w:rsidRDefault="00CC234D" w:rsidP="00CC234D">
      <w:pPr>
        <w:pStyle w:val="enumlev1"/>
        <w:rPr>
          <w:rFonts w:eastAsiaTheme="minorEastAsia"/>
          <w:sz w:val="22"/>
        </w:rPr>
      </w:pPr>
      <w:r w:rsidRPr="00003C0B">
        <w:rPr>
          <w:sz w:val="22"/>
        </w:rPr>
        <w:t>d)</w:t>
      </w:r>
      <w:r w:rsidRPr="00003C0B">
        <w:rPr>
          <w:sz w:val="22"/>
        </w:rPr>
        <w:tab/>
      </w:r>
      <w:r w:rsidR="00504E51" w:rsidRPr="00003C0B">
        <w:rPr>
          <w:sz w:val="22"/>
        </w:rPr>
        <w:t xml:space="preserve">Identificar proyectos relacionados con la utilización de la IA y la </w:t>
      </w:r>
      <w:proofErr w:type="spellStart"/>
      <w:r w:rsidR="00504E51" w:rsidRPr="00003C0B">
        <w:rPr>
          <w:sz w:val="22"/>
        </w:rPr>
        <w:t>IoT</w:t>
      </w:r>
      <w:proofErr w:type="spellEnd"/>
      <w:r w:rsidR="00504E51" w:rsidRPr="00003C0B">
        <w:rPr>
          <w:sz w:val="22"/>
        </w:rPr>
        <w:t xml:space="preserve"> en la agricultura y los servicios conexos, la agricultura de precisión, la ganadería de precisión, la agricultura en ambiente controlado, los invernaderos inteligentes, la agricultura vertical, la agricultura digital, etc. que necesiten la realización de futuras actividades de </w:t>
      </w:r>
      <w:r w:rsidRPr="00003C0B">
        <w:rPr>
          <w:sz w:val="22"/>
        </w:rPr>
        <w:t>normalización.</w:t>
      </w:r>
    </w:p>
    <w:p w14:paraId="28275F50" w14:textId="37C9B4D4" w:rsidR="00504E51" w:rsidRPr="00003C0B" w:rsidRDefault="00CC234D" w:rsidP="00CC234D">
      <w:pPr>
        <w:pStyle w:val="enumlev1"/>
        <w:rPr>
          <w:rFonts w:eastAsiaTheme="minorEastAsia"/>
          <w:sz w:val="22"/>
        </w:rPr>
      </w:pPr>
      <w:r w:rsidRPr="00003C0B">
        <w:rPr>
          <w:sz w:val="22"/>
        </w:rPr>
        <w:t>e)</w:t>
      </w:r>
      <w:r w:rsidRPr="00003C0B">
        <w:rPr>
          <w:sz w:val="22"/>
        </w:rPr>
        <w:tab/>
      </w:r>
      <w:r w:rsidR="00504E51" w:rsidRPr="00003C0B">
        <w:rPr>
          <w:sz w:val="22"/>
        </w:rPr>
        <w:t xml:space="preserve">Preparar un conjunto de productos finales (por ejemplo, informes técnicos, especificaciones técnicas, etc.) relacionados con las tecnologías de IA e </w:t>
      </w:r>
      <w:proofErr w:type="spellStart"/>
      <w:r w:rsidR="00504E51" w:rsidRPr="00003C0B">
        <w:rPr>
          <w:sz w:val="22"/>
        </w:rPr>
        <w:t>IoT</w:t>
      </w:r>
      <w:proofErr w:type="spellEnd"/>
      <w:r w:rsidR="00504E51" w:rsidRPr="00003C0B">
        <w:rPr>
          <w:sz w:val="22"/>
        </w:rPr>
        <w:t xml:space="preserve"> respetuosas del medio ambiente en la agricultura, entre ellos:</w:t>
      </w:r>
    </w:p>
    <w:p w14:paraId="09804633" w14:textId="0FF08EA3" w:rsidR="00504E51" w:rsidRPr="00003C0B" w:rsidRDefault="00CC234D" w:rsidP="00CC234D">
      <w:pPr>
        <w:pStyle w:val="enumlev2"/>
        <w:rPr>
          <w:rFonts w:eastAsia="SimSun"/>
          <w:sz w:val="22"/>
        </w:rPr>
      </w:pPr>
      <w:r w:rsidRPr="00003C0B">
        <w:rPr>
          <w:sz w:val="22"/>
        </w:rPr>
        <w:t>•</w:t>
      </w:r>
      <w:r w:rsidRPr="00003C0B">
        <w:rPr>
          <w:sz w:val="22"/>
        </w:rPr>
        <w:tab/>
      </w:r>
      <w:r w:rsidR="00504E51" w:rsidRPr="00003C0B">
        <w:rPr>
          <w:sz w:val="22"/>
        </w:rPr>
        <w:t xml:space="preserve">Términos, conceptos </w:t>
      </w:r>
      <w:r w:rsidRPr="00003C0B">
        <w:rPr>
          <w:sz w:val="22"/>
        </w:rPr>
        <w:t>clave, marco.</w:t>
      </w:r>
    </w:p>
    <w:p w14:paraId="1911C69B" w14:textId="77951ACA" w:rsidR="00504E51" w:rsidRPr="00003C0B" w:rsidRDefault="00CC234D" w:rsidP="00CC234D">
      <w:pPr>
        <w:pStyle w:val="enumlev2"/>
        <w:rPr>
          <w:rFonts w:eastAsiaTheme="minorEastAsia"/>
          <w:sz w:val="22"/>
        </w:rPr>
      </w:pPr>
      <w:r w:rsidRPr="00003C0B">
        <w:rPr>
          <w:sz w:val="22"/>
        </w:rPr>
        <w:t>•</w:t>
      </w:r>
      <w:r w:rsidRPr="00003C0B">
        <w:rPr>
          <w:sz w:val="22"/>
        </w:rPr>
        <w:tab/>
        <w:t>Infraestructura inteligente.</w:t>
      </w:r>
    </w:p>
    <w:p w14:paraId="59FCE500" w14:textId="07A474C7" w:rsidR="00504E51" w:rsidRPr="00003C0B" w:rsidRDefault="00CC234D" w:rsidP="00CC234D">
      <w:pPr>
        <w:pStyle w:val="enumlev2"/>
        <w:rPr>
          <w:rFonts w:eastAsiaTheme="minorEastAsia"/>
          <w:sz w:val="22"/>
        </w:rPr>
      </w:pPr>
      <w:r w:rsidRPr="00003C0B">
        <w:rPr>
          <w:sz w:val="22"/>
        </w:rPr>
        <w:t>•</w:t>
      </w:r>
      <w:r w:rsidRPr="00003C0B">
        <w:rPr>
          <w:sz w:val="22"/>
        </w:rPr>
        <w:tab/>
        <w:t>Recopilación de información.</w:t>
      </w:r>
    </w:p>
    <w:p w14:paraId="55EA0FC9" w14:textId="0C5C82C5" w:rsidR="00504E51" w:rsidRPr="00003C0B" w:rsidRDefault="00CC234D" w:rsidP="00CC234D">
      <w:pPr>
        <w:pStyle w:val="enumlev2"/>
        <w:rPr>
          <w:rFonts w:eastAsiaTheme="minorEastAsia"/>
          <w:sz w:val="22"/>
        </w:rPr>
      </w:pPr>
      <w:r w:rsidRPr="00003C0B">
        <w:rPr>
          <w:sz w:val="22"/>
        </w:rPr>
        <w:t>•</w:t>
      </w:r>
      <w:r w:rsidRPr="00003C0B">
        <w:rPr>
          <w:sz w:val="22"/>
        </w:rPr>
        <w:tab/>
        <w:t>Adquisición de datos.</w:t>
      </w:r>
    </w:p>
    <w:p w14:paraId="0F6C633F" w14:textId="01E8456A" w:rsidR="00504E51" w:rsidRPr="00003C0B" w:rsidRDefault="00CC234D" w:rsidP="00CC234D">
      <w:pPr>
        <w:pStyle w:val="enumlev2"/>
        <w:rPr>
          <w:rFonts w:eastAsia="SimSun"/>
          <w:sz w:val="22"/>
        </w:rPr>
      </w:pPr>
      <w:r w:rsidRPr="00003C0B">
        <w:rPr>
          <w:sz w:val="22"/>
        </w:rPr>
        <w:t>•</w:t>
      </w:r>
      <w:r w:rsidRPr="00003C0B">
        <w:rPr>
          <w:sz w:val="22"/>
        </w:rPr>
        <w:tab/>
      </w:r>
      <w:r w:rsidR="00504E51" w:rsidRPr="00003C0B">
        <w:rPr>
          <w:sz w:val="22"/>
        </w:rPr>
        <w:t>Interfaz de datos, t</w:t>
      </w:r>
      <w:r w:rsidRPr="00003C0B">
        <w:rPr>
          <w:sz w:val="22"/>
        </w:rPr>
        <w:t>ransmisión de información y red.</w:t>
      </w:r>
    </w:p>
    <w:p w14:paraId="4C281777" w14:textId="6B965609" w:rsidR="00504E51" w:rsidRPr="00003C0B" w:rsidRDefault="00CC234D" w:rsidP="00CC234D">
      <w:pPr>
        <w:pStyle w:val="enumlev2"/>
        <w:rPr>
          <w:rFonts w:eastAsia="SimSun"/>
          <w:sz w:val="22"/>
        </w:rPr>
      </w:pPr>
      <w:r w:rsidRPr="00003C0B">
        <w:rPr>
          <w:sz w:val="22"/>
        </w:rPr>
        <w:t>•</w:t>
      </w:r>
      <w:r w:rsidRPr="00003C0B">
        <w:rPr>
          <w:sz w:val="22"/>
        </w:rPr>
        <w:tab/>
        <w:t>Toma de decisiones central.</w:t>
      </w:r>
    </w:p>
    <w:p w14:paraId="3919172F" w14:textId="129A182B" w:rsidR="00504E51" w:rsidRPr="00003C0B" w:rsidRDefault="00CC234D" w:rsidP="00CC234D">
      <w:pPr>
        <w:pStyle w:val="enumlev2"/>
        <w:rPr>
          <w:rFonts w:eastAsia="SimSun"/>
          <w:sz w:val="22"/>
        </w:rPr>
      </w:pPr>
      <w:r w:rsidRPr="00003C0B">
        <w:rPr>
          <w:sz w:val="22"/>
        </w:rPr>
        <w:t>•</w:t>
      </w:r>
      <w:r w:rsidRPr="00003C0B">
        <w:rPr>
          <w:sz w:val="22"/>
        </w:rPr>
        <w:tab/>
      </w:r>
      <w:r w:rsidR="00504E51" w:rsidRPr="00003C0B">
        <w:rPr>
          <w:sz w:val="22"/>
        </w:rPr>
        <w:t>Tecnologías ligeras de IA/</w:t>
      </w:r>
      <w:r w:rsidRPr="00003C0B">
        <w:rPr>
          <w:sz w:val="22"/>
        </w:rPr>
        <w:t>aprendizaje automático (</w:t>
      </w:r>
      <w:proofErr w:type="spellStart"/>
      <w:r w:rsidRPr="00003C0B">
        <w:rPr>
          <w:sz w:val="22"/>
        </w:rPr>
        <w:t>TinyML</w:t>
      </w:r>
      <w:proofErr w:type="spellEnd"/>
      <w:r w:rsidRPr="00003C0B">
        <w:rPr>
          <w:sz w:val="22"/>
        </w:rPr>
        <w:t>).</w:t>
      </w:r>
    </w:p>
    <w:p w14:paraId="129B2F95" w14:textId="01D8DE45" w:rsidR="00504E51" w:rsidRPr="00003C0B" w:rsidRDefault="00CC234D" w:rsidP="00CC234D">
      <w:pPr>
        <w:pStyle w:val="enumlev2"/>
        <w:rPr>
          <w:rFonts w:eastAsia="SimSun"/>
          <w:sz w:val="22"/>
        </w:rPr>
      </w:pPr>
      <w:r w:rsidRPr="00003C0B">
        <w:rPr>
          <w:sz w:val="22"/>
        </w:rPr>
        <w:t>•</w:t>
      </w:r>
      <w:r w:rsidRPr="00003C0B">
        <w:rPr>
          <w:sz w:val="22"/>
        </w:rPr>
        <w:tab/>
      </w:r>
      <w:r w:rsidR="00504E51" w:rsidRPr="00003C0B">
        <w:rPr>
          <w:sz w:val="22"/>
        </w:rPr>
        <w:t>Inteligencia artificial dis</w:t>
      </w:r>
      <w:r w:rsidRPr="00003C0B">
        <w:rPr>
          <w:sz w:val="22"/>
        </w:rPr>
        <w:t>tribuida como servicio (</w:t>
      </w:r>
      <w:proofErr w:type="spellStart"/>
      <w:r w:rsidRPr="00003C0B">
        <w:rPr>
          <w:sz w:val="22"/>
        </w:rPr>
        <w:t>DAIaaS</w:t>
      </w:r>
      <w:proofErr w:type="spellEnd"/>
      <w:r w:rsidRPr="00003C0B">
        <w:rPr>
          <w:sz w:val="22"/>
        </w:rPr>
        <w:t>).</w:t>
      </w:r>
    </w:p>
    <w:p w14:paraId="667D21DF" w14:textId="75B53AE2" w:rsidR="00504E51" w:rsidRPr="00003C0B" w:rsidRDefault="00CC234D" w:rsidP="00CC234D">
      <w:pPr>
        <w:pStyle w:val="enumlev2"/>
        <w:rPr>
          <w:rFonts w:eastAsia="SimSun"/>
          <w:sz w:val="22"/>
        </w:rPr>
      </w:pPr>
      <w:r w:rsidRPr="00003C0B">
        <w:rPr>
          <w:sz w:val="22"/>
        </w:rPr>
        <w:t>•</w:t>
      </w:r>
      <w:r w:rsidRPr="00003C0B">
        <w:rPr>
          <w:sz w:val="22"/>
        </w:rPr>
        <w:tab/>
        <w:t>Funcionamiento independiente.</w:t>
      </w:r>
    </w:p>
    <w:p w14:paraId="6989516F" w14:textId="3BAC9FA4" w:rsidR="00504E51" w:rsidRPr="00003C0B" w:rsidRDefault="00CC234D" w:rsidP="00CC234D">
      <w:pPr>
        <w:pStyle w:val="enumlev2"/>
        <w:rPr>
          <w:rFonts w:eastAsia="SimSun"/>
          <w:sz w:val="22"/>
        </w:rPr>
      </w:pPr>
      <w:r w:rsidRPr="00003C0B">
        <w:rPr>
          <w:sz w:val="22"/>
        </w:rPr>
        <w:t>•</w:t>
      </w:r>
      <w:r w:rsidRPr="00003C0B">
        <w:rPr>
          <w:sz w:val="22"/>
        </w:rPr>
        <w:tab/>
      </w:r>
      <w:r w:rsidR="00504E51" w:rsidRPr="00003C0B">
        <w:rPr>
          <w:sz w:val="22"/>
        </w:rPr>
        <w:t>Robótica (aeronaves no tripuladas y vehí</w:t>
      </w:r>
      <w:r w:rsidRPr="00003C0B">
        <w:rPr>
          <w:sz w:val="22"/>
        </w:rPr>
        <w:t>culos terrestres no tripulados).</w:t>
      </w:r>
    </w:p>
    <w:p w14:paraId="5405FEF7" w14:textId="55293E98" w:rsidR="00504E51" w:rsidRPr="00003C0B" w:rsidRDefault="00CC234D" w:rsidP="00CC234D">
      <w:pPr>
        <w:pStyle w:val="enumlev2"/>
        <w:rPr>
          <w:rFonts w:eastAsiaTheme="minorEastAsia"/>
          <w:sz w:val="22"/>
        </w:rPr>
      </w:pPr>
      <w:r w:rsidRPr="00003C0B">
        <w:rPr>
          <w:sz w:val="22"/>
        </w:rPr>
        <w:t>•</w:t>
      </w:r>
      <w:r w:rsidRPr="00003C0B">
        <w:rPr>
          <w:sz w:val="22"/>
        </w:rPr>
        <w:tab/>
      </w:r>
      <w:r w:rsidR="00504E51" w:rsidRPr="00003C0B">
        <w:rPr>
          <w:sz w:val="22"/>
        </w:rPr>
        <w:t>Información y ciberseguridad.</w:t>
      </w:r>
    </w:p>
    <w:p w14:paraId="05133C4D" w14:textId="4DFFF85A" w:rsidR="00504E51" w:rsidRPr="00003C0B" w:rsidRDefault="00CC234D" w:rsidP="00CC234D">
      <w:pPr>
        <w:pStyle w:val="enumlev1"/>
        <w:rPr>
          <w:rFonts w:eastAsiaTheme="minorEastAsia"/>
          <w:sz w:val="22"/>
        </w:rPr>
      </w:pPr>
      <w:r w:rsidRPr="00003C0B">
        <w:rPr>
          <w:sz w:val="22"/>
        </w:rPr>
        <w:t>f)</w:t>
      </w:r>
      <w:r w:rsidRPr="00003C0B">
        <w:rPr>
          <w:sz w:val="22"/>
        </w:rPr>
        <w:tab/>
      </w:r>
      <w:r w:rsidR="00504E51" w:rsidRPr="00003C0B">
        <w:rPr>
          <w:sz w:val="22"/>
        </w:rPr>
        <w:t xml:space="preserve">Estudiar las arquitecturas, las interfaces, los protocolos, los formatos de datos, la interoperabilidad, la evaluación de la calidad de funcionamiento y otros aspectos en relación con la IA y la </w:t>
      </w:r>
      <w:proofErr w:type="spellStart"/>
      <w:r w:rsidR="00504E51" w:rsidRPr="00003C0B">
        <w:rPr>
          <w:sz w:val="22"/>
        </w:rPr>
        <w:t>IoT</w:t>
      </w:r>
      <w:proofErr w:type="spellEnd"/>
      <w:r w:rsidR="00504E51" w:rsidRPr="00003C0B">
        <w:rPr>
          <w:sz w:val="22"/>
        </w:rPr>
        <w:t xml:space="preserve"> en la agricultura, a fin de desarrollar soluciones</w:t>
      </w:r>
      <w:r w:rsidR="001E5BD0" w:rsidRPr="00003C0B">
        <w:rPr>
          <w:sz w:val="22"/>
        </w:rPr>
        <w:t xml:space="preserve"> fundadas y con valor comercial.</w:t>
      </w:r>
    </w:p>
    <w:p w14:paraId="4DFCFF08" w14:textId="0CE0F1B2" w:rsidR="00504E51" w:rsidRPr="00003C0B" w:rsidRDefault="00CC234D" w:rsidP="00CC234D">
      <w:pPr>
        <w:pStyle w:val="enumlev1"/>
        <w:rPr>
          <w:rFonts w:eastAsiaTheme="minorEastAsia"/>
          <w:sz w:val="22"/>
        </w:rPr>
      </w:pPr>
      <w:r w:rsidRPr="00003C0B">
        <w:rPr>
          <w:sz w:val="22"/>
        </w:rPr>
        <w:t>g)</w:t>
      </w:r>
      <w:r w:rsidRPr="00003C0B">
        <w:rPr>
          <w:sz w:val="22"/>
        </w:rPr>
        <w:tab/>
      </w:r>
      <w:r w:rsidR="00504E51" w:rsidRPr="00003C0B">
        <w:rPr>
          <w:sz w:val="22"/>
        </w:rPr>
        <w:t>Realizar un análisis de deficiencias de normalización en las esferas de l</w:t>
      </w:r>
      <w:r w:rsidR="001E5BD0" w:rsidRPr="00003C0B">
        <w:rPr>
          <w:sz w:val="22"/>
        </w:rPr>
        <w:t xml:space="preserve">a IA y la </w:t>
      </w:r>
      <w:proofErr w:type="spellStart"/>
      <w:r w:rsidR="001E5BD0" w:rsidRPr="00003C0B">
        <w:rPr>
          <w:sz w:val="22"/>
        </w:rPr>
        <w:t>IoT</w:t>
      </w:r>
      <w:proofErr w:type="spellEnd"/>
      <w:r w:rsidR="001E5BD0" w:rsidRPr="00003C0B">
        <w:rPr>
          <w:sz w:val="22"/>
        </w:rPr>
        <w:t xml:space="preserve"> en la agricultura.</w:t>
      </w:r>
    </w:p>
    <w:p w14:paraId="7DD0C46C" w14:textId="3EC11055" w:rsidR="00504E51" w:rsidRPr="00003C0B" w:rsidRDefault="00CC234D" w:rsidP="00CC234D">
      <w:pPr>
        <w:pStyle w:val="enumlev1"/>
        <w:rPr>
          <w:rFonts w:eastAsiaTheme="minorEastAsia"/>
          <w:sz w:val="22"/>
        </w:rPr>
      </w:pPr>
      <w:r w:rsidRPr="00003C0B">
        <w:rPr>
          <w:sz w:val="22"/>
        </w:rPr>
        <w:t>h)</w:t>
      </w:r>
      <w:r w:rsidRPr="00003C0B">
        <w:rPr>
          <w:sz w:val="22"/>
        </w:rPr>
        <w:tab/>
      </w:r>
      <w:r w:rsidR="00504E51" w:rsidRPr="00003C0B">
        <w:rPr>
          <w:sz w:val="22"/>
        </w:rPr>
        <w:t xml:space="preserve">Identificar las mejores prácticas actuales en la esfera general de la IA y la </w:t>
      </w:r>
      <w:proofErr w:type="spellStart"/>
      <w:r w:rsidR="00504E51" w:rsidRPr="00003C0B">
        <w:rPr>
          <w:sz w:val="22"/>
        </w:rPr>
        <w:t>IoT</w:t>
      </w:r>
      <w:proofErr w:type="spellEnd"/>
      <w:r w:rsidR="00504E51" w:rsidRPr="00003C0B">
        <w:rPr>
          <w:sz w:val="22"/>
        </w:rPr>
        <w:t xml:space="preserve"> en la agricultura y aprovecharlas en los estudios, investiga</w:t>
      </w:r>
      <w:r w:rsidR="001E5BD0" w:rsidRPr="00003C0B">
        <w:rPr>
          <w:sz w:val="22"/>
        </w:rPr>
        <w:t>ciones y consultas con expertos.</w:t>
      </w:r>
    </w:p>
    <w:p w14:paraId="4D0C605D" w14:textId="17524F72" w:rsidR="00504E51" w:rsidRPr="00003C0B" w:rsidRDefault="00CC234D" w:rsidP="00CC234D">
      <w:pPr>
        <w:pStyle w:val="enumlev1"/>
        <w:rPr>
          <w:rFonts w:eastAsiaTheme="minorEastAsia"/>
          <w:sz w:val="22"/>
        </w:rPr>
      </w:pPr>
      <w:r w:rsidRPr="00003C0B">
        <w:rPr>
          <w:sz w:val="22"/>
        </w:rPr>
        <w:t>i)</w:t>
      </w:r>
      <w:r w:rsidRPr="00003C0B">
        <w:rPr>
          <w:sz w:val="22"/>
        </w:rPr>
        <w:tab/>
      </w:r>
      <w:r w:rsidR="00504E51" w:rsidRPr="00003C0B">
        <w:rPr>
          <w:sz w:val="22"/>
        </w:rPr>
        <w:t>Establecer vínculos y relaciones con otras organizaciones y proyectos que puedan contribuir a las actividades de normalización relacionadas con l</w:t>
      </w:r>
      <w:r w:rsidR="001E5BD0" w:rsidRPr="00003C0B">
        <w:rPr>
          <w:sz w:val="22"/>
        </w:rPr>
        <w:t xml:space="preserve">a IA y la </w:t>
      </w:r>
      <w:proofErr w:type="spellStart"/>
      <w:r w:rsidR="001E5BD0" w:rsidRPr="00003C0B">
        <w:rPr>
          <w:sz w:val="22"/>
        </w:rPr>
        <w:t>IoT</w:t>
      </w:r>
      <w:proofErr w:type="spellEnd"/>
      <w:r w:rsidR="001E5BD0" w:rsidRPr="00003C0B">
        <w:rPr>
          <w:sz w:val="22"/>
        </w:rPr>
        <w:t xml:space="preserve"> en la agricultura.</w:t>
      </w:r>
    </w:p>
    <w:p w14:paraId="6ED9B6CF" w14:textId="193A13BA" w:rsidR="00504E51" w:rsidRPr="00003C0B" w:rsidRDefault="00CC234D" w:rsidP="00CC234D">
      <w:pPr>
        <w:pStyle w:val="enumlev1"/>
        <w:rPr>
          <w:rFonts w:eastAsiaTheme="minorEastAsia"/>
        </w:rPr>
      </w:pPr>
      <w:r w:rsidRPr="00003C0B">
        <w:rPr>
          <w:sz w:val="22"/>
        </w:rPr>
        <w:t>j)</w:t>
      </w:r>
      <w:r w:rsidRPr="00003C0B">
        <w:rPr>
          <w:sz w:val="22"/>
        </w:rPr>
        <w:tab/>
      </w:r>
      <w:r w:rsidR="00504E51" w:rsidRPr="00003C0B">
        <w:rPr>
          <w:sz w:val="22"/>
        </w:rPr>
        <w:t xml:space="preserve">Estimular la participación del público y la colaboración internacional para llevar a la práctica el sistema normalizado de la IA y la </w:t>
      </w:r>
      <w:proofErr w:type="spellStart"/>
      <w:r w:rsidR="00504E51" w:rsidRPr="00003C0B">
        <w:rPr>
          <w:sz w:val="22"/>
        </w:rPr>
        <w:t>IoT</w:t>
      </w:r>
      <w:proofErr w:type="spellEnd"/>
      <w:r w:rsidR="00504E51" w:rsidRPr="00003C0B">
        <w:rPr>
          <w:sz w:val="22"/>
        </w:rPr>
        <w:t xml:space="preserve"> en la agricultura, a fin de aprovechar las oportunidades que la IA y la </w:t>
      </w:r>
      <w:proofErr w:type="spellStart"/>
      <w:r w:rsidR="00504E51" w:rsidRPr="00003C0B">
        <w:rPr>
          <w:sz w:val="22"/>
        </w:rPr>
        <w:t>IoT</w:t>
      </w:r>
      <w:proofErr w:type="spellEnd"/>
      <w:r w:rsidR="00504E51" w:rsidRPr="00003C0B">
        <w:rPr>
          <w:sz w:val="22"/>
        </w:rPr>
        <w:t xml:space="preserve"> en la agricultura ofrecen para reducir la pobreza (ODS 1) y el hambre (ODS 2)</w:t>
      </w:r>
      <w:r w:rsidR="00001F4E" w:rsidRPr="00003C0B">
        <w:rPr>
          <w:sz w:val="22"/>
        </w:rPr>
        <w:t>,</w:t>
      </w:r>
      <w:r w:rsidR="00504E51" w:rsidRPr="00003C0B">
        <w:rPr>
          <w:sz w:val="22"/>
        </w:rPr>
        <w:t xml:space="preserve"> y alentar al mismo tiempo el trabajo decente y el crecimiento económico (ODS 8), la industria, innovación e infraestructura (ODS 9), y el consumo y la producción sostenibles (ODS 12), la lucha contra el cambio climático (ODS 13) y la defensa de los ecosistemas terrestres (ODS 15).</w:t>
      </w:r>
    </w:p>
    <w:p w14:paraId="31471A09" w14:textId="07D1C207" w:rsidR="00504E51" w:rsidRPr="00003C0B" w:rsidRDefault="001E5BD0" w:rsidP="001E5BD0">
      <w:pPr>
        <w:pStyle w:val="Heading1"/>
      </w:pPr>
      <w:r w:rsidRPr="00003C0B">
        <w:lastRenderedPageBreak/>
        <w:t>3</w:t>
      </w:r>
      <w:r w:rsidR="00504E51" w:rsidRPr="00003C0B">
        <w:tab/>
      </w:r>
      <w:proofErr w:type="gramStart"/>
      <w:r w:rsidR="00504E51" w:rsidRPr="00003C0B">
        <w:t>Tareas</w:t>
      </w:r>
      <w:proofErr w:type="gramEnd"/>
      <w:r w:rsidR="00504E51" w:rsidRPr="00003C0B">
        <w:t xml:space="preserve"> específicas y productos finales</w:t>
      </w:r>
    </w:p>
    <w:p w14:paraId="38ABC135" w14:textId="29505A8B" w:rsidR="00095A9C" w:rsidRPr="00003C0B" w:rsidRDefault="001E5BD0" w:rsidP="001E5BD0">
      <w:pPr>
        <w:pStyle w:val="enumlev1"/>
        <w:rPr>
          <w:sz w:val="22"/>
        </w:rPr>
      </w:pPr>
      <w:r w:rsidRPr="00003C0B">
        <w:rPr>
          <w:sz w:val="22"/>
        </w:rPr>
        <w:t>a)</w:t>
      </w:r>
      <w:r w:rsidRPr="00003C0B">
        <w:rPr>
          <w:sz w:val="22"/>
        </w:rPr>
        <w:tab/>
      </w:r>
      <w:r w:rsidR="00504E51" w:rsidRPr="00003C0B">
        <w:rPr>
          <w:sz w:val="22"/>
        </w:rPr>
        <w:t xml:space="preserve">Desarrollo de la terminología y taxonomía relacionada con la IA y la </w:t>
      </w:r>
      <w:proofErr w:type="spellStart"/>
      <w:r w:rsidR="00504E51" w:rsidRPr="00003C0B">
        <w:rPr>
          <w:sz w:val="22"/>
        </w:rPr>
        <w:t>IoT</w:t>
      </w:r>
      <w:proofErr w:type="spellEnd"/>
      <w:r w:rsidR="00504E51" w:rsidRPr="00003C0B">
        <w:rPr>
          <w:sz w:val="22"/>
        </w:rPr>
        <w:t xml:space="preserve"> en la agricultura, con inclusión de aclaraciones sobre los términos y conceptos conexos, teniendo en cuenta los </w:t>
      </w:r>
      <w:r w:rsidRPr="00003C0B">
        <w:rPr>
          <w:sz w:val="22"/>
        </w:rPr>
        <w:t>trabajos existentes.</w:t>
      </w:r>
    </w:p>
    <w:p w14:paraId="7FBE89D1" w14:textId="7FB0A861" w:rsidR="00001F4E" w:rsidRPr="00003C0B" w:rsidRDefault="001E5BD0" w:rsidP="001E5BD0">
      <w:pPr>
        <w:pStyle w:val="enumlev1"/>
        <w:rPr>
          <w:sz w:val="22"/>
        </w:rPr>
      </w:pPr>
      <w:r w:rsidRPr="00003C0B">
        <w:rPr>
          <w:sz w:val="22"/>
        </w:rPr>
        <w:t>b)</w:t>
      </w:r>
      <w:r w:rsidRPr="00003C0B">
        <w:rPr>
          <w:sz w:val="22"/>
        </w:rPr>
        <w:tab/>
      </w:r>
      <w:r w:rsidR="00504E51" w:rsidRPr="00003C0B">
        <w:rPr>
          <w:sz w:val="22"/>
        </w:rPr>
        <w:t xml:space="preserve">Recopilación de información sobre las iniciativas, los proyectos y los casos de uso relativos a la IA y la </w:t>
      </w:r>
      <w:proofErr w:type="spellStart"/>
      <w:r w:rsidR="00504E51" w:rsidRPr="00003C0B">
        <w:rPr>
          <w:sz w:val="22"/>
        </w:rPr>
        <w:t>IoT</w:t>
      </w:r>
      <w:proofErr w:type="spellEnd"/>
      <w:r w:rsidR="00504E51" w:rsidRPr="00003C0B">
        <w:rPr>
          <w:sz w:val="22"/>
        </w:rPr>
        <w:t xml:space="preserve"> en la agricultura, a fin de determinar las normas existentes, las mejores prácticas/</w:t>
      </w:r>
      <w:r w:rsidRPr="00003C0B">
        <w:rPr>
          <w:sz w:val="22"/>
        </w:rPr>
        <w:br/>
      </w:r>
      <w:r w:rsidR="00504E51" w:rsidRPr="00003C0B">
        <w:rPr>
          <w:sz w:val="22"/>
        </w:rPr>
        <w:t xml:space="preserve">conclusiones y los obstáculos a la adopción de la IA y la </w:t>
      </w:r>
      <w:proofErr w:type="spellStart"/>
      <w:r w:rsidR="00504E51" w:rsidRPr="00003C0B">
        <w:rPr>
          <w:sz w:val="22"/>
        </w:rPr>
        <w:t>IoT</w:t>
      </w:r>
      <w:proofErr w:type="spellEnd"/>
      <w:r w:rsidR="00504E51" w:rsidRPr="00003C0B">
        <w:rPr>
          <w:sz w:val="22"/>
        </w:rPr>
        <w:t xml:space="preserve"> en los </w:t>
      </w:r>
      <w:r w:rsidRPr="00003C0B">
        <w:rPr>
          <w:sz w:val="22"/>
        </w:rPr>
        <w:t>procesos de producción agrícola.</w:t>
      </w:r>
    </w:p>
    <w:p w14:paraId="22680F0D" w14:textId="73B08000" w:rsidR="00504E51" w:rsidRPr="00003C0B" w:rsidRDefault="001E5BD0" w:rsidP="001E5BD0">
      <w:pPr>
        <w:pStyle w:val="enumlev1"/>
        <w:rPr>
          <w:sz w:val="22"/>
        </w:rPr>
      </w:pPr>
      <w:r w:rsidRPr="00003C0B">
        <w:rPr>
          <w:sz w:val="22"/>
        </w:rPr>
        <w:t>c)</w:t>
      </w:r>
      <w:r w:rsidRPr="00003C0B">
        <w:rPr>
          <w:sz w:val="22"/>
        </w:rPr>
        <w:tab/>
      </w:r>
      <w:r w:rsidR="00504E51" w:rsidRPr="00003C0B">
        <w:rPr>
          <w:sz w:val="22"/>
        </w:rPr>
        <w:t xml:space="preserve">Determinación de las esferas en las que la IA y la </w:t>
      </w:r>
      <w:proofErr w:type="spellStart"/>
      <w:r w:rsidR="00504E51" w:rsidRPr="00003C0B">
        <w:rPr>
          <w:sz w:val="22"/>
        </w:rPr>
        <w:t>IoT</w:t>
      </w:r>
      <w:proofErr w:type="spellEnd"/>
      <w:r w:rsidR="00504E51" w:rsidRPr="00003C0B">
        <w:rPr>
          <w:sz w:val="22"/>
        </w:rPr>
        <w:t xml:space="preserve"> en la agricultura pueden contribuir al fomento de la utilización generalizada de las tecnologías digitales en los procesos de producción ag</w:t>
      </w:r>
      <w:r w:rsidRPr="00003C0B">
        <w:rPr>
          <w:sz w:val="22"/>
        </w:rPr>
        <w:t>rícola.</w:t>
      </w:r>
    </w:p>
    <w:p w14:paraId="0D161E12" w14:textId="7A25BD50" w:rsidR="00504E51" w:rsidRPr="00003C0B" w:rsidRDefault="001E5BD0" w:rsidP="001E5BD0">
      <w:pPr>
        <w:pStyle w:val="enumlev1"/>
        <w:rPr>
          <w:rFonts w:eastAsiaTheme="minorEastAsia"/>
          <w:sz w:val="22"/>
        </w:rPr>
      </w:pPr>
      <w:r w:rsidRPr="00003C0B">
        <w:rPr>
          <w:sz w:val="22"/>
        </w:rPr>
        <w:t>d)</w:t>
      </w:r>
      <w:r w:rsidRPr="00003C0B">
        <w:rPr>
          <w:sz w:val="22"/>
        </w:rPr>
        <w:tab/>
      </w:r>
      <w:r w:rsidR="00504E51" w:rsidRPr="00003C0B">
        <w:rPr>
          <w:sz w:val="22"/>
        </w:rPr>
        <w:t xml:space="preserve">Redacción de informes técnicos y especificaciones sobre la utilización de la IA y la </w:t>
      </w:r>
      <w:proofErr w:type="spellStart"/>
      <w:r w:rsidR="00504E51" w:rsidRPr="00003C0B">
        <w:rPr>
          <w:sz w:val="22"/>
        </w:rPr>
        <w:t>IoT</w:t>
      </w:r>
      <w:proofErr w:type="spellEnd"/>
      <w:r w:rsidR="00504E51" w:rsidRPr="00003C0B">
        <w:rPr>
          <w:sz w:val="22"/>
        </w:rPr>
        <w:t xml:space="preserve"> para apoyar las actividades de adquisición de datos, procesamiento de datos y utilización de datos, incluida la supervisión de datos en tiempo real y la teledetección, sobre la base de la información procedente de los casos de uso (por ejemplo, los gemelos digitales de los procesos agrícolas, el procesamiento de datos, </w:t>
      </w:r>
      <w:r w:rsidRPr="00003C0B">
        <w:rPr>
          <w:sz w:val="22"/>
        </w:rPr>
        <w:t>la modelización de datos, etc.).</w:t>
      </w:r>
    </w:p>
    <w:p w14:paraId="248C62CC" w14:textId="302FFDBC" w:rsidR="00504E51" w:rsidRPr="00003C0B" w:rsidRDefault="001E5BD0" w:rsidP="001E5BD0">
      <w:pPr>
        <w:pStyle w:val="enumlev1"/>
        <w:rPr>
          <w:rFonts w:eastAsiaTheme="minorEastAsia"/>
          <w:sz w:val="22"/>
        </w:rPr>
      </w:pPr>
      <w:r w:rsidRPr="00003C0B">
        <w:rPr>
          <w:sz w:val="22"/>
        </w:rPr>
        <w:t>e)</w:t>
      </w:r>
      <w:r w:rsidRPr="00003C0B">
        <w:rPr>
          <w:sz w:val="22"/>
        </w:rPr>
        <w:tab/>
      </w:r>
      <w:r w:rsidR="00504E51" w:rsidRPr="00003C0B">
        <w:rPr>
          <w:sz w:val="22"/>
        </w:rPr>
        <w:t xml:space="preserve">Análisis y determinación de las deficiencias normativas relacionadas con la IA y la </w:t>
      </w:r>
      <w:proofErr w:type="spellStart"/>
      <w:r w:rsidR="00504E51" w:rsidRPr="00003C0B">
        <w:rPr>
          <w:sz w:val="22"/>
        </w:rPr>
        <w:t>IoT</w:t>
      </w:r>
      <w:proofErr w:type="spellEnd"/>
      <w:r w:rsidR="00504E51" w:rsidRPr="00003C0B">
        <w:rPr>
          <w:sz w:val="22"/>
        </w:rPr>
        <w:t xml:space="preserve"> en la agricultura, y preparación de una hoja de ruta de normalización con proyección de futuro, teniendo en cuenta las actuales actividades emprendidas por otros grupos de la UIT y diversos foros y organizaciones de normalización</w:t>
      </w:r>
      <w:r w:rsidRPr="00003C0B">
        <w:rPr>
          <w:sz w:val="22"/>
        </w:rPr>
        <w:t>.</w:t>
      </w:r>
    </w:p>
    <w:p w14:paraId="5106CA30" w14:textId="6469D66A" w:rsidR="00095A9C" w:rsidRPr="00003C0B" w:rsidRDefault="001E5BD0" w:rsidP="001E5BD0">
      <w:pPr>
        <w:pStyle w:val="enumlev1"/>
        <w:rPr>
          <w:sz w:val="22"/>
        </w:rPr>
      </w:pPr>
      <w:r w:rsidRPr="00003C0B">
        <w:rPr>
          <w:sz w:val="22"/>
        </w:rPr>
        <w:t>f)</w:t>
      </w:r>
      <w:r w:rsidRPr="00003C0B">
        <w:rPr>
          <w:sz w:val="22"/>
        </w:rPr>
        <w:tab/>
      </w:r>
      <w:r w:rsidR="00504E51" w:rsidRPr="00003C0B">
        <w:rPr>
          <w:sz w:val="22"/>
        </w:rPr>
        <w:t xml:space="preserve">Organización de talleres y webinarios que reúnan a interesados y expertos, pongan de relieve actividades innovadoras en la esfera de la IA, la </w:t>
      </w:r>
      <w:proofErr w:type="spellStart"/>
      <w:r w:rsidR="00504E51" w:rsidRPr="00003C0B">
        <w:rPr>
          <w:sz w:val="22"/>
        </w:rPr>
        <w:t>IoT</w:t>
      </w:r>
      <w:proofErr w:type="spellEnd"/>
      <w:r w:rsidR="00504E51" w:rsidRPr="00003C0B">
        <w:rPr>
          <w:sz w:val="22"/>
        </w:rPr>
        <w:t xml:space="preserve"> artificial —y la normalización— para los procesos de producción agrícola, y faciliten la colaboración con nuevos miembros del Grupo Temático. Además, se evaluarán las propuestas de los nuevos casos de uso par</w:t>
      </w:r>
      <w:r w:rsidRPr="00003C0B">
        <w:rPr>
          <w:sz w:val="22"/>
        </w:rPr>
        <w:t>a su inclusión en los subgrupos.</w:t>
      </w:r>
    </w:p>
    <w:p w14:paraId="5AB4EEC6" w14:textId="08058B7B" w:rsidR="00504E51" w:rsidRPr="00003C0B" w:rsidRDefault="001E5BD0" w:rsidP="001E5BD0">
      <w:pPr>
        <w:pStyle w:val="enumlev1"/>
        <w:rPr>
          <w:rFonts w:eastAsiaTheme="minorEastAsia"/>
          <w:sz w:val="22"/>
        </w:rPr>
      </w:pPr>
      <w:r w:rsidRPr="00003C0B">
        <w:rPr>
          <w:sz w:val="22"/>
        </w:rPr>
        <w:t>g)</w:t>
      </w:r>
      <w:r w:rsidRPr="00003C0B">
        <w:rPr>
          <w:sz w:val="22"/>
        </w:rPr>
        <w:tab/>
      </w:r>
      <w:r w:rsidR="00504E51" w:rsidRPr="00003C0B">
        <w:rPr>
          <w:sz w:val="22"/>
        </w:rPr>
        <w:t>Preparación de material formativo (por ejemplo, cursos y folletos en línea) en colaboración con otros asociados, a fin de poner los progresos del Grupo Temático a disposición de todos los interesados y expertos, en particular los de los países en desarrollo.</w:t>
      </w:r>
    </w:p>
    <w:p w14:paraId="6A391551" w14:textId="12BC32D4" w:rsidR="00504E51" w:rsidRPr="00003C0B" w:rsidRDefault="001E5BD0" w:rsidP="001E5BD0">
      <w:pPr>
        <w:pStyle w:val="Heading1"/>
      </w:pPr>
      <w:r w:rsidRPr="00003C0B">
        <w:t>4</w:t>
      </w:r>
      <w:r w:rsidR="00504E51" w:rsidRPr="00003C0B">
        <w:tab/>
      </w:r>
      <w:proofErr w:type="gramStart"/>
      <w:r w:rsidR="00504E51" w:rsidRPr="00003C0B">
        <w:t>Relaciones</w:t>
      </w:r>
      <w:proofErr w:type="gramEnd"/>
    </w:p>
    <w:p w14:paraId="2AF3BA24" w14:textId="0B6EBAC1"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Este Grupo Temático colaborará con las entidades pertinentes, de confo</w:t>
      </w:r>
      <w:r w:rsidR="001E5BD0" w:rsidRPr="00003C0B">
        <w:rPr>
          <w:rFonts w:cstheme="minorHAnsi"/>
          <w:sz w:val="22"/>
          <w:szCs w:val="22"/>
        </w:rPr>
        <w:t>rmidad con la Recomendación UIT</w:t>
      </w:r>
      <w:r w:rsidR="001E5BD0" w:rsidRPr="00003C0B">
        <w:rPr>
          <w:rFonts w:cstheme="minorHAnsi"/>
          <w:sz w:val="22"/>
          <w:szCs w:val="22"/>
        </w:rPr>
        <w:noBreakHyphen/>
      </w:r>
      <w:r w:rsidRPr="00003C0B">
        <w:rPr>
          <w:rFonts w:cstheme="minorHAnsi"/>
          <w:sz w:val="22"/>
          <w:szCs w:val="22"/>
        </w:rPr>
        <w:t>T A.7. Entre esas entidades figuran las siguientes: organismos de las Naciones Unidas, organizaciones no gubernamentales (ONG), municipios, legisladores, organismos de normalización, foros y consorcios industriales, empresas, instituciones académicas, instituciones de investigación y otras organizaciones pertinentes.</w:t>
      </w:r>
    </w:p>
    <w:p w14:paraId="6338B844"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El Grupo Temático propuesto sobre la IA y la </w:t>
      </w:r>
      <w:proofErr w:type="spellStart"/>
      <w:r w:rsidRPr="00003C0B">
        <w:rPr>
          <w:rFonts w:cstheme="minorHAnsi"/>
          <w:sz w:val="22"/>
          <w:szCs w:val="22"/>
        </w:rPr>
        <w:t>IoT</w:t>
      </w:r>
      <w:proofErr w:type="spellEnd"/>
      <w:r w:rsidRPr="00003C0B">
        <w:rPr>
          <w:rFonts w:cstheme="minorHAnsi"/>
          <w:sz w:val="22"/>
          <w:szCs w:val="22"/>
        </w:rPr>
        <w:t xml:space="preserve"> para la agricultura digital colaborará con las siguientes Comisiones de Estudio de la UIT:</w:t>
      </w:r>
    </w:p>
    <w:p w14:paraId="1201E398" w14:textId="553E8B71" w:rsidR="00504E51" w:rsidRPr="00003C0B" w:rsidRDefault="001E5BD0" w:rsidP="001E5BD0">
      <w:pPr>
        <w:pStyle w:val="enumlev1"/>
        <w:rPr>
          <w:rFonts w:eastAsiaTheme="minorEastAsia"/>
          <w:sz w:val="22"/>
        </w:rPr>
      </w:pPr>
      <w:r w:rsidRPr="00003C0B">
        <w:rPr>
          <w:sz w:val="22"/>
        </w:rPr>
        <w:t>•</w:t>
      </w:r>
      <w:r w:rsidRPr="00003C0B">
        <w:rPr>
          <w:sz w:val="22"/>
        </w:rPr>
        <w:tab/>
      </w:r>
      <w:r w:rsidR="00504E51" w:rsidRPr="00003C0B">
        <w:rPr>
          <w:sz w:val="22"/>
        </w:rPr>
        <w:t xml:space="preserve">La CE 5 del UIT-T (Grupo de Trabajo 2/5 sobre medio ambiente, eficiencia </w:t>
      </w:r>
      <w:r w:rsidRPr="00003C0B">
        <w:rPr>
          <w:sz w:val="22"/>
        </w:rPr>
        <w:t>energética y economía circular).</w:t>
      </w:r>
    </w:p>
    <w:p w14:paraId="410DDEC3" w14:textId="4B58084A" w:rsidR="00095A9C" w:rsidRPr="00003C0B" w:rsidRDefault="001E5BD0" w:rsidP="001E5BD0">
      <w:pPr>
        <w:pStyle w:val="enumlev1"/>
        <w:rPr>
          <w:sz w:val="22"/>
        </w:rPr>
      </w:pPr>
      <w:r w:rsidRPr="00003C0B">
        <w:rPr>
          <w:sz w:val="22"/>
        </w:rPr>
        <w:t>•</w:t>
      </w:r>
      <w:r w:rsidRPr="00003C0B">
        <w:rPr>
          <w:sz w:val="22"/>
        </w:rPr>
        <w:tab/>
      </w:r>
      <w:r w:rsidR="00504E51" w:rsidRPr="00003C0B">
        <w:rPr>
          <w:sz w:val="22"/>
        </w:rPr>
        <w:t>La CE 12 del UIT-T para aprovechar la serie P.1100-P.1199 sobre comunicaciones e</w:t>
      </w:r>
      <w:r w:rsidRPr="00003C0B">
        <w:rPr>
          <w:sz w:val="22"/>
        </w:rPr>
        <w:t>n las que intervienen vehículos.</w:t>
      </w:r>
    </w:p>
    <w:p w14:paraId="221ED57B" w14:textId="4F5B28FC" w:rsidR="00504E51" w:rsidRPr="00003C0B" w:rsidRDefault="001E5BD0" w:rsidP="001E5BD0">
      <w:pPr>
        <w:pStyle w:val="enumlev1"/>
        <w:rPr>
          <w:rFonts w:eastAsiaTheme="minorEastAsia"/>
          <w:sz w:val="22"/>
        </w:rPr>
      </w:pPr>
      <w:r w:rsidRPr="00003C0B">
        <w:rPr>
          <w:sz w:val="22"/>
        </w:rPr>
        <w:t>•</w:t>
      </w:r>
      <w:r w:rsidRPr="00003C0B">
        <w:rPr>
          <w:sz w:val="22"/>
        </w:rPr>
        <w:tab/>
      </w:r>
      <w:r w:rsidR="00504E51" w:rsidRPr="00003C0B">
        <w:rPr>
          <w:sz w:val="22"/>
        </w:rPr>
        <w:t xml:space="preserve">La CE 13 del UIT-T </w:t>
      </w:r>
      <w:r w:rsidRPr="00003C0B">
        <w:rPr>
          <w:sz w:val="22"/>
        </w:rPr>
        <w:t>sobre redes futuras (y la nube).</w:t>
      </w:r>
    </w:p>
    <w:p w14:paraId="28275C71" w14:textId="7C7668A6" w:rsidR="00095A9C" w:rsidRPr="00003C0B" w:rsidRDefault="001E5BD0" w:rsidP="001E5BD0">
      <w:pPr>
        <w:pStyle w:val="enumlev1"/>
        <w:rPr>
          <w:sz w:val="22"/>
        </w:rPr>
      </w:pPr>
      <w:r w:rsidRPr="00003C0B">
        <w:rPr>
          <w:sz w:val="22"/>
        </w:rPr>
        <w:t>•</w:t>
      </w:r>
      <w:r w:rsidRPr="00003C0B">
        <w:rPr>
          <w:sz w:val="22"/>
        </w:rPr>
        <w:tab/>
      </w:r>
      <w:r w:rsidR="00504E51" w:rsidRPr="00003C0B">
        <w:rPr>
          <w:sz w:val="22"/>
        </w:rPr>
        <w:t>La CE 16 del UIT-T (la Cuestión 21/16 sobre el marco, las aplicaciones y los servicios multimedios, y la Cuestión 27/16 sobre la plataforma de pasarela en vehículos para servicios y aplicaciones de telecomunicaciones y siste</w:t>
      </w:r>
      <w:r w:rsidRPr="00003C0B">
        <w:rPr>
          <w:sz w:val="22"/>
        </w:rPr>
        <w:t>mas de transporte inteligentes).</w:t>
      </w:r>
    </w:p>
    <w:p w14:paraId="15E95587" w14:textId="118D889F" w:rsidR="00095A9C" w:rsidRPr="00003C0B" w:rsidRDefault="001E5BD0" w:rsidP="001E5BD0">
      <w:pPr>
        <w:pStyle w:val="enumlev1"/>
        <w:rPr>
          <w:sz w:val="22"/>
        </w:rPr>
      </w:pPr>
      <w:r w:rsidRPr="00003C0B">
        <w:rPr>
          <w:sz w:val="22"/>
        </w:rPr>
        <w:t>•</w:t>
      </w:r>
      <w:r w:rsidRPr="00003C0B">
        <w:rPr>
          <w:sz w:val="22"/>
        </w:rPr>
        <w:tab/>
      </w:r>
      <w:r w:rsidR="00504E51" w:rsidRPr="00003C0B">
        <w:rPr>
          <w:sz w:val="22"/>
        </w:rPr>
        <w:t xml:space="preserve">La </w:t>
      </w:r>
      <w:r w:rsidRPr="00003C0B">
        <w:rPr>
          <w:sz w:val="22"/>
        </w:rPr>
        <w:t>CE 17 del UIT-T sobre seguridad.</w:t>
      </w:r>
    </w:p>
    <w:p w14:paraId="3C8DF0EB" w14:textId="5EE77666" w:rsidR="00095A9C" w:rsidRPr="00003C0B" w:rsidRDefault="001E5BD0" w:rsidP="001E5BD0">
      <w:pPr>
        <w:pStyle w:val="enumlev1"/>
        <w:rPr>
          <w:sz w:val="22"/>
        </w:rPr>
      </w:pPr>
      <w:r w:rsidRPr="00003C0B">
        <w:rPr>
          <w:sz w:val="22"/>
        </w:rPr>
        <w:t>•</w:t>
      </w:r>
      <w:r w:rsidRPr="00003C0B">
        <w:rPr>
          <w:sz w:val="22"/>
        </w:rPr>
        <w:tab/>
      </w:r>
      <w:r w:rsidR="00504E51" w:rsidRPr="00003C0B">
        <w:rPr>
          <w:sz w:val="22"/>
        </w:rPr>
        <w:t xml:space="preserve">La CE 20 del UIT-T (las Cuestiones 2/20 y 4/20 del UIT-T sobre los casos de uso de la </w:t>
      </w:r>
      <w:proofErr w:type="spellStart"/>
      <w:r w:rsidR="00504E51" w:rsidRPr="00003C0B">
        <w:rPr>
          <w:sz w:val="22"/>
        </w:rPr>
        <w:t>IoT</w:t>
      </w:r>
      <w:proofErr w:type="spellEnd"/>
      <w:r w:rsidR="00504E51" w:rsidRPr="00003C0B">
        <w:rPr>
          <w:sz w:val="22"/>
        </w:rPr>
        <w:t>, los requisitos y los aspectos de datos relaciona</w:t>
      </w:r>
      <w:r w:rsidRPr="00003C0B">
        <w:rPr>
          <w:sz w:val="22"/>
        </w:rPr>
        <w:t>dos con la agricultura digital).</w:t>
      </w:r>
    </w:p>
    <w:p w14:paraId="2AB8EA30" w14:textId="718D992D" w:rsidR="00504E51" w:rsidRPr="00003C0B" w:rsidRDefault="001E5BD0" w:rsidP="001E5BD0">
      <w:pPr>
        <w:pStyle w:val="enumlev1"/>
        <w:rPr>
          <w:rFonts w:eastAsiaTheme="minorEastAsia"/>
          <w:sz w:val="22"/>
        </w:rPr>
      </w:pPr>
      <w:r w:rsidRPr="00003C0B">
        <w:rPr>
          <w:sz w:val="22"/>
        </w:rPr>
        <w:lastRenderedPageBreak/>
        <w:t>•</w:t>
      </w:r>
      <w:r w:rsidRPr="00003C0B">
        <w:rPr>
          <w:sz w:val="22"/>
        </w:rPr>
        <w:tab/>
      </w:r>
      <w:r w:rsidR="00504E51" w:rsidRPr="00003C0B">
        <w:rPr>
          <w:sz w:val="22"/>
        </w:rPr>
        <w:t xml:space="preserve">La CE 4 del UIT-R sobre los servicios por satélite y la CE 5 del UIT-R sobre la conectividad para </w:t>
      </w:r>
      <w:r w:rsidRPr="00003C0B">
        <w:rPr>
          <w:sz w:val="22"/>
        </w:rPr>
        <w:t>la navegación de alta precisión.</w:t>
      </w:r>
    </w:p>
    <w:p w14:paraId="12FCF41B" w14:textId="367D7399" w:rsidR="00504E51" w:rsidRPr="00F44D92" w:rsidRDefault="001E5BD0" w:rsidP="001E5BD0">
      <w:pPr>
        <w:pStyle w:val="enumlev1"/>
        <w:rPr>
          <w:rFonts w:eastAsiaTheme="minorEastAsia"/>
          <w:sz w:val="22"/>
          <w:lang w:val="fr-CH"/>
        </w:rPr>
      </w:pPr>
      <w:r w:rsidRPr="00F44D92">
        <w:rPr>
          <w:sz w:val="22"/>
          <w:lang w:val="fr-CH"/>
        </w:rPr>
        <w:t>•</w:t>
      </w:r>
      <w:r w:rsidRPr="00F44D92">
        <w:rPr>
          <w:sz w:val="22"/>
          <w:lang w:val="fr-CH"/>
        </w:rPr>
        <w:tab/>
        <w:t xml:space="preserve">La CE 1 y la CE 2 </w:t>
      </w:r>
      <w:proofErr w:type="spellStart"/>
      <w:r w:rsidRPr="00F44D92">
        <w:rPr>
          <w:sz w:val="22"/>
          <w:lang w:val="fr-CH"/>
        </w:rPr>
        <w:t>del</w:t>
      </w:r>
      <w:proofErr w:type="spellEnd"/>
      <w:r w:rsidRPr="00F44D92">
        <w:rPr>
          <w:sz w:val="22"/>
          <w:lang w:val="fr-CH"/>
        </w:rPr>
        <w:t xml:space="preserve"> UIT-D.</w:t>
      </w:r>
    </w:p>
    <w:p w14:paraId="0D2D59EC" w14:textId="3AC351DE" w:rsidR="00504E51" w:rsidRPr="00003C0B" w:rsidRDefault="001E5BD0" w:rsidP="001E5BD0">
      <w:pPr>
        <w:pStyle w:val="enumlev1"/>
        <w:rPr>
          <w:rFonts w:eastAsiaTheme="minorEastAsia"/>
          <w:sz w:val="22"/>
        </w:rPr>
      </w:pPr>
      <w:r w:rsidRPr="00003C0B">
        <w:rPr>
          <w:sz w:val="22"/>
        </w:rPr>
        <w:t>•</w:t>
      </w:r>
      <w:r w:rsidRPr="00003C0B">
        <w:rPr>
          <w:sz w:val="22"/>
        </w:rPr>
        <w:tab/>
      </w:r>
      <w:r w:rsidR="00504E51" w:rsidRPr="00003C0B">
        <w:rPr>
          <w:sz w:val="22"/>
        </w:rPr>
        <w:t>El Grupo Temático del UIT-T sobre eficiencia energética para</w:t>
      </w:r>
      <w:r w:rsidR="005464B0" w:rsidRPr="00003C0B">
        <w:rPr>
          <w:sz w:val="22"/>
        </w:rPr>
        <w:t xml:space="preserve"> la</w:t>
      </w:r>
      <w:r w:rsidR="00504E51" w:rsidRPr="00003C0B">
        <w:rPr>
          <w:sz w:val="22"/>
        </w:rPr>
        <w:t xml:space="preserve"> </w:t>
      </w:r>
      <w:r w:rsidR="005464B0" w:rsidRPr="00003C0B">
        <w:rPr>
          <w:sz w:val="22"/>
        </w:rPr>
        <w:t xml:space="preserve">inteligencia artificial </w:t>
      </w:r>
      <w:r w:rsidR="00504E51" w:rsidRPr="00003C0B">
        <w:rPr>
          <w:sz w:val="22"/>
        </w:rPr>
        <w:t>y otras tecn</w:t>
      </w:r>
      <w:r w:rsidR="00883C66" w:rsidRPr="00003C0B">
        <w:rPr>
          <w:sz w:val="22"/>
        </w:rPr>
        <w:t>ologías emergentes (FG-AI4EE).</w:t>
      </w:r>
    </w:p>
    <w:p w14:paraId="1FDF695C" w14:textId="1416D715" w:rsidR="00504E51" w:rsidRPr="00003C0B" w:rsidRDefault="001E5BD0" w:rsidP="001E5BD0">
      <w:pPr>
        <w:pStyle w:val="enumlev1"/>
        <w:rPr>
          <w:rFonts w:eastAsiaTheme="minorEastAsia"/>
        </w:rPr>
      </w:pPr>
      <w:r w:rsidRPr="00003C0B">
        <w:rPr>
          <w:sz w:val="22"/>
        </w:rPr>
        <w:t>•</w:t>
      </w:r>
      <w:r w:rsidRPr="00003C0B">
        <w:rPr>
          <w:sz w:val="22"/>
        </w:rPr>
        <w:tab/>
      </w:r>
      <w:r w:rsidR="00504E51" w:rsidRPr="00003C0B">
        <w:rPr>
          <w:sz w:val="22"/>
        </w:rPr>
        <w:t>El Grupo Temático del UIT-T sobre IA para la gestión de catástrofes naturales (FG AI4NDM).</w:t>
      </w:r>
    </w:p>
    <w:p w14:paraId="58D9B1DB" w14:textId="771F8BEA" w:rsidR="00504E51" w:rsidRPr="00003C0B" w:rsidRDefault="00883C66" w:rsidP="00883C66">
      <w:pPr>
        <w:pStyle w:val="Heading1"/>
      </w:pPr>
      <w:r w:rsidRPr="00003C0B">
        <w:t>5</w:t>
      </w:r>
      <w:r w:rsidR="00504E51" w:rsidRPr="00003C0B">
        <w:tab/>
      </w:r>
      <w:proofErr w:type="gramStart"/>
      <w:r w:rsidR="00504E51" w:rsidRPr="00003C0B">
        <w:t>Estructura</w:t>
      </w:r>
      <w:proofErr w:type="gramEnd"/>
    </w:p>
    <w:p w14:paraId="32890AAE" w14:textId="7777777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El Grupo Temático propuesto puede establecer subgrupos si es necesario.</w:t>
      </w:r>
    </w:p>
    <w:p w14:paraId="053F3472" w14:textId="6F59605E" w:rsidR="00095A9C" w:rsidRPr="00003C0B" w:rsidRDefault="00883C66" w:rsidP="00883C66">
      <w:pPr>
        <w:pStyle w:val="Heading1"/>
      </w:pPr>
      <w:r w:rsidRPr="00003C0B">
        <w:t>6</w:t>
      </w:r>
      <w:r w:rsidR="00504E51" w:rsidRPr="00003C0B">
        <w:tab/>
      </w:r>
      <w:proofErr w:type="gramStart"/>
      <w:r w:rsidR="00504E51" w:rsidRPr="00003C0B">
        <w:t>Comisión</w:t>
      </w:r>
      <w:proofErr w:type="gramEnd"/>
      <w:r w:rsidR="00504E51" w:rsidRPr="00003C0B">
        <w:t xml:space="preserve"> de Estudio rectora</w:t>
      </w:r>
    </w:p>
    <w:p w14:paraId="75A5EDA2"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La Comisión rectora del Grupo Temático es la </w:t>
      </w:r>
      <w:r w:rsidRPr="00003C0B">
        <w:rPr>
          <w:rFonts w:cstheme="minorHAnsi"/>
          <w:b/>
          <w:bCs/>
          <w:sz w:val="22"/>
          <w:szCs w:val="22"/>
        </w:rPr>
        <w:t>Comisión de Estudio 20 del UIT-T</w:t>
      </w:r>
      <w:r w:rsidRPr="00003C0B">
        <w:rPr>
          <w:rFonts w:cstheme="minorHAnsi"/>
          <w:sz w:val="22"/>
          <w:szCs w:val="22"/>
        </w:rPr>
        <w:t xml:space="preserve"> sobre Internet de las cosas (</w:t>
      </w:r>
      <w:proofErr w:type="spellStart"/>
      <w:r w:rsidRPr="00003C0B">
        <w:rPr>
          <w:rFonts w:cstheme="minorHAnsi"/>
          <w:sz w:val="22"/>
          <w:szCs w:val="22"/>
        </w:rPr>
        <w:t>IoT</w:t>
      </w:r>
      <w:proofErr w:type="spellEnd"/>
      <w:r w:rsidRPr="00003C0B">
        <w:rPr>
          <w:rFonts w:cstheme="minorHAnsi"/>
          <w:sz w:val="22"/>
          <w:szCs w:val="22"/>
        </w:rPr>
        <w:t>) y ciudades y comunidades inteligentes (C+CI).</w:t>
      </w:r>
    </w:p>
    <w:p w14:paraId="32300D29" w14:textId="496A86C9" w:rsidR="00095A9C" w:rsidRPr="00003C0B" w:rsidRDefault="00883C66" w:rsidP="00883C66">
      <w:pPr>
        <w:pStyle w:val="Heading1"/>
      </w:pPr>
      <w:r w:rsidRPr="00003C0B">
        <w:t>7</w:t>
      </w:r>
      <w:r w:rsidR="00504E51" w:rsidRPr="00003C0B">
        <w:tab/>
      </w:r>
      <w:proofErr w:type="gramStart"/>
      <w:r w:rsidR="00504E51" w:rsidRPr="00003C0B">
        <w:t>Dirección</w:t>
      </w:r>
      <w:proofErr w:type="gramEnd"/>
    </w:p>
    <w:p w14:paraId="1F256A02" w14:textId="799A5EB4"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Véase la cláusula 2.3 de la Recomendación UIT-T A.7.</w:t>
      </w:r>
    </w:p>
    <w:p w14:paraId="57B1B1FC" w14:textId="2AA8C35A" w:rsidR="00095A9C" w:rsidRPr="00003C0B" w:rsidRDefault="00883C66" w:rsidP="00883C66">
      <w:pPr>
        <w:pStyle w:val="Heading1"/>
      </w:pPr>
      <w:r w:rsidRPr="00003C0B">
        <w:t>8</w:t>
      </w:r>
      <w:r w:rsidR="00504E51" w:rsidRPr="00003C0B">
        <w:tab/>
      </w:r>
      <w:proofErr w:type="gramStart"/>
      <w:r w:rsidR="00504E51" w:rsidRPr="00003C0B">
        <w:t>Participación</w:t>
      </w:r>
      <w:proofErr w:type="gramEnd"/>
    </w:p>
    <w:p w14:paraId="09CE2FC5" w14:textId="7875BBC7"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 xml:space="preserve">Véase la cláusula 3 de la Recomendación UIT-T A.7. Se mantendrá a efectos de referencia una lista de participantes que se comunicará a la Comisión rectora. Es importante mencionar que la participación en este Grupo Temático se ha de basar en las contribuciones y la </w:t>
      </w:r>
      <w:proofErr w:type="gramStart"/>
      <w:r w:rsidRPr="00003C0B">
        <w:rPr>
          <w:rFonts w:cstheme="minorHAnsi"/>
          <w:sz w:val="22"/>
          <w:szCs w:val="22"/>
        </w:rPr>
        <w:t>participación activa</w:t>
      </w:r>
      <w:proofErr w:type="gramEnd"/>
      <w:r w:rsidRPr="00003C0B">
        <w:rPr>
          <w:rFonts w:cstheme="minorHAnsi"/>
          <w:sz w:val="22"/>
          <w:szCs w:val="22"/>
        </w:rPr>
        <w:t>.</w:t>
      </w:r>
    </w:p>
    <w:p w14:paraId="1A119D39" w14:textId="55CFA389" w:rsidR="00095A9C" w:rsidRPr="00003C0B" w:rsidRDefault="00883C66" w:rsidP="00883C66">
      <w:pPr>
        <w:pStyle w:val="Heading1"/>
      </w:pPr>
      <w:r w:rsidRPr="00003C0B">
        <w:t>9</w:t>
      </w:r>
      <w:r w:rsidR="00504E51" w:rsidRPr="00003C0B">
        <w:tab/>
      </w:r>
      <w:proofErr w:type="gramStart"/>
      <w:r w:rsidR="00504E51" w:rsidRPr="00003C0B">
        <w:t>Apoyo</w:t>
      </w:r>
      <w:proofErr w:type="gramEnd"/>
      <w:r w:rsidR="00504E51" w:rsidRPr="00003C0B">
        <w:t xml:space="preserve"> administrativo</w:t>
      </w:r>
    </w:p>
    <w:p w14:paraId="389F3B00"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Véase la cláusula 5 de la Recomendación UIT-T A.7.</w:t>
      </w:r>
    </w:p>
    <w:p w14:paraId="5E99BDAC" w14:textId="087C2905" w:rsidR="00095A9C" w:rsidRPr="00003C0B" w:rsidRDefault="00883C66" w:rsidP="00883C66">
      <w:pPr>
        <w:pStyle w:val="Heading1"/>
      </w:pPr>
      <w:r w:rsidRPr="00003C0B">
        <w:t>10</w:t>
      </w:r>
      <w:r w:rsidR="00504E51" w:rsidRPr="00003C0B">
        <w:tab/>
      </w:r>
      <w:proofErr w:type="gramStart"/>
      <w:r w:rsidR="00504E51" w:rsidRPr="00003C0B">
        <w:t>Financiación</w:t>
      </w:r>
      <w:proofErr w:type="gramEnd"/>
      <w:r w:rsidR="00504E51" w:rsidRPr="00003C0B">
        <w:t xml:space="preserve"> general</w:t>
      </w:r>
    </w:p>
    <w:p w14:paraId="2D19B77C" w14:textId="4FA741F2"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Véanse las cláusulas 4 y 10.2 de la Recomendación UIT-T A.7.</w:t>
      </w:r>
    </w:p>
    <w:p w14:paraId="0321CD26" w14:textId="0B80DA09" w:rsidR="00095A9C" w:rsidRPr="00003C0B" w:rsidRDefault="00883C66" w:rsidP="00883C66">
      <w:pPr>
        <w:pStyle w:val="Heading1"/>
      </w:pPr>
      <w:r w:rsidRPr="00003C0B">
        <w:t>11</w:t>
      </w:r>
      <w:r w:rsidR="00504E51" w:rsidRPr="00003C0B">
        <w:tab/>
      </w:r>
      <w:proofErr w:type="gramStart"/>
      <w:r w:rsidR="00504E51" w:rsidRPr="00003C0B">
        <w:t>Reuniones</w:t>
      </w:r>
      <w:proofErr w:type="gramEnd"/>
    </w:p>
    <w:p w14:paraId="091A3CA9"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El Grupo Temático celebrará reuniones periódicas. La dirección del Grupo Temático determinará la frecuencia y el lugar de las reuniones. El plan general de estas se anunciará una vez que se haya aprobado el mandato. El Grupo Temático utilizará herramientas de colaboración a distancia siempre que sea posible.</w:t>
      </w:r>
    </w:p>
    <w:p w14:paraId="6673D369"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La fecha de las reuniones se anunciará por medios electrónicos (por ejemplo, mediante correo electrónico o páginas web) al menos con cuatro semanas de antelación.</w:t>
      </w:r>
    </w:p>
    <w:p w14:paraId="1910402C" w14:textId="50A8A383" w:rsidR="00095A9C" w:rsidRPr="00003C0B" w:rsidRDefault="00883C66" w:rsidP="00883C66">
      <w:pPr>
        <w:pStyle w:val="Heading1"/>
      </w:pPr>
      <w:r w:rsidRPr="00003C0B">
        <w:t>12</w:t>
      </w:r>
      <w:r w:rsidR="00504E51" w:rsidRPr="00003C0B">
        <w:tab/>
      </w:r>
      <w:proofErr w:type="gramStart"/>
      <w:r w:rsidR="00504E51" w:rsidRPr="00003C0B">
        <w:t>Contribuciones</w:t>
      </w:r>
      <w:proofErr w:type="gramEnd"/>
      <w:r w:rsidR="00504E51" w:rsidRPr="00003C0B">
        <w:t xml:space="preserve"> técnicas</w:t>
      </w:r>
    </w:p>
    <w:p w14:paraId="3B02E284"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Véase la cláusula 8 de la Recomendación UIT-T A.7.</w:t>
      </w:r>
    </w:p>
    <w:p w14:paraId="5EECF03D" w14:textId="571CE297" w:rsidR="00095A9C" w:rsidRPr="00003C0B" w:rsidRDefault="00883C66" w:rsidP="00883C66">
      <w:pPr>
        <w:pStyle w:val="Heading1"/>
      </w:pPr>
      <w:r w:rsidRPr="00003C0B">
        <w:t>13</w:t>
      </w:r>
      <w:r w:rsidR="00504E51" w:rsidRPr="00003C0B">
        <w:tab/>
      </w:r>
      <w:proofErr w:type="gramStart"/>
      <w:r w:rsidR="00504E51" w:rsidRPr="00003C0B">
        <w:t>Idioma</w:t>
      </w:r>
      <w:proofErr w:type="gramEnd"/>
      <w:r w:rsidR="00504E51" w:rsidRPr="00003C0B">
        <w:t xml:space="preserve"> de trabajo</w:t>
      </w:r>
    </w:p>
    <w:p w14:paraId="3F409645"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El idioma de trabajo es el inglés.</w:t>
      </w:r>
    </w:p>
    <w:p w14:paraId="25EACF0F" w14:textId="43771A94" w:rsidR="00095A9C" w:rsidRPr="00003C0B" w:rsidRDefault="00883C66" w:rsidP="00883C66">
      <w:pPr>
        <w:pStyle w:val="Heading1"/>
      </w:pPr>
      <w:r w:rsidRPr="00003C0B">
        <w:lastRenderedPageBreak/>
        <w:t>14</w:t>
      </w:r>
      <w:r w:rsidR="00504E51" w:rsidRPr="00003C0B">
        <w:tab/>
      </w:r>
      <w:proofErr w:type="gramStart"/>
      <w:r w:rsidR="00504E51" w:rsidRPr="00003C0B">
        <w:t>Aprobación</w:t>
      </w:r>
      <w:proofErr w:type="gramEnd"/>
      <w:r w:rsidR="00504E51" w:rsidRPr="00003C0B">
        <w:t xml:space="preserve"> de los productos finales</w:t>
      </w:r>
    </w:p>
    <w:p w14:paraId="3BFB6144"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Los productos finales se aprobarán por consenso.</w:t>
      </w:r>
    </w:p>
    <w:p w14:paraId="6B06FC07" w14:textId="24560E5F" w:rsidR="00095A9C" w:rsidRPr="00003C0B" w:rsidRDefault="00883C66" w:rsidP="00883C66">
      <w:pPr>
        <w:pStyle w:val="Heading1"/>
      </w:pPr>
      <w:r w:rsidRPr="00003C0B">
        <w:t>15</w:t>
      </w:r>
      <w:r w:rsidR="00504E51" w:rsidRPr="00003C0B">
        <w:tab/>
      </w:r>
      <w:proofErr w:type="gramStart"/>
      <w:r w:rsidR="00504E51" w:rsidRPr="00003C0B">
        <w:t>Directrices</w:t>
      </w:r>
      <w:proofErr w:type="gramEnd"/>
      <w:r w:rsidR="00504E51" w:rsidRPr="00003C0B">
        <w:t xml:space="preserve"> relativas a los trabajos</w:t>
      </w:r>
    </w:p>
    <w:p w14:paraId="39A4E85C"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Los procedimientos de trabajo se ajustarán a los procedimientos de las reuniones de Relator. No se definen directrices de trabajo adicionales.</w:t>
      </w:r>
    </w:p>
    <w:p w14:paraId="7EFDBA6F" w14:textId="5681A335" w:rsidR="00095A9C" w:rsidRPr="00003C0B" w:rsidRDefault="00883C66" w:rsidP="00883C66">
      <w:pPr>
        <w:pStyle w:val="Heading1"/>
      </w:pPr>
      <w:r w:rsidRPr="00003C0B">
        <w:t>16</w:t>
      </w:r>
      <w:r w:rsidR="00504E51" w:rsidRPr="00003C0B">
        <w:tab/>
      </w:r>
      <w:proofErr w:type="gramStart"/>
      <w:r w:rsidR="00504E51" w:rsidRPr="00003C0B">
        <w:t>Informes</w:t>
      </w:r>
      <w:proofErr w:type="gramEnd"/>
      <w:r w:rsidR="00504E51" w:rsidRPr="00003C0B">
        <w:t xml:space="preserve"> sobre la marcha de los trabajos</w:t>
      </w:r>
    </w:p>
    <w:p w14:paraId="0861A7A4" w14:textId="0672D90F" w:rsidR="00504E51" w:rsidRPr="00003C0B" w:rsidRDefault="00504E51" w:rsidP="00504E51">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Véase la cláusula 11 de la Recomendación UIT-T A.7.</w:t>
      </w:r>
    </w:p>
    <w:p w14:paraId="29010ACA" w14:textId="7EC24FC7" w:rsidR="00095A9C" w:rsidRPr="00003C0B" w:rsidRDefault="00883C66" w:rsidP="00883C66">
      <w:pPr>
        <w:pStyle w:val="Heading1"/>
      </w:pPr>
      <w:r w:rsidRPr="00003C0B">
        <w:t>17</w:t>
      </w:r>
      <w:r w:rsidR="00504E51" w:rsidRPr="00003C0B">
        <w:tab/>
      </w:r>
      <w:proofErr w:type="gramStart"/>
      <w:r w:rsidR="00504E51" w:rsidRPr="00003C0B">
        <w:t>Anuncio</w:t>
      </w:r>
      <w:proofErr w:type="gramEnd"/>
      <w:r w:rsidR="00504E51" w:rsidRPr="00003C0B">
        <w:t xml:space="preserve"> de constitución de Grupo Temático</w:t>
      </w:r>
    </w:p>
    <w:p w14:paraId="488A478C" w14:textId="77777777" w:rsidR="00095A9C" w:rsidRPr="00003C0B" w:rsidRDefault="00504E51" w:rsidP="00504E51">
      <w:pPr>
        <w:keepNext/>
        <w:keepLines/>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 xml:space="preserve">La constitución del Grupo Temático se anunciará a través de una Circular TSB dirigida a todos los Miembros de la UIT, del </w:t>
      </w:r>
      <w:proofErr w:type="spellStart"/>
      <w:r w:rsidRPr="00003C0B">
        <w:rPr>
          <w:rFonts w:cstheme="minorHAnsi"/>
          <w:sz w:val="22"/>
          <w:szCs w:val="22"/>
        </w:rPr>
        <w:t>Newslog</w:t>
      </w:r>
      <w:proofErr w:type="spellEnd"/>
      <w:r w:rsidRPr="00003C0B">
        <w:rPr>
          <w:rFonts w:cstheme="minorHAnsi"/>
          <w:sz w:val="22"/>
          <w:szCs w:val="22"/>
        </w:rPr>
        <w:t xml:space="preserve"> del UIT-T, de comunicados de prensa y por otros medios, incluida la comunicación con las demás organizaciones implicadas.</w:t>
      </w:r>
    </w:p>
    <w:p w14:paraId="01D7B154" w14:textId="3EC1EA54" w:rsidR="00095A9C" w:rsidRPr="00003C0B" w:rsidRDefault="00883C66" w:rsidP="00883C66">
      <w:pPr>
        <w:pStyle w:val="Heading1"/>
      </w:pPr>
      <w:r w:rsidRPr="00003C0B">
        <w:t>18</w:t>
      </w:r>
      <w:r w:rsidR="00504E51" w:rsidRPr="00003C0B">
        <w:tab/>
      </w:r>
      <w:proofErr w:type="gramStart"/>
      <w:r w:rsidR="00504E51" w:rsidRPr="00003C0B">
        <w:t>Etapas</w:t>
      </w:r>
      <w:proofErr w:type="gramEnd"/>
      <w:r w:rsidR="00504E51" w:rsidRPr="00003C0B">
        <w:t xml:space="preserve"> y duración del Grupo Temático</w:t>
      </w:r>
    </w:p>
    <w:p w14:paraId="7595450B" w14:textId="77777777" w:rsidR="00095A9C" w:rsidRPr="00003C0B" w:rsidRDefault="00504E51" w:rsidP="00504E51">
      <w:pPr>
        <w:tabs>
          <w:tab w:val="clear" w:pos="794"/>
          <w:tab w:val="clear" w:pos="1191"/>
          <w:tab w:val="clear" w:pos="1588"/>
          <w:tab w:val="clear" w:pos="1985"/>
        </w:tabs>
        <w:overflowPunct/>
        <w:autoSpaceDE/>
        <w:autoSpaceDN/>
        <w:adjustRightInd/>
        <w:textAlignment w:val="auto"/>
        <w:rPr>
          <w:rFonts w:cstheme="minorHAnsi"/>
          <w:sz w:val="22"/>
          <w:szCs w:val="22"/>
        </w:rPr>
      </w:pPr>
      <w:r w:rsidRPr="00003C0B">
        <w:rPr>
          <w:rFonts w:cstheme="minorHAnsi"/>
          <w:sz w:val="22"/>
          <w:szCs w:val="22"/>
        </w:rPr>
        <w:t>La duración prevista de la labor del Grupo Temático es de un año a partir de su primera reunión, con posibilidad de prórroga.</w:t>
      </w:r>
    </w:p>
    <w:p w14:paraId="1E964109" w14:textId="2C04A028" w:rsidR="00095A9C" w:rsidRPr="00003C0B" w:rsidRDefault="00883C66" w:rsidP="00883C66">
      <w:pPr>
        <w:pStyle w:val="Heading1"/>
      </w:pPr>
      <w:r w:rsidRPr="00003C0B">
        <w:t>19</w:t>
      </w:r>
      <w:r w:rsidR="00504E51" w:rsidRPr="00003C0B">
        <w:tab/>
      </w:r>
      <w:proofErr w:type="gramStart"/>
      <w:r w:rsidR="00504E51" w:rsidRPr="00003C0B">
        <w:t>Política</w:t>
      </w:r>
      <w:proofErr w:type="gramEnd"/>
      <w:r w:rsidR="00504E51" w:rsidRPr="00003C0B">
        <w:t xml:space="preserve"> de patentes</w:t>
      </w:r>
    </w:p>
    <w:p w14:paraId="58B6C32C" w14:textId="414A5945" w:rsidR="00504E51" w:rsidRPr="00003C0B" w:rsidRDefault="00504E51" w:rsidP="00883C66">
      <w:pPr>
        <w:tabs>
          <w:tab w:val="clear" w:pos="794"/>
          <w:tab w:val="clear" w:pos="1191"/>
          <w:tab w:val="clear" w:pos="1588"/>
          <w:tab w:val="clear" w:pos="1985"/>
        </w:tabs>
        <w:overflowPunct/>
        <w:autoSpaceDE/>
        <w:autoSpaceDN/>
        <w:adjustRightInd/>
        <w:textAlignment w:val="auto"/>
        <w:rPr>
          <w:rFonts w:eastAsiaTheme="minorEastAsia" w:cstheme="minorHAnsi"/>
          <w:sz w:val="22"/>
          <w:szCs w:val="22"/>
        </w:rPr>
      </w:pPr>
      <w:r w:rsidRPr="00003C0B">
        <w:rPr>
          <w:rFonts w:cstheme="minorHAnsi"/>
          <w:sz w:val="22"/>
          <w:szCs w:val="22"/>
        </w:rPr>
        <w:t>Véase la cláusula 9 de la Recomendación UIT-T A.7.</w:t>
      </w:r>
    </w:p>
    <w:p w14:paraId="7F730BC7" w14:textId="77777777" w:rsidR="00883C66" w:rsidRPr="00003C0B" w:rsidRDefault="00883C66" w:rsidP="00411C49">
      <w:pPr>
        <w:pStyle w:val="Reasons"/>
        <w:rPr>
          <w:lang w:val="es-ES_tradnl"/>
        </w:rPr>
      </w:pPr>
    </w:p>
    <w:p w14:paraId="5C4F8CB9" w14:textId="471FC199" w:rsidR="00883C66" w:rsidRPr="00003C0B" w:rsidRDefault="00883C66" w:rsidP="00883C66">
      <w:pPr>
        <w:jc w:val="center"/>
      </w:pPr>
      <w:r w:rsidRPr="00003C0B">
        <w:t>______________</w:t>
      </w:r>
    </w:p>
    <w:sectPr w:rsidR="00883C66" w:rsidRPr="00003C0B" w:rsidSect="00B87E9E">
      <w:headerReference w:type="default" r:id="rId23"/>
      <w:footerReference w:type="first" r:id="rId2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0BBB" w14:textId="77777777" w:rsidR="00C44FE9" w:rsidRDefault="00C44FE9">
      <w:r>
        <w:separator/>
      </w:r>
    </w:p>
  </w:endnote>
  <w:endnote w:type="continuationSeparator" w:id="0">
    <w:p w14:paraId="7BAB7A90" w14:textId="77777777" w:rsidR="00C44FE9" w:rsidRDefault="00C4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2F66" w14:textId="6FC0487C" w:rsidR="00095A9C"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Tel</w:t>
    </w:r>
    <w:r w:rsidR="00E4395B">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2878" w14:textId="77777777" w:rsidR="00C44FE9" w:rsidRDefault="00C44FE9">
      <w:r>
        <w:t>____________________</w:t>
      </w:r>
    </w:p>
  </w:footnote>
  <w:footnote w:type="continuationSeparator" w:id="0">
    <w:p w14:paraId="4B2BA6CF" w14:textId="77777777" w:rsidR="00C44FE9" w:rsidRDefault="00C44FE9">
      <w:r>
        <w:continuationSeparator/>
      </w:r>
    </w:p>
  </w:footnote>
  <w:footnote w:id="1">
    <w:p w14:paraId="39F405EE" w14:textId="329D0D90" w:rsidR="00504E51" w:rsidRPr="00003C0B" w:rsidRDefault="00504E51" w:rsidP="00BA53B2">
      <w:pPr>
        <w:pStyle w:val="FootnoteText"/>
        <w:rPr>
          <w:sz w:val="22"/>
        </w:rPr>
      </w:pPr>
      <w:r w:rsidRPr="00003C0B">
        <w:rPr>
          <w:rStyle w:val="FootnoteReference"/>
          <w:szCs w:val="16"/>
        </w:rPr>
        <w:footnoteRef/>
      </w:r>
      <w:r w:rsidR="00552A3B" w:rsidRPr="00003C0B">
        <w:rPr>
          <w:sz w:val="16"/>
          <w:szCs w:val="16"/>
        </w:rPr>
        <w:tab/>
      </w:r>
      <w:r w:rsidRPr="00003C0B">
        <w:rPr>
          <w:sz w:val="22"/>
        </w:rPr>
        <w:t xml:space="preserve">FAO. </w:t>
      </w:r>
      <w:r w:rsidR="00552A3B" w:rsidRPr="00003C0B">
        <w:rPr>
          <w:sz w:val="22"/>
        </w:rPr>
        <w:t>"</w:t>
      </w:r>
      <w:r w:rsidRPr="00003C0B">
        <w:rPr>
          <w:sz w:val="22"/>
        </w:rPr>
        <w:t>El estado de la seguridad alimentaria y la nutrición en el mundo</w:t>
      </w:r>
      <w:r w:rsidR="00552A3B" w:rsidRPr="00003C0B">
        <w:rPr>
          <w:sz w:val="22"/>
        </w:rPr>
        <w:t>"</w:t>
      </w:r>
      <w:r w:rsidRPr="00003C0B">
        <w:rPr>
          <w:sz w:val="22"/>
        </w:rPr>
        <w:t xml:space="preserve">, 2020, </w:t>
      </w:r>
      <w:hyperlink r:id="rId1" w:history="1">
        <w:r w:rsidRPr="00003C0B">
          <w:rPr>
            <w:rStyle w:val="Hyperlink"/>
            <w:sz w:val="22"/>
          </w:rPr>
          <w:t>www.fao.org/3/ca9692en/online/ca9692en.html#chapter-Key_message</w:t>
        </w:r>
      </w:hyperlink>
      <w:r w:rsidRPr="00003C0B">
        <w:rPr>
          <w:sz w:val="22"/>
        </w:rPr>
        <w:t>.</w:t>
      </w:r>
    </w:p>
  </w:footnote>
  <w:footnote w:id="2">
    <w:p w14:paraId="61944E2E" w14:textId="3DD6B7C6" w:rsidR="00504E51" w:rsidRPr="00003C0B" w:rsidRDefault="00504E51" w:rsidP="00BA53B2">
      <w:pPr>
        <w:pStyle w:val="FootnoteText"/>
        <w:rPr>
          <w:sz w:val="14"/>
          <w:szCs w:val="16"/>
        </w:rPr>
      </w:pPr>
      <w:r w:rsidRPr="00003C0B">
        <w:rPr>
          <w:rStyle w:val="FootnoteReference"/>
          <w:szCs w:val="16"/>
        </w:rPr>
        <w:footnoteRef/>
      </w:r>
      <w:r w:rsidR="00552A3B" w:rsidRPr="00003C0B">
        <w:rPr>
          <w:sz w:val="16"/>
          <w:szCs w:val="16"/>
        </w:rPr>
        <w:tab/>
      </w:r>
      <w:r w:rsidRPr="00003C0B">
        <w:rPr>
          <w:sz w:val="22"/>
        </w:rPr>
        <w:t xml:space="preserve">FAO. </w:t>
      </w:r>
      <w:r w:rsidR="00552A3B" w:rsidRPr="00003C0B">
        <w:rPr>
          <w:sz w:val="22"/>
        </w:rPr>
        <w:t>"</w:t>
      </w:r>
      <w:r w:rsidRPr="00003C0B">
        <w:rPr>
          <w:sz w:val="22"/>
        </w:rPr>
        <w:t>El estado de la seguridad alimentaria y la nutrición en el mundo</w:t>
      </w:r>
      <w:r w:rsidR="00552A3B" w:rsidRPr="00003C0B">
        <w:rPr>
          <w:sz w:val="22"/>
        </w:rPr>
        <w:t>"</w:t>
      </w:r>
      <w:r w:rsidRPr="00003C0B">
        <w:rPr>
          <w:sz w:val="22"/>
        </w:rPr>
        <w:t xml:space="preserve">, 2020, </w:t>
      </w:r>
      <w:hyperlink r:id="rId2" w:history="1">
        <w:r w:rsidRPr="00003C0B">
          <w:rPr>
            <w:rStyle w:val="Hyperlink"/>
            <w:sz w:val="22"/>
          </w:rPr>
          <w:t>www.fao.org/3/ca9692en/online/ca9692en.html#chapter-Key_message</w:t>
        </w:r>
      </w:hyperlink>
      <w:r w:rsidRPr="00003C0B">
        <w:rPr>
          <w:sz w:val="22"/>
        </w:rPr>
        <w:t>.</w:t>
      </w:r>
    </w:p>
  </w:footnote>
  <w:footnote w:id="3">
    <w:p w14:paraId="118828EF" w14:textId="3B4E4EAF" w:rsidR="00504E51" w:rsidRPr="00003C0B" w:rsidRDefault="00504E51" w:rsidP="00BA53B2">
      <w:pPr>
        <w:pStyle w:val="FootnoteText"/>
        <w:rPr>
          <w:sz w:val="14"/>
          <w:szCs w:val="16"/>
        </w:rPr>
      </w:pPr>
      <w:r w:rsidRPr="00003C0B">
        <w:rPr>
          <w:rStyle w:val="FootnoteReference"/>
          <w:szCs w:val="16"/>
        </w:rPr>
        <w:footnoteRef/>
      </w:r>
      <w:r w:rsidR="00552A3B" w:rsidRPr="00003C0B">
        <w:rPr>
          <w:sz w:val="16"/>
          <w:szCs w:val="16"/>
        </w:rPr>
        <w:tab/>
      </w:r>
      <w:r w:rsidRPr="00003C0B">
        <w:rPr>
          <w:sz w:val="22"/>
        </w:rPr>
        <w:t xml:space="preserve">Deloitte. </w:t>
      </w:r>
      <w:r w:rsidR="00552A3B" w:rsidRPr="00003C0B">
        <w:rPr>
          <w:sz w:val="22"/>
        </w:rPr>
        <w:t>"</w:t>
      </w:r>
      <w:proofErr w:type="spellStart"/>
      <w:r w:rsidRPr="00003C0B">
        <w:rPr>
          <w:sz w:val="22"/>
        </w:rPr>
        <w:t>Transforming</w:t>
      </w:r>
      <w:proofErr w:type="spellEnd"/>
      <w:r w:rsidRPr="00003C0B">
        <w:rPr>
          <w:sz w:val="22"/>
        </w:rPr>
        <w:t xml:space="preserve"> </w:t>
      </w:r>
      <w:proofErr w:type="spellStart"/>
      <w:r w:rsidRPr="00003C0B">
        <w:rPr>
          <w:sz w:val="22"/>
        </w:rPr>
        <w:t>Agriculture</w:t>
      </w:r>
      <w:proofErr w:type="spellEnd"/>
      <w:r w:rsidRPr="00003C0B">
        <w:rPr>
          <w:sz w:val="22"/>
        </w:rPr>
        <w:t xml:space="preserve"> </w:t>
      </w:r>
      <w:proofErr w:type="spellStart"/>
      <w:r w:rsidRPr="00003C0B">
        <w:rPr>
          <w:sz w:val="22"/>
        </w:rPr>
        <w:t>through</w:t>
      </w:r>
      <w:proofErr w:type="spellEnd"/>
      <w:r w:rsidRPr="00003C0B">
        <w:rPr>
          <w:sz w:val="22"/>
        </w:rPr>
        <w:t xml:space="preserve"> Digital Technologies</w:t>
      </w:r>
      <w:r w:rsidR="00552A3B" w:rsidRPr="00003C0B">
        <w:rPr>
          <w:sz w:val="22"/>
        </w:rPr>
        <w:t>"</w:t>
      </w:r>
      <w:r w:rsidRPr="00003C0B">
        <w:rPr>
          <w:sz w:val="22"/>
        </w:rPr>
        <w:t xml:space="preserve">, enero de 2020, </w:t>
      </w:r>
      <w:hyperlink r:id="rId3" w:history="1">
        <w:r w:rsidRPr="00003C0B">
          <w:rPr>
            <w:rStyle w:val="Hyperlink"/>
            <w:sz w:val="22"/>
          </w:rPr>
          <w:t>www2.deloitte.com/content/dam/Deloitte/gr/Documents/consumer-business/gr_Transforming_Agriculture_through_Digital_Technologies_noexp.pdf</w:t>
        </w:r>
      </w:hyperlink>
      <w:r w:rsidRPr="00003C0B">
        <w:rPr>
          <w:sz w:val="22"/>
        </w:rPr>
        <w:t>.</w:t>
      </w:r>
    </w:p>
  </w:footnote>
  <w:footnote w:id="4">
    <w:p w14:paraId="2F9713B8" w14:textId="4787DBF6" w:rsidR="00504E51" w:rsidRPr="00490956" w:rsidRDefault="00504E51" w:rsidP="00BA53B2">
      <w:pPr>
        <w:pStyle w:val="FootnoteText"/>
        <w:rPr>
          <w:sz w:val="22"/>
          <w:lang w:val="en-US"/>
        </w:rPr>
      </w:pPr>
      <w:r w:rsidRPr="00003C0B">
        <w:rPr>
          <w:rStyle w:val="FootnoteReference"/>
          <w:szCs w:val="16"/>
        </w:rPr>
        <w:footnoteRef/>
      </w:r>
      <w:r w:rsidR="00552A3B" w:rsidRPr="00490956">
        <w:rPr>
          <w:sz w:val="16"/>
          <w:szCs w:val="16"/>
          <w:lang w:val="en-US"/>
        </w:rPr>
        <w:tab/>
      </w:r>
      <w:r w:rsidRPr="00490956">
        <w:rPr>
          <w:sz w:val="22"/>
          <w:lang w:val="en-US"/>
        </w:rPr>
        <w:t xml:space="preserve">Farming First. </w:t>
      </w:r>
      <w:r w:rsidR="00552A3B" w:rsidRPr="00490956">
        <w:rPr>
          <w:sz w:val="22"/>
          <w:lang w:val="en-US"/>
        </w:rPr>
        <w:t>"</w:t>
      </w:r>
      <w:r w:rsidRPr="00490956">
        <w:rPr>
          <w:sz w:val="22"/>
          <w:lang w:val="en-US"/>
        </w:rPr>
        <w:t>Rising Food Insecurity Linked to Economic Decline, Says New SOFI Report</w:t>
      </w:r>
      <w:r w:rsidR="00552A3B" w:rsidRPr="00490956">
        <w:rPr>
          <w:sz w:val="22"/>
          <w:lang w:val="en-US"/>
        </w:rPr>
        <w:t>"</w:t>
      </w:r>
      <w:r w:rsidRPr="00490956">
        <w:rPr>
          <w:sz w:val="22"/>
          <w:lang w:val="en-US"/>
        </w:rPr>
        <w:t xml:space="preserve">, 16 de </w:t>
      </w:r>
      <w:proofErr w:type="spellStart"/>
      <w:r w:rsidRPr="00490956">
        <w:rPr>
          <w:sz w:val="22"/>
          <w:lang w:val="en-US"/>
        </w:rPr>
        <w:t>julio</w:t>
      </w:r>
      <w:proofErr w:type="spellEnd"/>
      <w:r w:rsidRPr="00490956">
        <w:rPr>
          <w:sz w:val="22"/>
          <w:lang w:val="en-US"/>
        </w:rPr>
        <w:t xml:space="preserve"> de 2019, </w:t>
      </w:r>
      <w:hyperlink r:id="rId4" w:history="1">
        <w:r w:rsidRPr="00490956">
          <w:rPr>
            <w:rStyle w:val="Hyperlink"/>
            <w:sz w:val="22"/>
            <w:lang w:val="en-US"/>
          </w:rPr>
          <w:t>farmingfirst.org/2019/07/rising-food-insecurity-linked-to-economic-decline-says-new-sofi-report/</w:t>
        </w:r>
      </w:hyperlink>
      <w:r w:rsidRPr="00490956">
        <w:rPr>
          <w:sz w:val="22"/>
          <w:lang w:val="en-US"/>
        </w:rPr>
        <w:t>.</w:t>
      </w:r>
    </w:p>
  </w:footnote>
  <w:footnote w:id="5">
    <w:p w14:paraId="51DC4AD7" w14:textId="02074030" w:rsidR="00504E51" w:rsidRPr="00003C0B" w:rsidRDefault="00504E51" w:rsidP="00BA53B2">
      <w:pPr>
        <w:pStyle w:val="FootnoteText"/>
        <w:rPr>
          <w:sz w:val="14"/>
          <w:szCs w:val="16"/>
        </w:rPr>
      </w:pPr>
      <w:r w:rsidRPr="00003C0B">
        <w:rPr>
          <w:rStyle w:val="FootnoteReference"/>
          <w:szCs w:val="16"/>
        </w:rPr>
        <w:footnoteRef/>
      </w:r>
      <w:r w:rsidR="00552A3B" w:rsidRPr="00003C0B">
        <w:rPr>
          <w:sz w:val="16"/>
          <w:szCs w:val="16"/>
        </w:rPr>
        <w:tab/>
      </w:r>
      <w:r w:rsidRPr="00003C0B">
        <w:rPr>
          <w:sz w:val="22"/>
        </w:rPr>
        <w:t xml:space="preserve">FAO. </w:t>
      </w:r>
      <w:r w:rsidR="00552A3B" w:rsidRPr="00003C0B">
        <w:rPr>
          <w:sz w:val="22"/>
        </w:rPr>
        <w:t>"</w:t>
      </w:r>
      <w:r w:rsidRPr="00003C0B">
        <w:rPr>
          <w:sz w:val="22"/>
        </w:rPr>
        <w:t>El estado de la seguridad alimentaria y la nutrición en el mundo</w:t>
      </w:r>
      <w:r w:rsidR="00552A3B" w:rsidRPr="00003C0B">
        <w:rPr>
          <w:sz w:val="22"/>
        </w:rPr>
        <w:t>"</w:t>
      </w:r>
      <w:r w:rsidRPr="00003C0B">
        <w:rPr>
          <w:sz w:val="22"/>
        </w:rPr>
        <w:t xml:space="preserve">, 2020, </w:t>
      </w:r>
      <w:hyperlink r:id="rId5" w:history="1">
        <w:r w:rsidRPr="00003C0B">
          <w:rPr>
            <w:rStyle w:val="Hyperlink"/>
            <w:sz w:val="22"/>
          </w:rPr>
          <w:t>www.fao.org/3/ca9692en/online/ca9692en.html#chapter-Key_message</w:t>
        </w:r>
      </w:hyperlink>
      <w:r w:rsidRPr="00003C0B">
        <w:rPr>
          <w:sz w:val="22"/>
        </w:rPr>
        <w:t>.</w:t>
      </w:r>
    </w:p>
  </w:footnote>
  <w:footnote w:id="6">
    <w:p w14:paraId="0B300183" w14:textId="7D9DACF4" w:rsidR="00504E51" w:rsidRPr="00F44D92" w:rsidRDefault="00504E51" w:rsidP="00BA53B2">
      <w:pPr>
        <w:pStyle w:val="FootnoteText"/>
        <w:rPr>
          <w:sz w:val="14"/>
          <w:szCs w:val="16"/>
          <w:lang w:val="en-GB"/>
        </w:rPr>
      </w:pPr>
      <w:r w:rsidRPr="00003C0B">
        <w:rPr>
          <w:rStyle w:val="FootnoteReference"/>
          <w:szCs w:val="16"/>
        </w:rPr>
        <w:footnoteRef/>
      </w:r>
      <w:r w:rsidR="00552A3B" w:rsidRPr="00490956">
        <w:rPr>
          <w:sz w:val="16"/>
          <w:szCs w:val="16"/>
          <w:lang w:val="en-US"/>
        </w:rPr>
        <w:tab/>
      </w:r>
      <w:r w:rsidRPr="00490956">
        <w:rPr>
          <w:sz w:val="22"/>
          <w:lang w:val="en-US"/>
        </w:rPr>
        <w:t xml:space="preserve">Dan Scott. </w:t>
      </w:r>
      <w:r w:rsidR="00552A3B" w:rsidRPr="00490956">
        <w:rPr>
          <w:sz w:val="22"/>
          <w:lang w:val="en-US"/>
        </w:rPr>
        <w:t>"</w:t>
      </w:r>
      <w:r w:rsidRPr="00490956">
        <w:rPr>
          <w:sz w:val="22"/>
          <w:lang w:val="en-US"/>
        </w:rPr>
        <w:t xml:space="preserve">Smart Farming &amp; </w:t>
      </w:r>
      <w:proofErr w:type="spellStart"/>
      <w:r w:rsidRPr="00490956">
        <w:rPr>
          <w:sz w:val="22"/>
          <w:lang w:val="en-US"/>
        </w:rPr>
        <w:t>FoodTech</w:t>
      </w:r>
      <w:proofErr w:type="spellEnd"/>
      <w:r w:rsidRPr="00490956">
        <w:rPr>
          <w:sz w:val="22"/>
          <w:lang w:val="en-US"/>
        </w:rPr>
        <w:t xml:space="preserve"> Revolutionizes the Future of Food</w:t>
      </w:r>
      <w:r w:rsidR="00552A3B" w:rsidRPr="00490956">
        <w:rPr>
          <w:sz w:val="22"/>
          <w:lang w:val="en-US"/>
        </w:rPr>
        <w:t>"</w:t>
      </w:r>
      <w:r w:rsidR="00CC234D" w:rsidRPr="00490956">
        <w:rPr>
          <w:sz w:val="22"/>
          <w:lang w:val="en-US"/>
        </w:rPr>
        <w:t xml:space="preserve">. </w:t>
      </w:r>
      <w:proofErr w:type="spellStart"/>
      <w:r w:rsidR="00CC234D" w:rsidRPr="00F44D92">
        <w:rPr>
          <w:sz w:val="22"/>
          <w:lang w:val="en-GB"/>
        </w:rPr>
        <w:t>Vontobel</w:t>
      </w:r>
      <w:proofErr w:type="spellEnd"/>
      <w:r w:rsidR="00CC234D" w:rsidRPr="00F44D92">
        <w:rPr>
          <w:sz w:val="22"/>
          <w:lang w:val="en-GB"/>
        </w:rPr>
        <w:t xml:space="preserve"> Holding AG,</w:t>
      </w:r>
      <w:r w:rsidR="00CC234D" w:rsidRPr="00F44D92">
        <w:rPr>
          <w:sz w:val="22"/>
          <w:lang w:val="en-GB"/>
        </w:rPr>
        <w:br/>
      </w:r>
      <w:r w:rsidRPr="00F44D92">
        <w:rPr>
          <w:sz w:val="22"/>
          <w:lang w:val="en-GB"/>
        </w:rPr>
        <w:t xml:space="preserve">2 de mayo de 2018, </w:t>
      </w:r>
      <w:hyperlink r:id="rId6" w:history="1">
        <w:r w:rsidRPr="00F44D92">
          <w:rPr>
            <w:rStyle w:val="Hyperlink"/>
            <w:sz w:val="22"/>
            <w:lang w:val="en-GB"/>
          </w:rPr>
          <w:t>www.vontobel.com/en-ch/impact/smart-farming-the-future-of-agriculture-9097/</w:t>
        </w:r>
      </w:hyperlink>
      <w:r w:rsidRPr="00F44D92">
        <w:rPr>
          <w:sz w:val="22"/>
          <w:lang w:val="en-GB"/>
        </w:rPr>
        <w:t>.</w:t>
      </w:r>
    </w:p>
  </w:footnote>
  <w:footnote w:id="7">
    <w:p w14:paraId="4BB6A52D" w14:textId="74331552" w:rsidR="00504E51" w:rsidRPr="00003C0B" w:rsidRDefault="00504E51" w:rsidP="00BA53B2">
      <w:pPr>
        <w:pStyle w:val="FootnoteText"/>
        <w:rPr>
          <w:sz w:val="14"/>
          <w:szCs w:val="16"/>
        </w:rPr>
      </w:pPr>
      <w:r w:rsidRPr="00003C0B">
        <w:rPr>
          <w:rStyle w:val="FootnoteReference"/>
          <w:szCs w:val="16"/>
        </w:rPr>
        <w:footnoteRef/>
      </w:r>
      <w:r w:rsidR="00552A3B" w:rsidRPr="00F44D92">
        <w:rPr>
          <w:sz w:val="16"/>
          <w:szCs w:val="16"/>
          <w:lang w:val="en-GB"/>
        </w:rPr>
        <w:tab/>
      </w:r>
      <w:r w:rsidRPr="00F44D92">
        <w:rPr>
          <w:sz w:val="22"/>
          <w:lang w:val="en-GB"/>
        </w:rPr>
        <w:t xml:space="preserve">Dan Scott. </w:t>
      </w:r>
      <w:r w:rsidR="00552A3B" w:rsidRPr="00F44D92">
        <w:rPr>
          <w:sz w:val="22"/>
          <w:lang w:val="en-GB"/>
        </w:rPr>
        <w:t>"</w:t>
      </w:r>
      <w:r w:rsidRPr="00F44D92">
        <w:rPr>
          <w:sz w:val="22"/>
          <w:lang w:val="en-GB"/>
        </w:rPr>
        <w:t xml:space="preserve">Smart Farming &amp; </w:t>
      </w:r>
      <w:proofErr w:type="spellStart"/>
      <w:r w:rsidRPr="00F44D92">
        <w:rPr>
          <w:sz w:val="22"/>
          <w:lang w:val="en-GB"/>
        </w:rPr>
        <w:t>FoodTech</w:t>
      </w:r>
      <w:proofErr w:type="spellEnd"/>
      <w:r w:rsidRPr="00F44D92">
        <w:rPr>
          <w:sz w:val="22"/>
          <w:lang w:val="en-GB"/>
        </w:rPr>
        <w:t xml:space="preserve"> Revolutionizes the Future of Food</w:t>
      </w:r>
      <w:r w:rsidR="00552A3B" w:rsidRPr="00F44D92">
        <w:rPr>
          <w:sz w:val="22"/>
          <w:lang w:val="en-GB"/>
        </w:rPr>
        <w:t>"</w:t>
      </w:r>
      <w:r w:rsidRPr="00F44D92">
        <w:rPr>
          <w:sz w:val="22"/>
          <w:lang w:val="en-GB"/>
        </w:rPr>
        <w:t xml:space="preserve">. </w:t>
      </w:r>
      <w:proofErr w:type="spellStart"/>
      <w:r w:rsidR="00CC234D" w:rsidRPr="00003C0B">
        <w:rPr>
          <w:sz w:val="22"/>
        </w:rPr>
        <w:t>Vontobel</w:t>
      </w:r>
      <w:proofErr w:type="spellEnd"/>
      <w:r w:rsidR="00CC234D" w:rsidRPr="00003C0B">
        <w:rPr>
          <w:sz w:val="22"/>
        </w:rPr>
        <w:t xml:space="preserve"> Holding AG,</w:t>
      </w:r>
      <w:r w:rsidR="00CC234D" w:rsidRPr="00003C0B">
        <w:rPr>
          <w:sz w:val="22"/>
        </w:rPr>
        <w:br/>
      </w:r>
      <w:r w:rsidRPr="00003C0B">
        <w:rPr>
          <w:sz w:val="22"/>
        </w:rPr>
        <w:t xml:space="preserve">2 de mayo de 2018, </w:t>
      </w:r>
      <w:hyperlink r:id="rId7" w:history="1">
        <w:r w:rsidRPr="00003C0B">
          <w:rPr>
            <w:rStyle w:val="Hyperlink"/>
            <w:sz w:val="22"/>
          </w:rPr>
          <w:t>www.vontobel.com/en-ch/impact/smart-farming-the-future-of-agriculture-9097/</w:t>
        </w:r>
      </w:hyperlink>
      <w:r w:rsidRPr="00003C0B">
        <w:rPr>
          <w:sz w:val="22"/>
        </w:rPr>
        <w:t>.</w:t>
      </w:r>
    </w:p>
  </w:footnote>
  <w:footnote w:id="8">
    <w:p w14:paraId="38EB9E18" w14:textId="61BFAF7B" w:rsidR="00504E51" w:rsidRPr="00003C0B" w:rsidRDefault="00504E51" w:rsidP="00BA53B2">
      <w:pPr>
        <w:pStyle w:val="FootnoteText"/>
        <w:rPr>
          <w:sz w:val="22"/>
        </w:rPr>
      </w:pPr>
      <w:r w:rsidRPr="00003C0B">
        <w:rPr>
          <w:rStyle w:val="FootnoteReference"/>
          <w:szCs w:val="16"/>
        </w:rPr>
        <w:footnoteRef/>
      </w:r>
      <w:r w:rsidR="00552A3B" w:rsidRPr="00003C0B">
        <w:rPr>
          <w:sz w:val="16"/>
          <w:szCs w:val="16"/>
        </w:rPr>
        <w:tab/>
      </w:r>
      <w:r w:rsidR="00F34F6D" w:rsidRPr="00003C0B">
        <w:rPr>
          <w:sz w:val="22"/>
        </w:rPr>
        <w:t xml:space="preserve">Agencia Europea de Medio Ambiente. </w:t>
      </w:r>
      <w:r w:rsidR="00552A3B" w:rsidRPr="00003C0B">
        <w:rPr>
          <w:sz w:val="22"/>
        </w:rPr>
        <w:t>"</w:t>
      </w:r>
      <w:r w:rsidRPr="00003C0B">
        <w:rPr>
          <w:sz w:val="22"/>
        </w:rPr>
        <w:t>El agua en la agricultura</w:t>
      </w:r>
      <w:r w:rsidR="00552A3B" w:rsidRPr="00003C0B">
        <w:rPr>
          <w:sz w:val="22"/>
        </w:rPr>
        <w:t>"</w:t>
      </w:r>
      <w:r w:rsidRPr="00003C0B">
        <w:rPr>
          <w:sz w:val="22"/>
        </w:rPr>
        <w:t>.</w:t>
      </w:r>
      <w:r w:rsidR="00F34F6D" w:rsidRPr="00003C0B">
        <w:rPr>
          <w:sz w:val="22"/>
        </w:rPr>
        <w:t xml:space="preserve"> C</w:t>
      </w:r>
      <w:r w:rsidRPr="00003C0B">
        <w:rPr>
          <w:sz w:val="22"/>
        </w:rPr>
        <w:t>onsultado el 21 de septiembre de</w:t>
      </w:r>
      <w:r w:rsidR="00F34F6D" w:rsidRPr="00003C0B">
        <w:rPr>
          <w:sz w:val="22"/>
        </w:rPr>
        <w:t xml:space="preserve"> 2021 en </w:t>
      </w:r>
      <w:hyperlink r:id="rId8" w:history="1">
        <w:r w:rsidRPr="00003C0B">
          <w:rPr>
            <w:rStyle w:val="Hyperlink"/>
            <w:sz w:val="22"/>
          </w:rPr>
          <w:t>https://www.eea.europa.eu/es/articles/el-agua-en-la-agricultura</w:t>
        </w:r>
      </w:hyperlink>
      <w:r w:rsidRPr="00003C0B">
        <w:rPr>
          <w:sz w:val="22"/>
        </w:rPr>
        <w:t>.</w:t>
      </w:r>
    </w:p>
  </w:footnote>
  <w:footnote w:id="9">
    <w:p w14:paraId="421CC407" w14:textId="370064AB" w:rsidR="00504E51" w:rsidRPr="00003C0B" w:rsidRDefault="00504E51" w:rsidP="00BA53B2">
      <w:pPr>
        <w:pStyle w:val="FootnoteText"/>
        <w:rPr>
          <w:sz w:val="16"/>
          <w:szCs w:val="16"/>
        </w:rPr>
      </w:pPr>
      <w:r w:rsidRPr="00003C0B">
        <w:rPr>
          <w:rStyle w:val="FootnoteReference"/>
          <w:szCs w:val="16"/>
        </w:rPr>
        <w:footnoteRef/>
      </w:r>
      <w:r w:rsidR="004D12E6" w:rsidRPr="00F44D92">
        <w:rPr>
          <w:sz w:val="16"/>
          <w:szCs w:val="16"/>
          <w:lang w:val="en-GB"/>
        </w:rPr>
        <w:tab/>
      </w:r>
      <w:r w:rsidRPr="00F44D92">
        <w:rPr>
          <w:sz w:val="22"/>
          <w:lang w:val="en-GB"/>
        </w:rPr>
        <w:t xml:space="preserve">Robin Pomeroy y Ross </w:t>
      </w:r>
      <w:proofErr w:type="spellStart"/>
      <w:r w:rsidRPr="00F44D92">
        <w:rPr>
          <w:sz w:val="22"/>
          <w:lang w:val="en-GB"/>
        </w:rPr>
        <w:t>Chainey</w:t>
      </w:r>
      <w:proofErr w:type="spellEnd"/>
      <w:r w:rsidRPr="00F44D92">
        <w:rPr>
          <w:sz w:val="22"/>
          <w:lang w:val="en-GB"/>
        </w:rPr>
        <w:t xml:space="preserve">. </w:t>
      </w:r>
      <w:r w:rsidR="004D12E6" w:rsidRPr="00F44D92">
        <w:rPr>
          <w:sz w:val="22"/>
          <w:lang w:val="en-GB"/>
        </w:rPr>
        <w:t>"Has COVID Killed Cities –</w:t>
      </w:r>
      <w:r w:rsidRPr="00F44D92">
        <w:rPr>
          <w:sz w:val="22"/>
          <w:lang w:val="en-GB"/>
        </w:rPr>
        <w:t xml:space="preserve"> or Can They Bounce Back?</w:t>
      </w:r>
      <w:r w:rsidR="004D12E6" w:rsidRPr="00F44D92">
        <w:rPr>
          <w:sz w:val="22"/>
          <w:lang w:val="en-GB"/>
        </w:rPr>
        <w:t>"</w:t>
      </w:r>
      <w:r w:rsidR="00CC234D" w:rsidRPr="00F44D92">
        <w:rPr>
          <w:sz w:val="22"/>
          <w:lang w:val="en-GB"/>
        </w:rPr>
        <w:t>.</w:t>
      </w:r>
      <w:r w:rsidR="00095A9C" w:rsidRPr="00F44D92">
        <w:rPr>
          <w:sz w:val="22"/>
          <w:lang w:val="en-GB"/>
        </w:rPr>
        <w:t xml:space="preserve"> </w:t>
      </w:r>
      <w:r w:rsidRPr="00003C0B">
        <w:rPr>
          <w:sz w:val="22"/>
        </w:rPr>
        <w:t xml:space="preserve">Foro Económico Mundial, 12 de noviembre de 2020, </w:t>
      </w:r>
      <w:hyperlink r:id="rId9" w:history="1">
        <w:r w:rsidRPr="00003C0B">
          <w:rPr>
            <w:rStyle w:val="Hyperlink"/>
            <w:sz w:val="22"/>
          </w:rPr>
          <w:t>www.weforum.org/agenda/2020/11/cities-podcast-new-york-dead/</w:t>
        </w:r>
      </w:hyperlink>
      <w:r w:rsidRPr="00003C0B">
        <w:rPr>
          <w:sz w:val="22"/>
        </w:rPr>
        <w:t>.</w:t>
      </w:r>
    </w:p>
  </w:footnote>
  <w:footnote w:id="10">
    <w:p w14:paraId="64991B0E" w14:textId="6D2512C1" w:rsidR="00504E51" w:rsidRPr="00F44D92" w:rsidRDefault="00504E51" w:rsidP="00BA53B2">
      <w:pPr>
        <w:pStyle w:val="FootnoteText"/>
        <w:rPr>
          <w:sz w:val="22"/>
          <w:szCs w:val="16"/>
          <w:lang w:val="en-GB"/>
        </w:rPr>
      </w:pPr>
      <w:r w:rsidRPr="00003C0B">
        <w:rPr>
          <w:rStyle w:val="FootnoteReference"/>
          <w:szCs w:val="16"/>
        </w:rPr>
        <w:footnoteRef/>
      </w:r>
      <w:r w:rsidR="004D12E6" w:rsidRPr="00F44D92">
        <w:rPr>
          <w:sz w:val="16"/>
          <w:szCs w:val="16"/>
          <w:lang w:val="en-GB"/>
        </w:rPr>
        <w:tab/>
      </w:r>
      <w:proofErr w:type="spellStart"/>
      <w:r w:rsidRPr="00F44D92">
        <w:rPr>
          <w:sz w:val="22"/>
          <w:szCs w:val="16"/>
          <w:lang w:val="en-GB"/>
        </w:rPr>
        <w:t>Sciforce</w:t>
      </w:r>
      <w:proofErr w:type="spellEnd"/>
      <w:r w:rsidRPr="00F44D92">
        <w:rPr>
          <w:sz w:val="22"/>
          <w:szCs w:val="16"/>
          <w:lang w:val="en-GB"/>
        </w:rPr>
        <w:t xml:space="preserve">. </w:t>
      </w:r>
      <w:r w:rsidR="00CC234D" w:rsidRPr="00F44D92">
        <w:rPr>
          <w:sz w:val="22"/>
          <w:szCs w:val="16"/>
          <w:lang w:val="en-GB"/>
        </w:rPr>
        <w:t>"</w:t>
      </w:r>
      <w:r w:rsidRPr="00F44D92">
        <w:rPr>
          <w:sz w:val="22"/>
          <w:szCs w:val="16"/>
          <w:lang w:val="en-GB"/>
        </w:rPr>
        <w:t>Smart Farming: The Future of Agriculture</w:t>
      </w:r>
      <w:r w:rsidR="00CC234D" w:rsidRPr="00F44D92">
        <w:rPr>
          <w:sz w:val="22"/>
          <w:szCs w:val="16"/>
          <w:lang w:val="en-GB"/>
        </w:rPr>
        <w:t>"</w:t>
      </w:r>
      <w:r w:rsidRPr="00F44D92">
        <w:rPr>
          <w:sz w:val="22"/>
          <w:szCs w:val="16"/>
          <w:lang w:val="en-GB"/>
        </w:rPr>
        <w:t xml:space="preserve">, 22 de </w:t>
      </w:r>
      <w:proofErr w:type="spellStart"/>
      <w:r w:rsidRPr="00F44D92">
        <w:rPr>
          <w:sz w:val="22"/>
          <w:szCs w:val="16"/>
          <w:lang w:val="en-GB"/>
        </w:rPr>
        <w:t>junio</w:t>
      </w:r>
      <w:proofErr w:type="spellEnd"/>
      <w:r w:rsidRPr="00F44D92">
        <w:rPr>
          <w:sz w:val="22"/>
          <w:szCs w:val="16"/>
          <w:lang w:val="en-GB"/>
        </w:rPr>
        <w:t xml:space="preserve"> de 2020,</w:t>
      </w:r>
      <w:r w:rsidR="00CC234D" w:rsidRPr="00F44D92">
        <w:rPr>
          <w:sz w:val="22"/>
          <w:szCs w:val="16"/>
          <w:lang w:val="en-GB"/>
        </w:rPr>
        <w:br/>
      </w:r>
      <w:hyperlink r:id="rId10" w:history="1">
        <w:r w:rsidRPr="00F44D92">
          <w:rPr>
            <w:rStyle w:val="Hyperlink"/>
            <w:sz w:val="22"/>
            <w:szCs w:val="16"/>
            <w:lang w:val="en-GB"/>
          </w:rPr>
          <w:t>www.iotforall.com/smart-farming-future-of-agriculture</w:t>
        </w:r>
      </w:hyperlink>
      <w:r w:rsidRPr="00F44D92">
        <w:rPr>
          <w:sz w:val="22"/>
          <w:szCs w:val="16"/>
          <w:lang w:val="en-GB"/>
        </w:rPr>
        <w:t>.</w:t>
      </w:r>
    </w:p>
  </w:footnote>
  <w:footnote w:id="11">
    <w:p w14:paraId="60AFD21C" w14:textId="1E051C79" w:rsidR="00504E51" w:rsidRPr="00F44D92" w:rsidRDefault="00504E51" w:rsidP="00BA53B2">
      <w:pPr>
        <w:pStyle w:val="FootnoteText"/>
        <w:rPr>
          <w:sz w:val="22"/>
          <w:szCs w:val="16"/>
          <w:lang w:val="en-GB"/>
        </w:rPr>
      </w:pPr>
      <w:r w:rsidRPr="00003C0B">
        <w:rPr>
          <w:rStyle w:val="FootnoteReference"/>
          <w:szCs w:val="16"/>
        </w:rPr>
        <w:footnoteRef/>
      </w:r>
      <w:r w:rsidR="00CC234D" w:rsidRPr="00F44D92">
        <w:rPr>
          <w:sz w:val="16"/>
          <w:szCs w:val="16"/>
          <w:lang w:val="en-GB"/>
        </w:rPr>
        <w:tab/>
      </w:r>
      <w:proofErr w:type="spellStart"/>
      <w:r w:rsidRPr="00F44D92">
        <w:rPr>
          <w:sz w:val="22"/>
          <w:szCs w:val="16"/>
          <w:lang w:val="en-GB"/>
        </w:rPr>
        <w:t>Sciforce</w:t>
      </w:r>
      <w:proofErr w:type="spellEnd"/>
      <w:r w:rsidRPr="00F44D92">
        <w:rPr>
          <w:sz w:val="22"/>
          <w:szCs w:val="16"/>
          <w:lang w:val="en-GB"/>
        </w:rPr>
        <w:t xml:space="preserve">. </w:t>
      </w:r>
      <w:r w:rsidR="00CC234D" w:rsidRPr="00F44D92">
        <w:rPr>
          <w:sz w:val="22"/>
          <w:szCs w:val="16"/>
          <w:lang w:val="en-GB"/>
        </w:rPr>
        <w:t>"</w:t>
      </w:r>
      <w:r w:rsidRPr="00F44D92">
        <w:rPr>
          <w:sz w:val="22"/>
          <w:szCs w:val="16"/>
          <w:lang w:val="en-GB"/>
        </w:rPr>
        <w:t>Smart Farming: The Future of Agriculture</w:t>
      </w:r>
      <w:r w:rsidR="00CC234D" w:rsidRPr="00F44D92">
        <w:rPr>
          <w:sz w:val="22"/>
          <w:szCs w:val="16"/>
          <w:lang w:val="en-GB"/>
        </w:rPr>
        <w:t xml:space="preserve">", 22 de </w:t>
      </w:r>
      <w:proofErr w:type="spellStart"/>
      <w:r w:rsidR="00CC234D" w:rsidRPr="00F44D92">
        <w:rPr>
          <w:sz w:val="22"/>
          <w:szCs w:val="16"/>
          <w:lang w:val="en-GB"/>
        </w:rPr>
        <w:t>junio</w:t>
      </w:r>
      <w:proofErr w:type="spellEnd"/>
      <w:r w:rsidR="00CC234D" w:rsidRPr="00F44D92">
        <w:rPr>
          <w:sz w:val="22"/>
          <w:szCs w:val="16"/>
          <w:lang w:val="en-GB"/>
        </w:rPr>
        <w:t xml:space="preserve"> de 2020,</w:t>
      </w:r>
      <w:r w:rsidR="00CC234D" w:rsidRPr="00F44D92">
        <w:rPr>
          <w:sz w:val="22"/>
          <w:szCs w:val="16"/>
          <w:lang w:val="en-GB"/>
        </w:rPr>
        <w:br/>
      </w:r>
      <w:hyperlink r:id="rId11" w:history="1">
        <w:r w:rsidRPr="00F44D92">
          <w:rPr>
            <w:rStyle w:val="Hyperlink"/>
            <w:sz w:val="22"/>
            <w:szCs w:val="16"/>
            <w:lang w:val="en-GB"/>
          </w:rPr>
          <w:t>www.iotforall.com/smart-farming-future-of-agriculture</w:t>
        </w:r>
      </w:hyperlink>
      <w:r w:rsidRPr="00F44D92">
        <w:rPr>
          <w:sz w:val="22"/>
          <w:szCs w:val="16"/>
          <w:lang w:val="en-GB"/>
        </w:rPr>
        <w:t>.</w:t>
      </w:r>
    </w:p>
  </w:footnote>
  <w:footnote w:id="12">
    <w:p w14:paraId="541C56D6" w14:textId="2B894843" w:rsidR="00504E51" w:rsidRPr="00F44D92" w:rsidRDefault="00504E51" w:rsidP="00BA53B2">
      <w:pPr>
        <w:pStyle w:val="FootnoteText"/>
        <w:rPr>
          <w:sz w:val="22"/>
          <w:szCs w:val="16"/>
          <w:lang w:val="en-GB"/>
        </w:rPr>
      </w:pPr>
      <w:r w:rsidRPr="00003C0B">
        <w:rPr>
          <w:rStyle w:val="FootnoteReference"/>
          <w:szCs w:val="16"/>
        </w:rPr>
        <w:footnoteRef/>
      </w:r>
      <w:r w:rsidR="00CC234D" w:rsidRPr="00F44D92">
        <w:rPr>
          <w:sz w:val="16"/>
          <w:szCs w:val="16"/>
          <w:lang w:val="en-GB"/>
        </w:rPr>
        <w:tab/>
      </w:r>
      <w:r w:rsidRPr="00F44D92">
        <w:rPr>
          <w:sz w:val="22"/>
          <w:szCs w:val="16"/>
          <w:lang w:val="en-GB"/>
        </w:rPr>
        <w:t xml:space="preserve">Dan Scott. </w:t>
      </w:r>
      <w:r w:rsidR="00CC234D" w:rsidRPr="00F44D92">
        <w:rPr>
          <w:sz w:val="22"/>
          <w:szCs w:val="16"/>
          <w:lang w:val="en-GB"/>
        </w:rPr>
        <w:t>"</w:t>
      </w:r>
      <w:r w:rsidRPr="00F44D92">
        <w:rPr>
          <w:sz w:val="22"/>
          <w:szCs w:val="16"/>
          <w:lang w:val="en-GB"/>
        </w:rPr>
        <w:t xml:space="preserve">Smart Farming &amp; </w:t>
      </w:r>
      <w:proofErr w:type="spellStart"/>
      <w:r w:rsidRPr="00F44D92">
        <w:rPr>
          <w:sz w:val="22"/>
          <w:szCs w:val="16"/>
          <w:lang w:val="en-GB"/>
        </w:rPr>
        <w:t>FoodTech</w:t>
      </w:r>
      <w:proofErr w:type="spellEnd"/>
      <w:r w:rsidRPr="00F44D92">
        <w:rPr>
          <w:sz w:val="22"/>
          <w:szCs w:val="16"/>
          <w:lang w:val="en-GB"/>
        </w:rPr>
        <w:t xml:space="preserve"> Revolutionizes the Future of Food</w:t>
      </w:r>
      <w:r w:rsidR="00CC234D" w:rsidRPr="00F44D92">
        <w:rPr>
          <w:sz w:val="22"/>
          <w:szCs w:val="16"/>
          <w:lang w:val="en-GB"/>
        </w:rPr>
        <w:t xml:space="preserve">". </w:t>
      </w:r>
      <w:proofErr w:type="spellStart"/>
      <w:r w:rsidR="00CC234D" w:rsidRPr="00F44D92">
        <w:rPr>
          <w:sz w:val="22"/>
          <w:szCs w:val="16"/>
          <w:lang w:val="en-GB"/>
        </w:rPr>
        <w:t>Vontobel</w:t>
      </w:r>
      <w:proofErr w:type="spellEnd"/>
      <w:r w:rsidR="00CC234D" w:rsidRPr="00F44D92">
        <w:rPr>
          <w:sz w:val="22"/>
          <w:szCs w:val="16"/>
          <w:lang w:val="en-GB"/>
        </w:rPr>
        <w:t xml:space="preserve"> Holding AG,</w:t>
      </w:r>
      <w:r w:rsidR="00CC234D" w:rsidRPr="00F44D92">
        <w:rPr>
          <w:sz w:val="22"/>
          <w:szCs w:val="16"/>
          <w:lang w:val="en-GB"/>
        </w:rPr>
        <w:br/>
      </w:r>
      <w:r w:rsidRPr="00F44D92">
        <w:rPr>
          <w:sz w:val="22"/>
          <w:szCs w:val="16"/>
          <w:lang w:val="en-GB"/>
        </w:rPr>
        <w:t xml:space="preserve">2 de mayo de 2018, </w:t>
      </w:r>
      <w:hyperlink r:id="rId12" w:history="1">
        <w:r w:rsidRPr="00F44D92">
          <w:rPr>
            <w:rStyle w:val="Hyperlink"/>
            <w:sz w:val="22"/>
            <w:szCs w:val="16"/>
            <w:lang w:val="en-GB"/>
          </w:rPr>
          <w:t>www.vontobel.com/en-ch/impact/smart-farming-the-future-of-agriculture-9097/</w:t>
        </w:r>
      </w:hyperlink>
      <w:r w:rsidRPr="00F44D92">
        <w:rPr>
          <w:sz w:val="22"/>
          <w:szCs w:val="16"/>
          <w:lang w:val="en-GB"/>
        </w:rPr>
        <w:t>.</w:t>
      </w:r>
    </w:p>
  </w:footnote>
  <w:footnote w:id="13">
    <w:p w14:paraId="5E3C2156" w14:textId="7BA5B852" w:rsidR="00504E51" w:rsidRPr="00F44D92" w:rsidRDefault="00504E51" w:rsidP="00BA53B2">
      <w:pPr>
        <w:pStyle w:val="FootnoteText"/>
        <w:rPr>
          <w:sz w:val="22"/>
          <w:szCs w:val="16"/>
          <w:lang w:val="en-GB"/>
        </w:rPr>
      </w:pPr>
      <w:r w:rsidRPr="00003C0B">
        <w:rPr>
          <w:rStyle w:val="FootnoteReference"/>
          <w:szCs w:val="16"/>
        </w:rPr>
        <w:footnoteRef/>
      </w:r>
      <w:r w:rsidR="00CC234D" w:rsidRPr="00F44D92">
        <w:rPr>
          <w:sz w:val="16"/>
          <w:szCs w:val="16"/>
          <w:lang w:val="en-GB"/>
        </w:rPr>
        <w:tab/>
      </w:r>
      <w:proofErr w:type="spellStart"/>
      <w:r w:rsidRPr="00F44D92">
        <w:rPr>
          <w:sz w:val="22"/>
          <w:szCs w:val="16"/>
          <w:lang w:val="en-GB"/>
        </w:rPr>
        <w:t>Sciforce</w:t>
      </w:r>
      <w:proofErr w:type="spellEnd"/>
      <w:r w:rsidRPr="00F44D92">
        <w:rPr>
          <w:sz w:val="22"/>
          <w:szCs w:val="16"/>
          <w:lang w:val="en-GB"/>
        </w:rPr>
        <w:t xml:space="preserve">. </w:t>
      </w:r>
      <w:r w:rsidR="00CC234D" w:rsidRPr="00F44D92">
        <w:rPr>
          <w:sz w:val="22"/>
          <w:szCs w:val="16"/>
          <w:lang w:val="en-GB"/>
        </w:rPr>
        <w:t>"</w:t>
      </w:r>
      <w:r w:rsidRPr="00F44D92">
        <w:rPr>
          <w:sz w:val="22"/>
          <w:szCs w:val="16"/>
          <w:lang w:val="en-GB"/>
        </w:rPr>
        <w:t>Smart Farming: The Future of Agriculture</w:t>
      </w:r>
      <w:r w:rsidR="00CC234D" w:rsidRPr="00F44D92">
        <w:rPr>
          <w:sz w:val="22"/>
          <w:szCs w:val="16"/>
          <w:lang w:val="en-GB"/>
        </w:rPr>
        <w:t>"</w:t>
      </w:r>
      <w:r w:rsidRPr="00F44D92">
        <w:rPr>
          <w:sz w:val="22"/>
          <w:szCs w:val="16"/>
          <w:lang w:val="en-GB"/>
        </w:rPr>
        <w:t xml:space="preserve">, 22 de </w:t>
      </w:r>
      <w:proofErr w:type="spellStart"/>
      <w:r w:rsidRPr="00F44D92">
        <w:rPr>
          <w:sz w:val="22"/>
          <w:szCs w:val="16"/>
          <w:lang w:val="en-GB"/>
        </w:rPr>
        <w:t>junio</w:t>
      </w:r>
      <w:proofErr w:type="spellEnd"/>
      <w:r w:rsidRPr="00F44D92">
        <w:rPr>
          <w:sz w:val="22"/>
          <w:szCs w:val="16"/>
          <w:lang w:val="en-GB"/>
        </w:rPr>
        <w:t xml:space="preserve"> de 2020,</w:t>
      </w:r>
      <w:r w:rsidR="00CC234D" w:rsidRPr="00F44D92">
        <w:rPr>
          <w:sz w:val="22"/>
          <w:szCs w:val="16"/>
          <w:lang w:val="en-GB"/>
        </w:rPr>
        <w:br/>
      </w:r>
      <w:hyperlink r:id="rId13" w:history="1">
        <w:r w:rsidRPr="00F44D92">
          <w:rPr>
            <w:rStyle w:val="Hyperlink"/>
            <w:sz w:val="22"/>
            <w:szCs w:val="16"/>
            <w:lang w:val="en-GB"/>
          </w:rPr>
          <w:t>www.iotforall.com/smart-farming-future-of-agriculture</w:t>
        </w:r>
      </w:hyperlink>
      <w:r w:rsidRPr="00F44D92">
        <w:rPr>
          <w:sz w:val="22"/>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A2D7" w14:textId="13969CC0" w:rsidR="006969B4" w:rsidRDefault="00CE7E93">
    <w:pPr>
      <w:pStyle w:val="Header"/>
      <w:rPr>
        <w:rStyle w:val="PageNumber"/>
        <w:sz w:val="18"/>
        <w:szCs w:val="18"/>
      </w:rPr>
    </w:pPr>
    <w:r w:rsidRPr="00CE7E93">
      <w:rPr>
        <w:sz w:val="18"/>
        <w:szCs w:val="18"/>
      </w:rPr>
      <w:t>–</w:t>
    </w:r>
    <w:r w:rsidR="006969B4" w:rsidRPr="00303D62">
      <w:rPr>
        <w:sz w:val="18"/>
        <w:szCs w:val="18"/>
      </w:rPr>
      <w:t xml:space="preserve"> </w:t>
    </w:r>
    <w:r w:rsidR="00B87E9E" w:rsidRPr="00303D62">
      <w:rPr>
        <w:rStyle w:val="PageNumber"/>
        <w:sz w:val="18"/>
        <w:szCs w:val="18"/>
      </w:rPr>
      <w:fldChar w:fldCharType="begin"/>
    </w:r>
    <w:r w:rsidR="006969B4" w:rsidRPr="00303D62">
      <w:rPr>
        <w:rStyle w:val="PageNumber"/>
        <w:sz w:val="18"/>
        <w:szCs w:val="18"/>
      </w:rPr>
      <w:instrText xml:space="preserve"> PAGE </w:instrText>
    </w:r>
    <w:r w:rsidR="00B87E9E" w:rsidRPr="00303D62">
      <w:rPr>
        <w:rStyle w:val="PageNumber"/>
        <w:sz w:val="18"/>
        <w:szCs w:val="18"/>
      </w:rPr>
      <w:fldChar w:fldCharType="separate"/>
    </w:r>
    <w:r w:rsidR="00490956">
      <w:rPr>
        <w:rStyle w:val="PageNumber"/>
        <w:noProof/>
        <w:sz w:val="18"/>
        <w:szCs w:val="18"/>
      </w:rPr>
      <w:t>2</w:t>
    </w:r>
    <w:r w:rsidR="00B87E9E" w:rsidRPr="00303D62">
      <w:rPr>
        <w:rStyle w:val="PageNumber"/>
        <w:sz w:val="18"/>
        <w:szCs w:val="18"/>
      </w:rPr>
      <w:fldChar w:fldCharType="end"/>
    </w:r>
    <w:r w:rsidR="006969B4" w:rsidRPr="00303D62">
      <w:rPr>
        <w:rStyle w:val="PageNumber"/>
        <w:sz w:val="18"/>
        <w:szCs w:val="18"/>
      </w:rPr>
      <w:t xml:space="preserve"> </w:t>
    </w:r>
    <w:r w:rsidR="00BA53B2">
      <w:rPr>
        <w:rStyle w:val="PageNumber"/>
        <w:sz w:val="18"/>
        <w:szCs w:val="18"/>
      </w:rPr>
      <w:t>–</w:t>
    </w:r>
  </w:p>
  <w:p w14:paraId="18D5A990" w14:textId="304F9FFD" w:rsidR="00BA53B2" w:rsidRPr="00BA53B2" w:rsidRDefault="00BA53B2" w:rsidP="00BA53B2">
    <w:pPr>
      <w:pStyle w:val="Header"/>
      <w:spacing w:after="240"/>
    </w:pPr>
    <w:r w:rsidRPr="00350C1F">
      <w:rPr>
        <w:noProof/>
      </w:rPr>
      <w:t>Circular</w:t>
    </w:r>
    <w:r>
      <w:rPr>
        <w:noProof/>
      </w:rPr>
      <w:t xml:space="preserve"> TSB</w:t>
    </w:r>
    <w:r w:rsidRPr="00350C1F">
      <w:rPr>
        <w:noProof/>
      </w:rPr>
      <w:t xml:space="preserve"> 380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BE8B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C27A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E25C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2EB2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7E8C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E40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A2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283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A4E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0A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4692232F"/>
    <w:multiLevelType w:val="hybridMultilevel"/>
    <w:tmpl w:val="FFF864C4"/>
    <w:lvl w:ilvl="0" w:tplc="90488DC6">
      <w:start w:val="1"/>
      <w:numFmt w:val="bullet"/>
      <w:lvlText w:val=""/>
      <w:lvlJc w:val="left"/>
      <w:pPr>
        <w:ind w:left="1440" w:hanging="360"/>
      </w:pPr>
      <w:rPr>
        <w:rFonts w:ascii="Symbol" w:hAnsi="Symbol" w:hint="default"/>
      </w:rPr>
    </w:lvl>
    <w:lvl w:ilvl="1" w:tplc="588C61E0" w:tentative="1">
      <w:start w:val="1"/>
      <w:numFmt w:val="bullet"/>
      <w:lvlText w:val="o"/>
      <w:lvlJc w:val="left"/>
      <w:pPr>
        <w:ind w:left="2160" w:hanging="360"/>
      </w:pPr>
      <w:rPr>
        <w:rFonts w:ascii="Courier New" w:hAnsi="Courier New" w:cs="Courier New" w:hint="default"/>
      </w:rPr>
    </w:lvl>
    <w:lvl w:ilvl="2" w:tplc="28908634" w:tentative="1">
      <w:start w:val="1"/>
      <w:numFmt w:val="bullet"/>
      <w:lvlText w:val=""/>
      <w:lvlJc w:val="left"/>
      <w:pPr>
        <w:ind w:left="2880" w:hanging="360"/>
      </w:pPr>
      <w:rPr>
        <w:rFonts w:ascii="Wingdings" w:hAnsi="Wingdings" w:hint="default"/>
      </w:rPr>
    </w:lvl>
    <w:lvl w:ilvl="3" w:tplc="1E424BCA" w:tentative="1">
      <w:start w:val="1"/>
      <w:numFmt w:val="bullet"/>
      <w:lvlText w:val=""/>
      <w:lvlJc w:val="left"/>
      <w:pPr>
        <w:ind w:left="3600" w:hanging="360"/>
      </w:pPr>
      <w:rPr>
        <w:rFonts w:ascii="Symbol" w:hAnsi="Symbol" w:hint="default"/>
      </w:rPr>
    </w:lvl>
    <w:lvl w:ilvl="4" w:tplc="D9E25F06" w:tentative="1">
      <w:start w:val="1"/>
      <w:numFmt w:val="bullet"/>
      <w:lvlText w:val="o"/>
      <w:lvlJc w:val="left"/>
      <w:pPr>
        <w:ind w:left="4320" w:hanging="360"/>
      </w:pPr>
      <w:rPr>
        <w:rFonts w:ascii="Courier New" w:hAnsi="Courier New" w:cs="Courier New" w:hint="default"/>
      </w:rPr>
    </w:lvl>
    <w:lvl w:ilvl="5" w:tplc="F0C41574" w:tentative="1">
      <w:start w:val="1"/>
      <w:numFmt w:val="bullet"/>
      <w:lvlText w:val=""/>
      <w:lvlJc w:val="left"/>
      <w:pPr>
        <w:ind w:left="5040" w:hanging="360"/>
      </w:pPr>
      <w:rPr>
        <w:rFonts w:ascii="Wingdings" w:hAnsi="Wingdings" w:hint="default"/>
      </w:rPr>
    </w:lvl>
    <w:lvl w:ilvl="6" w:tplc="46F456CE" w:tentative="1">
      <w:start w:val="1"/>
      <w:numFmt w:val="bullet"/>
      <w:lvlText w:val=""/>
      <w:lvlJc w:val="left"/>
      <w:pPr>
        <w:ind w:left="5760" w:hanging="360"/>
      </w:pPr>
      <w:rPr>
        <w:rFonts w:ascii="Symbol" w:hAnsi="Symbol" w:hint="default"/>
      </w:rPr>
    </w:lvl>
    <w:lvl w:ilvl="7" w:tplc="8A8A37E8" w:tentative="1">
      <w:start w:val="1"/>
      <w:numFmt w:val="bullet"/>
      <w:lvlText w:val="o"/>
      <w:lvlJc w:val="left"/>
      <w:pPr>
        <w:ind w:left="6480" w:hanging="360"/>
      </w:pPr>
      <w:rPr>
        <w:rFonts w:ascii="Courier New" w:hAnsi="Courier New" w:cs="Courier New" w:hint="default"/>
      </w:rPr>
    </w:lvl>
    <w:lvl w:ilvl="8" w:tplc="0F3835FC" w:tentative="1">
      <w:start w:val="1"/>
      <w:numFmt w:val="bullet"/>
      <w:lvlText w:val=""/>
      <w:lvlJc w:val="left"/>
      <w:pPr>
        <w:ind w:left="7200" w:hanging="360"/>
      </w:pPr>
      <w:rPr>
        <w:rFonts w:ascii="Wingdings" w:hAnsi="Wingdings" w:hint="default"/>
      </w:rPr>
    </w:lvl>
  </w:abstractNum>
  <w:abstractNum w:abstractNumId="1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DA6F36"/>
    <w:multiLevelType w:val="hybridMultilevel"/>
    <w:tmpl w:val="3C96AC4C"/>
    <w:lvl w:ilvl="0" w:tplc="2DB27696">
      <w:start w:val="1"/>
      <w:numFmt w:val="decimal"/>
      <w:lvlText w:val="%1."/>
      <w:lvlJc w:val="left"/>
      <w:pPr>
        <w:ind w:left="360" w:hanging="360"/>
      </w:pPr>
      <w:rPr>
        <w:rFonts w:asciiTheme="minorHAnsi" w:hAnsiTheme="minorHAnsi" w:cstheme="minorHAnsi" w:hint="default"/>
      </w:rPr>
    </w:lvl>
    <w:lvl w:ilvl="1" w:tplc="E88A87F6">
      <w:start w:val="1"/>
      <w:numFmt w:val="lowerLetter"/>
      <w:lvlText w:val="%2."/>
      <w:lvlJc w:val="left"/>
      <w:pPr>
        <w:ind w:left="1080" w:hanging="360"/>
      </w:pPr>
    </w:lvl>
    <w:lvl w:ilvl="2" w:tplc="64B0102E" w:tentative="1">
      <w:start w:val="1"/>
      <w:numFmt w:val="lowerRoman"/>
      <w:lvlText w:val="%3."/>
      <w:lvlJc w:val="right"/>
      <w:pPr>
        <w:ind w:left="1800" w:hanging="180"/>
      </w:pPr>
    </w:lvl>
    <w:lvl w:ilvl="3" w:tplc="3836DA76" w:tentative="1">
      <w:start w:val="1"/>
      <w:numFmt w:val="decimal"/>
      <w:lvlText w:val="%4."/>
      <w:lvlJc w:val="left"/>
      <w:pPr>
        <w:ind w:left="2520" w:hanging="360"/>
      </w:pPr>
    </w:lvl>
    <w:lvl w:ilvl="4" w:tplc="76261E4E" w:tentative="1">
      <w:start w:val="1"/>
      <w:numFmt w:val="lowerLetter"/>
      <w:lvlText w:val="%5."/>
      <w:lvlJc w:val="left"/>
      <w:pPr>
        <w:ind w:left="3240" w:hanging="360"/>
      </w:pPr>
    </w:lvl>
    <w:lvl w:ilvl="5" w:tplc="0BA03366" w:tentative="1">
      <w:start w:val="1"/>
      <w:numFmt w:val="lowerRoman"/>
      <w:lvlText w:val="%6."/>
      <w:lvlJc w:val="right"/>
      <w:pPr>
        <w:ind w:left="3960" w:hanging="180"/>
      </w:pPr>
    </w:lvl>
    <w:lvl w:ilvl="6" w:tplc="430EE46E" w:tentative="1">
      <w:start w:val="1"/>
      <w:numFmt w:val="decimal"/>
      <w:lvlText w:val="%7."/>
      <w:lvlJc w:val="left"/>
      <w:pPr>
        <w:ind w:left="4680" w:hanging="360"/>
      </w:pPr>
    </w:lvl>
    <w:lvl w:ilvl="7" w:tplc="CF4296D8" w:tentative="1">
      <w:start w:val="1"/>
      <w:numFmt w:val="lowerLetter"/>
      <w:lvlText w:val="%8."/>
      <w:lvlJc w:val="left"/>
      <w:pPr>
        <w:ind w:left="5400" w:hanging="360"/>
      </w:pPr>
    </w:lvl>
    <w:lvl w:ilvl="8" w:tplc="4A7CFA6A" w:tentative="1">
      <w:start w:val="1"/>
      <w:numFmt w:val="lowerRoman"/>
      <w:lvlText w:val="%9."/>
      <w:lvlJc w:val="right"/>
      <w:pPr>
        <w:ind w:left="6120" w:hanging="180"/>
      </w:pPr>
    </w:lvl>
  </w:abstractNum>
  <w:abstractNum w:abstractNumId="19" w15:restartNumberingAfterBreak="0">
    <w:nsid w:val="7EE322B8"/>
    <w:multiLevelType w:val="hybridMultilevel"/>
    <w:tmpl w:val="4B64C7F0"/>
    <w:lvl w:ilvl="0" w:tplc="755A97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3"/>
  </w:num>
  <w:num w:numId="2">
    <w:abstractNumId w:val="20"/>
  </w:num>
  <w:num w:numId="3">
    <w:abstractNumId w:val="17"/>
  </w:num>
  <w:num w:numId="4">
    <w:abstractNumId w:val="15"/>
  </w:num>
  <w:num w:numId="5">
    <w:abstractNumId w:val="18"/>
  </w:num>
  <w:num w:numId="6">
    <w:abstractNumId w:val="12"/>
  </w:num>
  <w:num w:numId="7">
    <w:abstractNumId w:val="14"/>
  </w:num>
  <w:num w:numId="8">
    <w:abstractNumId w:val="11"/>
  </w:num>
  <w:num w:numId="9">
    <w:abstractNumId w:val="10"/>
  </w:num>
  <w:num w:numId="10">
    <w:abstractNumId w:val="16"/>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s-ES" w:vendorID="64" w:dllVersion="6" w:nlCheck="1" w:checkStyle="0"/>
  <w:activeWritingStyle w:appName="MSWord" w:lang="es-ES_tradnl"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DE"/>
    <w:rsid w:val="00001F4E"/>
    <w:rsid w:val="00002529"/>
    <w:rsid w:val="00003C0B"/>
    <w:rsid w:val="000522E9"/>
    <w:rsid w:val="00077A99"/>
    <w:rsid w:val="00085662"/>
    <w:rsid w:val="00095A9C"/>
    <w:rsid w:val="000A6620"/>
    <w:rsid w:val="000C382F"/>
    <w:rsid w:val="000C7376"/>
    <w:rsid w:val="001173CC"/>
    <w:rsid w:val="0014464D"/>
    <w:rsid w:val="001A54CC"/>
    <w:rsid w:val="001D1AD8"/>
    <w:rsid w:val="001E5BD0"/>
    <w:rsid w:val="002056CF"/>
    <w:rsid w:val="00257FB4"/>
    <w:rsid w:val="002961F1"/>
    <w:rsid w:val="002E496E"/>
    <w:rsid w:val="002F6F8A"/>
    <w:rsid w:val="00303D62"/>
    <w:rsid w:val="00335367"/>
    <w:rsid w:val="00370C2D"/>
    <w:rsid w:val="003D1E8D"/>
    <w:rsid w:val="003D673B"/>
    <w:rsid w:val="003F2855"/>
    <w:rsid w:val="00401C20"/>
    <w:rsid w:val="00447FB0"/>
    <w:rsid w:val="00490956"/>
    <w:rsid w:val="00494F74"/>
    <w:rsid w:val="004A7957"/>
    <w:rsid w:val="004C16B2"/>
    <w:rsid w:val="004C4144"/>
    <w:rsid w:val="004D12E6"/>
    <w:rsid w:val="00504E51"/>
    <w:rsid w:val="005464B0"/>
    <w:rsid w:val="00552A3B"/>
    <w:rsid w:val="0055719E"/>
    <w:rsid w:val="00561CDA"/>
    <w:rsid w:val="005E3D32"/>
    <w:rsid w:val="006851AA"/>
    <w:rsid w:val="006969B4"/>
    <w:rsid w:val="006E4F7B"/>
    <w:rsid w:val="007164E6"/>
    <w:rsid w:val="00781E2A"/>
    <w:rsid w:val="007933A2"/>
    <w:rsid w:val="007B6316"/>
    <w:rsid w:val="00814503"/>
    <w:rsid w:val="008258C2"/>
    <w:rsid w:val="00843396"/>
    <w:rsid w:val="008505BD"/>
    <w:rsid w:val="00850C78"/>
    <w:rsid w:val="00876165"/>
    <w:rsid w:val="008772A7"/>
    <w:rsid w:val="00883C66"/>
    <w:rsid w:val="00884D12"/>
    <w:rsid w:val="008C17AD"/>
    <w:rsid w:val="008D02CD"/>
    <w:rsid w:val="0091370C"/>
    <w:rsid w:val="0095172A"/>
    <w:rsid w:val="009A0BA0"/>
    <w:rsid w:val="009A0DAB"/>
    <w:rsid w:val="00A54E47"/>
    <w:rsid w:val="00A62F8E"/>
    <w:rsid w:val="00A717F4"/>
    <w:rsid w:val="00AB6E3A"/>
    <w:rsid w:val="00AC0BA9"/>
    <w:rsid w:val="00AE7093"/>
    <w:rsid w:val="00AF256B"/>
    <w:rsid w:val="00B422BC"/>
    <w:rsid w:val="00B43F77"/>
    <w:rsid w:val="00B55A3E"/>
    <w:rsid w:val="00B87E9E"/>
    <w:rsid w:val="00B95F0A"/>
    <w:rsid w:val="00B96180"/>
    <w:rsid w:val="00B965FA"/>
    <w:rsid w:val="00BA53B2"/>
    <w:rsid w:val="00BA7106"/>
    <w:rsid w:val="00C116FE"/>
    <w:rsid w:val="00C17AC0"/>
    <w:rsid w:val="00C34772"/>
    <w:rsid w:val="00C44FE9"/>
    <w:rsid w:val="00C5465A"/>
    <w:rsid w:val="00CC234D"/>
    <w:rsid w:val="00CE7E93"/>
    <w:rsid w:val="00D54642"/>
    <w:rsid w:val="00D64A8A"/>
    <w:rsid w:val="00D81257"/>
    <w:rsid w:val="00D834E7"/>
    <w:rsid w:val="00DD77C9"/>
    <w:rsid w:val="00DF3538"/>
    <w:rsid w:val="00E4395B"/>
    <w:rsid w:val="00E534A2"/>
    <w:rsid w:val="00E76D1B"/>
    <w:rsid w:val="00E839B0"/>
    <w:rsid w:val="00E92C09"/>
    <w:rsid w:val="00EA4D26"/>
    <w:rsid w:val="00ED4BC0"/>
    <w:rsid w:val="00F13B4B"/>
    <w:rsid w:val="00F14380"/>
    <w:rsid w:val="00F165DE"/>
    <w:rsid w:val="00F34F6D"/>
    <w:rsid w:val="00F44D92"/>
    <w:rsid w:val="00F6461F"/>
    <w:rsid w:val="00FC416A"/>
    <w:rsid w:val="00FD2B2D"/>
    <w:rsid w:val="00FF25AD"/>
    <w:rsid w:val="00FF2D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9FD316"/>
  <w15:docId w15:val="{4E6BC220-A997-49A3-B6C1-82810BD6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Style 58,超????,超?级链,超链接1,하이퍼링크2,하이퍼링크21"/>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customStyle="1" w:styleId="UnresolvedMention1">
    <w:name w:val="Unresolved Mention1"/>
    <w:basedOn w:val="DefaultParagraphFont"/>
    <w:uiPriority w:val="99"/>
    <w:semiHidden/>
    <w:unhideWhenUsed/>
    <w:rsid w:val="00A62F8E"/>
    <w:rPr>
      <w:color w:val="605E5C"/>
      <w:shd w:val="clear" w:color="auto" w:fill="E1DFDD"/>
    </w:rPr>
  </w:style>
  <w:style w:type="character" w:customStyle="1" w:styleId="enumlev1Char">
    <w:name w:val="enumlev1 Char"/>
    <w:link w:val="enumlev1"/>
    <w:locked/>
    <w:rsid w:val="00A62F8E"/>
    <w:rPr>
      <w:rFonts w:asciiTheme="minorHAnsi" w:hAnsiTheme="minorHAnsi"/>
      <w:sz w:val="24"/>
      <w:lang w:val="es-ES_tradnl" w:eastAsia="en-US"/>
    </w:rPr>
  </w:style>
  <w:style w:type="table" w:styleId="TableGrid">
    <w:name w:val="Table Grid"/>
    <w:basedOn w:val="TableNormal"/>
    <w:uiPriority w:val="59"/>
    <w:rsid w:val="002F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Normal"/>
    <w:next w:val="Normal"/>
    <w:rsid w:val="001D1AD8"/>
    <w:pPr>
      <w:keepNext/>
      <w:keepLines/>
      <w:spacing w:before="480" w:after="80"/>
      <w:jc w:val="center"/>
    </w:pPr>
    <w:rPr>
      <w:rFonts w:ascii="Calibri" w:hAnsi="Calibri"/>
      <w:caps/>
      <w:sz w:val="28"/>
      <w:lang w:val="en-GB"/>
    </w:rPr>
  </w:style>
  <w:style w:type="paragraph" w:customStyle="1" w:styleId="Annextitle0">
    <w:name w:val="Annex_title"/>
    <w:basedOn w:val="Normal"/>
    <w:next w:val="Normal"/>
    <w:rsid w:val="001D1AD8"/>
    <w:pPr>
      <w:keepNext/>
      <w:keepLines/>
      <w:spacing w:before="240" w:after="280"/>
      <w:jc w:val="center"/>
    </w:pPr>
    <w:rPr>
      <w:rFonts w:ascii="Calibri" w:hAnsi="Calibri"/>
      <w:b/>
      <w:sz w:val="28"/>
      <w:lang w:val="en-GB"/>
    </w:rPr>
  </w:style>
  <w:style w:type="paragraph" w:styleId="NormalWeb">
    <w:name w:val="Normal (Web)"/>
    <w:basedOn w:val="Normal"/>
    <w:uiPriority w:val="99"/>
    <w:semiHidden/>
    <w:unhideWhenUsed/>
    <w:rsid w:val="00ED4BC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s-ES_tradnl"/>
    </w:rPr>
  </w:style>
  <w:style w:type="paragraph" w:customStyle="1" w:styleId="Reasons">
    <w:name w:val="Reasons"/>
    <w:basedOn w:val="Normal"/>
    <w:qFormat/>
    <w:rsid w:val="00F13B4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BalloonText">
    <w:name w:val="Balloon Text"/>
    <w:basedOn w:val="Normal"/>
    <w:link w:val="BalloonTextChar"/>
    <w:semiHidden/>
    <w:unhideWhenUsed/>
    <w:rsid w:val="000C7376"/>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C7376"/>
    <w:rPr>
      <w:rFonts w:ascii="Tahoma" w:hAnsi="Tahoma" w:cs="Tahoma"/>
      <w:sz w:val="16"/>
      <w:szCs w:val="16"/>
      <w:lang w:val="es-ES_tradnl" w:eastAsia="en-US"/>
    </w:rPr>
  </w:style>
  <w:style w:type="character" w:customStyle="1" w:styleId="FootnoteTextChar">
    <w:name w:val="Footnote Text Char"/>
    <w:basedOn w:val="DefaultParagraphFont"/>
    <w:link w:val="FootnoteText"/>
    <w:rsid w:val="00504E51"/>
    <w:rPr>
      <w:rFonts w:asciiTheme="minorHAnsi" w:hAnsiTheme="minorHAnsi"/>
      <w:sz w:val="24"/>
      <w:lang w:val="es-ES_tradnl" w:eastAsia="en-US"/>
    </w:rPr>
  </w:style>
  <w:style w:type="paragraph" w:styleId="ListParagraph">
    <w:name w:val="List Paragraph"/>
    <w:basedOn w:val="Normal"/>
    <w:link w:val="ListParagraphChar"/>
    <w:uiPriority w:val="34"/>
    <w:qFormat/>
    <w:rsid w:val="00504E51"/>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val="en-GB" w:eastAsia="ja-JP"/>
    </w:rPr>
  </w:style>
  <w:style w:type="character" w:customStyle="1" w:styleId="ListParagraphChar">
    <w:name w:val="List Paragraph Char"/>
    <w:basedOn w:val="DefaultParagraphFont"/>
    <w:link w:val="ListParagraph"/>
    <w:uiPriority w:val="34"/>
    <w:rsid w:val="00504E51"/>
    <w:rPr>
      <w:rFonts w:ascii="Times New Roman" w:eastAsiaTheme="minorEastAsia"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6706">
      <w:bodyDiv w:val="1"/>
      <w:marLeft w:val="0"/>
      <w:marRight w:val="0"/>
      <w:marTop w:val="0"/>
      <w:marBottom w:val="0"/>
      <w:divBdr>
        <w:top w:val="none" w:sz="0" w:space="0" w:color="auto"/>
        <w:left w:val="none" w:sz="0" w:space="0" w:color="auto"/>
        <w:bottom w:val="none" w:sz="0" w:space="0" w:color="auto"/>
        <w:right w:val="none" w:sz="0" w:space="0" w:color="auto"/>
      </w:divBdr>
    </w:div>
    <w:div w:id="1183202939">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851674514">
      <w:bodyDiv w:val="1"/>
      <w:marLeft w:val="0"/>
      <w:marRight w:val="0"/>
      <w:marTop w:val="0"/>
      <w:marBottom w:val="0"/>
      <w:divBdr>
        <w:top w:val="none" w:sz="0" w:space="0" w:color="auto"/>
        <w:left w:val="none" w:sz="0" w:space="0" w:color="auto"/>
        <w:bottom w:val="none" w:sz="0" w:space="0" w:color="auto"/>
        <w:right w:val="none" w:sz="0" w:space="0" w:color="auto"/>
      </w:divBdr>
    </w:div>
    <w:div w:id="20828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ebinars/dt4cc/Pages/default.aspx" TargetMode="External"/><Relationship Id="rId18" Type="http://schemas.openxmlformats.org/officeDocument/2006/relationships/hyperlink" Target="https://www.itu.int/en/ITU-T/focusgroups/ai4a/Pages/defaul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itu.int/rec/T-REC-A.7/es" TargetMode="External"/><Relationship Id="rId17" Type="http://schemas.openxmlformats.org/officeDocument/2006/relationships/hyperlink" Target="https://www.itu.int/myworkspa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focusgroups/ai4a/Pages/default.aspx" TargetMode="External"/><Relationship Id="rId20" Type="http://schemas.openxmlformats.org/officeDocument/2006/relationships/hyperlink" Target="mailto:tsbfgai4a@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focusgroups/ai4a/Pages/quicksteps.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focusgroups/ai4a/Pages/default.aspx" TargetMode="External"/><Relationship Id="rId23" Type="http://schemas.openxmlformats.org/officeDocument/2006/relationships/header" Target="header1.xml"/><Relationship Id="rId10" Type="http://schemas.openxmlformats.org/officeDocument/2006/relationships/hyperlink" Target="https://www.itu.int/en/ITU-T/focusgroups/ai4a/Pages/default.aspx" TargetMode="External"/><Relationship Id="rId19" Type="http://schemas.openxmlformats.org/officeDocument/2006/relationships/hyperlink" Target="https://www.itu.int/en/ITU-T/focusgroups/ai4a/Pages/default.aspx" TargetMode="External"/><Relationship Id="rId4" Type="http://schemas.openxmlformats.org/officeDocument/2006/relationships/settings" Target="settings.xml"/><Relationship Id="rId9" Type="http://schemas.openxmlformats.org/officeDocument/2006/relationships/hyperlink" Target="mailto:tsbfgai4a@itu.int" TargetMode="External"/><Relationship Id="rId14" Type="http://schemas.openxmlformats.org/officeDocument/2006/relationships/hyperlink" Target="mailto:tsbfgai4a@itu.int" TargetMode="Externa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es/articles/el-agua-en-la-agricultura" TargetMode="External"/><Relationship Id="rId13" Type="http://schemas.openxmlformats.org/officeDocument/2006/relationships/hyperlink" Target="www.iotforall.com/smart-farming-future-of-agriculture" TargetMode="External"/><Relationship Id="rId3" Type="http://schemas.openxmlformats.org/officeDocument/2006/relationships/hyperlink" Target="www2.deloitte.com/content/dam/Deloitte/gr/Documents/consumer-business/gr_Transforming_Agriculture_through_Digital_Technologies_noexp.pdf" TargetMode="External"/><Relationship Id="rId7" Type="http://schemas.openxmlformats.org/officeDocument/2006/relationships/hyperlink" Target="www.vontobel.com/en-ch/impact/smart-farming-the-future-of-agriculture-9097/" TargetMode="External"/><Relationship Id="rId12" Type="http://schemas.openxmlformats.org/officeDocument/2006/relationships/hyperlink" Target="www.vontobel.com/en-ch/impact/smart-farming-the-future-of-agriculture-9097/" TargetMode="External"/><Relationship Id="rId2" Type="http://schemas.openxmlformats.org/officeDocument/2006/relationships/hyperlink" Target="www.fao.org/3/ca9692en/online/ca9692en.html%23chapter-Key_message" TargetMode="External"/><Relationship Id="rId1" Type="http://schemas.openxmlformats.org/officeDocument/2006/relationships/hyperlink" Target="www.fao.org/3/ca9692en/online/ca9692en.html%23chapter-Key_message" TargetMode="External"/><Relationship Id="rId6" Type="http://schemas.openxmlformats.org/officeDocument/2006/relationships/hyperlink" Target="www.vontobel.com/en-ch/impact/smart-farming-the-future-of-agriculture-9097/" TargetMode="External"/><Relationship Id="rId11" Type="http://schemas.openxmlformats.org/officeDocument/2006/relationships/hyperlink" Target="www.iotforall.com/smart-farming-future-of-agriculture" TargetMode="External"/><Relationship Id="rId5" Type="http://schemas.openxmlformats.org/officeDocument/2006/relationships/hyperlink" Target="www.fao.org/3/ca9692en/online/ca9692en.html%23chapter-Key_message" TargetMode="External"/><Relationship Id="rId10" Type="http://schemas.openxmlformats.org/officeDocument/2006/relationships/hyperlink" Target="www.iotforall.com/smart-farming-future-of-agriculture" TargetMode="External"/><Relationship Id="rId4" Type="http://schemas.openxmlformats.org/officeDocument/2006/relationships/hyperlink" Target="https://farmingfirst.org/2019/07/rising-food-insecurity-linked-to-economic-decline-says-new-sofi-report/" TargetMode="External"/><Relationship Id="rId9" Type="http://schemas.openxmlformats.org/officeDocument/2006/relationships/hyperlink" Target="www.weforum.org/agenda/2020/11/cities-podcast-new-york-d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quez\AppData\Roaming\Microsoft\Templates\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E4A8-6F56-4042-8FB6-34BFF879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59</TotalTime>
  <Pages>9</Pages>
  <Words>3761</Words>
  <Characters>21441</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UNIÓN INTERNACIONAL DE TELECOMUNICACIONES</vt:lpstr>
      <vt:lpstr>UNIÓN INTERNACIONAL DE TELECOMUNICACIONES</vt:lpstr>
    </vt:vector>
  </TitlesOfParts>
  <Company>ITU</Company>
  <LinksUpToDate>false</LinksUpToDate>
  <CharactersWithSpaces>25152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15</cp:revision>
  <cp:lastPrinted>2022-03-02T09:23:00Z</cp:lastPrinted>
  <dcterms:created xsi:type="dcterms:W3CDTF">2022-02-18T10:18:00Z</dcterms:created>
  <dcterms:modified xsi:type="dcterms:W3CDTF">2022-03-02T09:24:00Z</dcterms:modified>
</cp:coreProperties>
</file>