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835"/>
        <w:gridCol w:w="2977"/>
        <w:gridCol w:w="2126"/>
        <w:gridCol w:w="8"/>
      </w:tblGrid>
      <w:tr w:rsidR="00915648" w:rsidRPr="00C20D7E" w14:paraId="2DF8591A" w14:textId="77777777" w:rsidTr="006D7BA2">
        <w:trPr>
          <w:gridAfter w:val="1"/>
          <w:wAfter w:w="8" w:type="dxa"/>
          <w:cantSplit/>
          <w:jc w:val="center"/>
        </w:trPr>
        <w:tc>
          <w:tcPr>
            <w:tcW w:w="1418" w:type="dxa"/>
            <w:gridSpan w:val="3"/>
            <w:vAlign w:val="center"/>
          </w:tcPr>
          <w:p w14:paraId="310DAD67" w14:textId="77777777" w:rsidR="00036F4F" w:rsidRPr="00C20D7E" w:rsidRDefault="006B04DE" w:rsidP="00D44185">
            <w:pPr>
              <w:tabs>
                <w:tab w:val="right" w:pos="8732"/>
              </w:tabs>
              <w:spacing w:before="0"/>
              <w:rPr>
                <w:b/>
                <w:bCs/>
                <w:iCs/>
                <w:color w:val="FFFFFF"/>
                <w:sz w:val="30"/>
                <w:szCs w:val="30"/>
              </w:rPr>
            </w:pPr>
            <w:r w:rsidRPr="00C20D7E">
              <w:rPr>
                <w:noProof/>
                <w:lang w:val="en-US"/>
              </w:rPr>
              <w:drawing>
                <wp:inline distT="0" distB="0" distL="0" distR="0" wp14:anchorId="612DABE9" wp14:editId="3028EB0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4C2058E" w14:textId="77777777" w:rsidR="00036F4F" w:rsidRPr="00C20D7E" w:rsidRDefault="006B04DE" w:rsidP="00D44185">
            <w:pPr>
              <w:spacing w:before="0"/>
              <w:rPr>
                <w:rFonts w:cs="Times New Roman Bold"/>
                <w:b/>
                <w:bCs/>
                <w:iCs/>
                <w:smallCaps/>
                <w:sz w:val="34"/>
                <w:szCs w:val="34"/>
              </w:rPr>
            </w:pPr>
            <w:r w:rsidRPr="00C20D7E">
              <w:rPr>
                <w:rFonts w:cs="Times New Roman Bold"/>
                <w:b/>
                <w:bCs/>
                <w:iCs/>
                <w:smallCaps/>
                <w:sz w:val="34"/>
                <w:szCs w:val="34"/>
              </w:rPr>
              <w:t>Union internationale des télécommunications</w:t>
            </w:r>
          </w:p>
          <w:p w14:paraId="525C212E" w14:textId="77777777" w:rsidR="00036F4F" w:rsidRPr="00C20D7E" w:rsidRDefault="00417E6B" w:rsidP="00D44185">
            <w:pPr>
              <w:tabs>
                <w:tab w:val="right" w:pos="8732"/>
              </w:tabs>
              <w:spacing w:before="0"/>
              <w:rPr>
                <w:b/>
                <w:bCs/>
                <w:iCs/>
                <w:color w:val="FFFFFF"/>
                <w:sz w:val="30"/>
                <w:szCs w:val="30"/>
              </w:rPr>
            </w:pPr>
            <w:r w:rsidRPr="00C20D7E">
              <w:rPr>
                <w:b/>
                <w:bCs/>
                <w:iCs/>
                <w:smallCaps/>
                <w:sz w:val="28"/>
                <w:szCs w:val="28"/>
              </w:rPr>
              <w:t>Bureau de la normalisation des télécommunications</w:t>
            </w:r>
          </w:p>
        </w:tc>
        <w:tc>
          <w:tcPr>
            <w:tcW w:w="2126" w:type="dxa"/>
            <w:vAlign w:val="center"/>
          </w:tcPr>
          <w:p w14:paraId="3371C0A5" w14:textId="77777777" w:rsidR="00036F4F" w:rsidRPr="00C20D7E" w:rsidRDefault="00036F4F" w:rsidP="00D44185">
            <w:pPr>
              <w:spacing w:before="0"/>
              <w:jc w:val="right"/>
              <w:rPr>
                <w:color w:val="FFFFFF"/>
                <w:sz w:val="26"/>
                <w:szCs w:val="26"/>
              </w:rPr>
            </w:pPr>
          </w:p>
        </w:tc>
      </w:tr>
      <w:tr w:rsidR="00915648" w:rsidRPr="00C20D7E" w14:paraId="0561E82F" w14:textId="77777777" w:rsidTr="006D7BA2">
        <w:trPr>
          <w:gridBefore w:val="1"/>
          <w:wBefore w:w="8" w:type="dxa"/>
          <w:cantSplit/>
          <w:jc w:val="center"/>
        </w:trPr>
        <w:tc>
          <w:tcPr>
            <w:tcW w:w="1977" w:type="dxa"/>
            <w:gridSpan w:val="3"/>
          </w:tcPr>
          <w:p w14:paraId="2B7F0826" w14:textId="77777777" w:rsidR="00036F4F" w:rsidRPr="00C20D7E" w:rsidRDefault="00036F4F" w:rsidP="00D44185">
            <w:pPr>
              <w:tabs>
                <w:tab w:val="left" w:pos="4111"/>
              </w:tabs>
              <w:spacing w:before="10"/>
              <w:ind w:left="57"/>
            </w:pPr>
          </w:p>
        </w:tc>
        <w:tc>
          <w:tcPr>
            <w:tcW w:w="2835" w:type="dxa"/>
          </w:tcPr>
          <w:p w14:paraId="43685B24" w14:textId="77777777" w:rsidR="00036F4F" w:rsidRPr="00C20D7E" w:rsidRDefault="00036F4F" w:rsidP="00D44185">
            <w:pPr>
              <w:tabs>
                <w:tab w:val="left" w:pos="4111"/>
              </w:tabs>
              <w:spacing w:before="10"/>
              <w:ind w:left="57"/>
              <w:rPr>
                <w:b/>
              </w:rPr>
            </w:pPr>
          </w:p>
        </w:tc>
        <w:tc>
          <w:tcPr>
            <w:tcW w:w="5111" w:type="dxa"/>
            <w:gridSpan w:val="3"/>
          </w:tcPr>
          <w:p w14:paraId="157D5CE8" w14:textId="77777777" w:rsidR="00036F4F" w:rsidRPr="00C20D7E" w:rsidRDefault="00C0699C" w:rsidP="00D44185">
            <w:pPr>
              <w:tabs>
                <w:tab w:val="clear" w:pos="794"/>
                <w:tab w:val="clear" w:pos="1191"/>
                <w:tab w:val="clear" w:pos="1588"/>
                <w:tab w:val="clear" w:pos="1985"/>
                <w:tab w:val="left" w:pos="284"/>
              </w:tabs>
              <w:spacing w:after="120"/>
              <w:ind w:left="284" w:hanging="227"/>
            </w:pPr>
            <w:r w:rsidRPr="00C20D7E">
              <w:t>Genève, le 16 février 2022</w:t>
            </w:r>
          </w:p>
        </w:tc>
      </w:tr>
      <w:tr w:rsidR="00915648" w:rsidRPr="00C20D7E" w14:paraId="3F408EB1" w14:textId="77777777" w:rsidTr="006D7BA2">
        <w:trPr>
          <w:gridBefore w:val="1"/>
          <w:wBefore w:w="8" w:type="dxa"/>
          <w:cantSplit/>
          <w:trHeight w:val="340"/>
          <w:jc w:val="center"/>
        </w:trPr>
        <w:tc>
          <w:tcPr>
            <w:tcW w:w="985" w:type="dxa"/>
          </w:tcPr>
          <w:p w14:paraId="76CF01BE" w14:textId="4C6EF2FC" w:rsidR="00036F4F" w:rsidRPr="00C20D7E" w:rsidRDefault="006B04DE" w:rsidP="00D44185">
            <w:pPr>
              <w:tabs>
                <w:tab w:val="left" w:pos="4111"/>
              </w:tabs>
              <w:spacing w:before="10"/>
              <w:ind w:left="57"/>
              <w:rPr>
                <w:b/>
                <w:bCs/>
              </w:rPr>
            </w:pPr>
            <w:r w:rsidRPr="00C20D7E">
              <w:rPr>
                <w:b/>
                <w:bCs/>
              </w:rPr>
              <w:t>Réf.:</w:t>
            </w:r>
          </w:p>
        </w:tc>
        <w:tc>
          <w:tcPr>
            <w:tcW w:w="3827" w:type="dxa"/>
            <w:gridSpan w:val="3"/>
          </w:tcPr>
          <w:p w14:paraId="7E82BA59" w14:textId="77777777" w:rsidR="00036F4F" w:rsidRPr="00C20D7E" w:rsidRDefault="00C0699C" w:rsidP="00D44185">
            <w:pPr>
              <w:tabs>
                <w:tab w:val="left" w:pos="4111"/>
              </w:tabs>
              <w:spacing w:before="10"/>
              <w:ind w:left="57"/>
              <w:rPr>
                <w:b/>
              </w:rPr>
            </w:pPr>
            <w:r w:rsidRPr="00C20D7E">
              <w:rPr>
                <w:b/>
              </w:rPr>
              <w:t>Circulaire TSB 380</w:t>
            </w:r>
          </w:p>
          <w:p w14:paraId="7833F0EC" w14:textId="77777777" w:rsidR="00036F4F" w:rsidRPr="00C20D7E" w:rsidRDefault="006B04DE" w:rsidP="00D44185">
            <w:pPr>
              <w:tabs>
                <w:tab w:val="left" w:pos="4111"/>
              </w:tabs>
              <w:spacing w:before="10"/>
              <w:ind w:left="57"/>
              <w:rPr>
                <w:b/>
              </w:rPr>
            </w:pPr>
            <w:r w:rsidRPr="00C20D7E">
              <w:rPr>
                <w:b/>
                <w:bCs/>
              </w:rPr>
              <w:t>FG-AI4A/MM</w:t>
            </w:r>
          </w:p>
        </w:tc>
        <w:tc>
          <w:tcPr>
            <w:tcW w:w="5111" w:type="dxa"/>
            <w:gridSpan w:val="3"/>
            <w:vMerge w:val="restart"/>
          </w:tcPr>
          <w:p w14:paraId="7BAE9307" w14:textId="547ECC73" w:rsidR="00036F4F" w:rsidRPr="00C20D7E" w:rsidRDefault="006B04DE" w:rsidP="00D44185">
            <w:pPr>
              <w:tabs>
                <w:tab w:val="clear" w:pos="794"/>
                <w:tab w:val="clear" w:pos="1191"/>
                <w:tab w:val="clear" w:pos="1588"/>
                <w:tab w:val="clear" w:pos="1985"/>
                <w:tab w:val="left" w:pos="284"/>
              </w:tabs>
              <w:spacing w:before="0"/>
              <w:ind w:left="284" w:hanging="227"/>
            </w:pPr>
            <w:bookmarkStart w:id="0" w:name="Addressee_F"/>
            <w:bookmarkEnd w:id="0"/>
            <w:r w:rsidRPr="00C20D7E">
              <w:t>-</w:t>
            </w:r>
            <w:r w:rsidRPr="00C20D7E">
              <w:tab/>
            </w:r>
            <w:r w:rsidR="00332656" w:rsidRPr="00C20D7E">
              <w:t xml:space="preserve">Aux </w:t>
            </w:r>
            <w:r w:rsidR="006D7BA2">
              <w:t>A</w:t>
            </w:r>
            <w:r w:rsidR="00332656" w:rsidRPr="00C20D7E">
              <w:t>dministrations des États Membres de l</w:t>
            </w:r>
            <w:r w:rsidR="00DC04B9" w:rsidRPr="00C20D7E">
              <w:t>'</w:t>
            </w:r>
            <w:r w:rsidR="00332656" w:rsidRPr="00C20D7E">
              <w:t>Union;</w:t>
            </w:r>
          </w:p>
          <w:p w14:paraId="734B7923" w14:textId="77777777" w:rsidR="00C0699C" w:rsidRPr="00C20D7E" w:rsidRDefault="006B04DE" w:rsidP="00D44185">
            <w:pPr>
              <w:tabs>
                <w:tab w:val="clear" w:pos="794"/>
                <w:tab w:val="clear" w:pos="1191"/>
                <w:tab w:val="clear" w:pos="1588"/>
                <w:tab w:val="clear" w:pos="1985"/>
              </w:tabs>
              <w:spacing w:before="40" w:after="40"/>
              <w:ind w:left="283" w:hanging="212"/>
              <w:rPr>
                <w:rFonts w:cs="Calibri"/>
                <w:szCs w:val="24"/>
              </w:rPr>
            </w:pPr>
            <w:r w:rsidRPr="00C20D7E">
              <w:rPr>
                <w:szCs w:val="24"/>
              </w:rPr>
              <w:t>-</w:t>
            </w:r>
            <w:r w:rsidRPr="00C20D7E">
              <w:rPr>
                <w:szCs w:val="24"/>
              </w:rPr>
              <w:tab/>
            </w:r>
            <w:r w:rsidR="00C9170C" w:rsidRPr="00C20D7E">
              <w:rPr>
                <w:rFonts w:cs="Calibri"/>
                <w:szCs w:val="24"/>
              </w:rPr>
              <w:t>aux Membres du Secteur UIT-T;</w:t>
            </w:r>
          </w:p>
          <w:p w14:paraId="31732ED3" w14:textId="62329B44" w:rsidR="00C0699C" w:rsidRPr="00C20D7E" w:rsidRDefault="006B04DE" w:rsidP="00D44185">
            <w:pPr>
              <w:tabs>
                <w:tab w:val="clear" w:pos="794"/>
                <w:tab w:val="clear" w:pos="1191"/>
                <w:tab w:val="clear" w:pos="1588"/>
                <w:tab w:val="clear" w:pos="1985"/>
              </w:tabs>
              <w:spacing w:before="40" w:after="40"/>
              <w:ind w:left="283" w:hanging="212"/>
              <w:rPr>
                <w:rFonts w:cs="Calibri"/>
                <w:szCs w:val="24"/>
              </w:rPr>
            </w:pPr>
            <w:r w:rsidRPr="00C20D7E">
              <w:rPr>
                <w:rFonts w:cs="Calibri"/>
                <w:szCs w:val="24"/>
              </w:rPr>
              <w:t>-</w:t>
            </w:r>
            <w:r w:rsidRPr="00C20D7E">
              <w:rPr>
                <w:rFonts w:cs="Calibri"/>
                <w:szCs w:val="24"/>
              </w:rPr>
              <w:tab/>
            </w:r>
            <w:r w:rsidR="00E819EC" w:rsidRPr="00C20D7E">
              <w:rPr>
                <w:rFonts w:cs="Calibri"/>
                <w:szCs w:val="24"/>
              </w:rPr>
              <w:t>aux Associés de l</w:t>
            </w:r>
            <w:r w:rsidR="00DC04B9" w:rsidRPr="00C20D7E">
              <w:rPr>
                <w:rFonts w:cs="Calibri"/>
                <w:szCs w:val="24"/>
              </w:rPr>
              <w:t>'</w:t>
            </w:r>
            <w:r w:rsidR="00E819EC" w:rsidRPr="00C20D7E">
              <w:rPr>
                <w:rFonts w:cs="Calibri"/>
                <w:szCs w:val="24"/>
              </w:rPr>
              <w:t>UIT-T;</w:t>
            </w:r>
          </w:p>
          <w:p w14:paraId="2AD818EA" w14:textId="7D00EECE" w:rsidR="00036F4F" w:rsidRPr="00C20D7E" w:rsidRDefault="006B04DE" w:rsidP="00D44185">
            <w:pPr>
              <w:tabs>
                <w:tab w:val="clear" w:pos="794"/>
                <w:tab w:val="clear" w:pos="1191"/>
                <w:tab w:val="clear" w:pos="1588"/>
                <w:tab w:val="clear" w:pos="1985"/>
                <w:tab w:val="left" w:pos="284"/>
              </w:tabs>
              <w:spacing w:before="0"/>
              <w:ind w:left="284" w:hanging="212"/>
            </w:pPr>
            <w:r w:rsidRPr="00C20D7E">
              <w:rPr>
                <w:rFonts w:cs="Calibri"/>
                <w:szCs w:val="24"/>
              </w:rPr>
              <w:t>-</w:t>
            </w:r>
            <w:r w:rsidRPr="00C20D7E">
              <w:rPr>
                <w:rFonts w:cs="Calibri"/>
                <w:szCs w:val="24"/>
              </w:rPr>
              <w:tab/>
            </w:r>
            <w:r w:rsidR="00987C89" w:rsidRPr="00C20D7E">
              <w:rPr>
                <w:rFonts w:cs="Calibri"/>
                <w:szCs w:val="24"/>
              </w:rPr>
              <w:t>aux établissements universitaires participant aux travaux de l</w:t>
            </w:r>
            <w:r w:rsidR="00DC04B9" w:rsidRPr="00C20D7E">
              <w:rPr>
                <w:rFonts w:cs="Calibri"/>
                <w:szCs w:val="24"/>
              </w:rPr>
              <w:t>'</w:t>
            </w:r>
            <w:r w:rsidR="00987C89" w:rsidRPr="00C20D7E">
              <w:rPr>
                <w:rFonts w:cs="Calibri"/>
                <w:szCs w:val="24"/>
              </w:rPr>
              <w:t>UIT</w:t>
            </w:r>
          </w:p>
        </w:tc>
      </w:tr>
      <w:tr w:rsidR="00915648" w:rsidRPr="00C20D7E" w14:paraId="6E3C4298" w14:textId="77777777" w:rsidTr="006D7BA2">
        <w:trPr>
          <w:gridBefore w:val="1"/>
          <w:wBefore w:w="8" w:type="dxa"/>
          <w:cantSplit/>
          <w:jc w:val="center"/>
        </w:trPr>
        <w:tc>
          <w:tcPr>
            <w:tcW w:w="985" w:type="dxa"/>
          </w:tcPr>
          <w:p w14:paraId="2AAEF34B" w14:textId="77777777" w:rsidR="00036F4F" w:rsidRPr="00C20D7E" w:rsidRDefault="006B04DE" w:rsidP="00D44185">
            <w:pPr>
              <w:tabs>
                <w:tab w:val="left" w:pos="4111"/>
              </w:tabs>
              <w:spacing w:before="10"/>
              <w:ind w:left="57"/>
              <w:rPr>
                <w:b/>
                <w:bCs/>
                <w:sz w:val="20"/>
              </w:rPr>
            </w:pPr>
            <w:r w:rsidRPr="00C20D7E">
              <w:rPr>
                <w:b/>
                <w:bCs/>
              </w:rPr>
              <w:t>Tél.:</w:t>
            </w:r>
          </w:p>
        </w:tc>
        <w:tc>
          <w:tcPr>
            <w:tcW w:w="3827" w:type="dxa"/>
            <w:gridSpan w:val="3"/>
          </w:tcPr>
          <w:p w14:paraId="14B859AB" w14:textId="77777777" w:rsidR="00036F4F" w:rsidRPr="00C20D7E" w:rsidRDefault="00C0699C" w:rsidP="00D44185">
            <w:pPr>
              <w:tabs>
                <w:tab w:val="left" w:pos="4111"/>
              </w:tabs>
              <w:spacing w:before="0"/>
              <w:ind w:left="57"/>
            </w:pPr>
            <w:r w:rsidRPr="00C20D7E">
              <w:t>+41 22 730 5697</w:t>
            </w:r>
          </w:p>
        </w:tc>
        <w:tc>
          <w:tcPr>
            <w:tcW w:w="5111" w:type="dxa"/>
            <w:gridSpan w:val="3"/>
            <w:vMerge/>
          </w:tcPr>
          <w:p w14:paraId="7F54AB4A" w14:textId="77777777" w:rsidR="00036F4F" w:rsidRPr="00C20D7E" w:rsidRDefault="00036F4F" w:rsidP="00D44185">
            <w:pPr>
              <w:tabs>
                <w:tab w:val="left" w:pos="4111"/>
              </w:tabs>
              <w:spacing w:before="0"/>
              <w:rPr>
                <w:b/>
              </w:rPr>
            </w:pPr>
          </w:p>
        </w:tc>
      </w:tr>
      <w:tr w:rsidR="00915648" w:rsidRPr="00C20D7E" w14:paraId="7ECAD993" w14:textId="77777777" w:rsidTr="006D7BA2">
        <w:trPr>
          <w:gridBefore w:val="1"/>
          <w:wBefore w:w="8" w:type="dxa"/>
          <w:cantSplit/>
          <w:jc w:val="center"/>
        </w:trPr>
        <w:tc>
          <w:tcPr>
            <w:tcW w:w="985" w:type="dxa"/>
          </w:tcPr>
          <w:p w14:paraId="18D3C638" w14:textId="77777777" w:rsidR="00036F4F" w:rsidRPr="00C20D7E" w:rsidRDefault="006B04DE" w:rsidP="00D44185">
            <w:pPr>
              <w:tabs>
                <w:tab w:val="left" w:pos="4111"/>
              </w:tabs>
              <w:spacing w:before="10"/>
              <w:ind w:left="57"/>
              <w:rPr>
                <w:b/>
                <w:bCs/>
                <w:sz w:val="20"/>
              </w:rPr>
            </w:pPr>
            <w:r w:rsidRPr="00C20D7E">
              <w:rPr>
                <w:b/>
                <w:bCs/>
              </w:rPr>
              <w:t>Fax:</w:t>
            </w:r>
          </w:p>
        </w:tc>
        <w:tc>
          <w:tcPr>
            <w:tcW w:w="3827" w:type="dxa"/>
            <w:gridSpan w:val="3"/>
          </w:tcPr>
          <w:p w14:paraId="0F6815B5" w14:textId="77777777" w:rsidR="00036F4F" w:rsidRPr="00C20D7E" w:rsidRDefault="006B04DE" w:rsidP="00D44185">
            <w:pPr>
              <w:tabs>
                <w:tab w:val="left" w:pos="4111"/>
              </w:tabs>
              <w:spacing w:before="0"/>
              <w:ind w:left="57"/>
            </w:pPr>
            <w:r w:rsidRPr="00C20D7E">
              <w:t>+41 22 730 5853</w:t>
            </w:r>
          </w:p>
        </w:tc>
        <w:tc>
          <w:tcPr>
            <w:tcW w:w="5111" w:type="dxa"/>
            <w:gridSpan w:val="3"/>
            <w:vMerge/>
          </w:tcPr>
          <w:p w14:paraId="27157F8C" w14:textId="77777777" w:rsidR="00036F4F" w:rsidRPr="00C20D7E" w:rsidRDefault="00036F4F" w:rsidP="00D44185">
            <w:pPr>
              <w:tabs>
                <w:tab w:val="left" w:pos="4111"/>
              </w:tabs>
              <w:spacing w:before="0"/>
              <w:rPr>
                <w:b/>
              </w:rPr>
            </w:pPr>
          </w:p>
        </w:tc>
      </w:tr>
      <w:tr w:rsidR="00915648" w:rsidRPr="00C20D7E" w14:paraId="08E93115" w14:textId="77777777" w:rsidTr="006D7BA2">
        <w:trPr>
          <w:gridBefore w:val="1"/>
          <w:wBefore w:w="8" w:type="dxa"/>
          <w:cantSplit/>
          <w:jc w:val="center"/>
        </w:trPr>
        <w:tc>
          <w:tcPr>
            <w:tcW w:w="985" w:type="dxa"/>
          </w:tcPr>
          <w:p w14:paraId="4709D3B0" w14:textId="77777777" w:rsidR="00517A03" w:rsidRPr="00C20D7E" w:rsidRDefault="00D8430A" w:rsidP="00D44185">
            <w:pPr>
              <w:tabs>
                <w:tab w:val="left" w:pos="4111"/>
              </w:tabs>
              <w:spacing w:before="10"/>
              <w:ind w:left="57"/>
              <w:rPr>
                <w:b/>
                <w:bCs/>
                <w:sz w:val="20"/>
              </w:rPr>
            </w:pPr>
            <w:r w:rsidRPr="00C20D7E">
              <w:rPr>
                <w:b/>
                <w:bCs/>
              </w:rPr>
              <w:t>Courriel:</w:t>
            </w:r>
          </w:p>
        </w:tc>
        <w:tc>
          <w:tcPr>
            <w:tcW w:w="3827" w:type="dxa"/>
            <w:gridSpan w:val="3"/>
          </w:tcPr>
          <w:p w14:paraId="5F0AE75E" w14:textId="77777777" w:rsidR="00517A03" w:rsidRPr="00C20D7E" w:rsidRDefault="004A3763" w:rsidP="00D44185">
            <w:pPr>
              <w:tabs>
                <w:tab w:val="left" w:pos="4111"/>
              </w:tabs>
              <w:spacing w:before="0"/>
              <w:ind w:left="57"/>
            </w:pPr>
            <w:hyperlink r:id="rId9" w:history="1">
              <w:r w:rsidR="006B04DE" w:rsidRPr="00C20D7E">
                <w:rPr>
                  <w:rStyle w:val="Hyperlink"/>
                </w:rPr>
                <w:t>tsbfgai4a@itu.int</w:t>
              </w:r>
            </w:hyperlink>
          </w:p>
        </w:tc>
        <w:tc>
          <w:tcPr>
            <w:tcW w:w="5111" w:type="dxa"/>
            <w:gridSpan w:val="3"/>
          </w:tcPr>
          <w:p w14:paraId="405AF896" w14:textId="77777777" w:rsidR="00517A03" w:rsidRPr="00C20D7E" w:rsidRDefault="006B04DE" w:rsidP="00D44185">
            <w:pPr>
              <w:tabs>
                <w:tab w:val="left" w:pos="4111"/>
              </w:tabs>
              <w:spacing w:before="0"/>
            </w:pPr>
            <w:r w:rsidRPr="00C20D7E">
              <w:rPr>
                <w:b/>
              </w:rPr>
              <w:t>Copie</w:t>
            </w:r>
            <w:r w:rsidRPr="00C20D7E">
              <w:t>:</w:t>
            </w:r>
          </w:p>
          <w:p w14:paraId="7CFF5A7F" w14:textId="2C83F4B8" w:rsidR="00517A03" w:rsidRPr="00C20D7E" w:rsidRDefault="006B04DE" w:rsidP="00D44185">
            <w:pPr>
              <w:tabs>
                <w:tab w:val="clear" w:pos="794"/>
                <w:tab w:val="left" w:pos="226"/>
                <w:tab w:val="left" w:pos="4111"/>
              </w:tabs>
              <w:spacing w:before="0"/>
              <w:ind w:left="226" w:hanging="226"/>
            </w:pPr>
            <w:r w:rsidRPr="00C20D7E">
              <w:t>-</w:t>
            </w:r>
            <w:r w:rsidRPr="00C20D7E">
              <w:tab/>
            </w:r>
            <w:r w:rsidR="00EE30E1" w:rsidRPr="00C20D7E">
              <w:t xml:space="preserve">Aux Présidents et Vice-Présidents des </w:t>
            </w:r>
            <w:r w:rsidR="006D7BA2">
              <w:t>C</w:t>
            </w:r>
            <w:r w:rsidR="00EE30E1" w:rsidRPr="00C20D7E">
              <w:t>ommissions d</w:t>
            </w:r>
            <w:r w:rsidR="00DC04B9" w:rsidRPr="00C20D7E">
              <w:t>'</w:t>
            </w:r>
            <w:r w:rsidR="00EE30E1" w:rsidRPr="00C20D7E">
              <w:t>études de l</w:t>
            </w:r>
            <w:r w:rsidR="00DC04B9" w:rsidRPr="00C20D7E">
              <w:t>'</w:t>
            </w:r>
            <w:r w:rsidR="00EE30E1" w:rsidRPr="00C20D7E">
              <w:t>UIT-T;</w:t>
            </w:r>
          </w:p>
          <w:p w14:paraId="6B3FA954" w14:textId="5ACC1992" w:rsidR="00517A03" w:rsidRPr="00C20D7E" w:rsidRDefault="006B04DE" w:rsidP="00D44185">
            <w:pPr>
              <w:tabs>
                <w:tab w:val="clear" w:pos="794"/>
                <w:tab w:val="left" w:pos="226"/>
                <w:tab w:val="left" w:pos="4111"/>
              </w:tabs>
              <w:spacing w:before="0"/>
              <w:ind w:left="226" w:hanging="226"/>
            </w:pPr>
            <w:r w:rsidRPr="00C20D7E">
              <w:t>-</w:t>
            </w:r>
            <w:r w:rsidRPr="00C20D7E">
              <w:tab/>
            </w:r>
            <w:r w:rsidR="00D86AB7" w:rsidRPr="00C20D7E">
              <w:t>à la Directrice</w:t>
            </w:r>
            <w:r w:rsidR="006D7BA2">
              <w:t xml:space="preserve"> du Bureau de développement des </w:t>
            </w:r>
            <w:r w:rsidR="00D86AB7" w:rsidRPr="00C20D7E">
              <w:t>télécommunications;</w:t>
            </w:r>
          </w:p>
          <w:p w14:paraId="044FEAA3" w14:textId="77777777" w:rsidR="00517A03" w:rsidRPr="00C20D7E" w:rsidRDefault="006B04DE" w:rsidP="00D44185">
            <w:pPr>
              <w:tabs>
                <w:tab w:val="clear" w:pos="794"/>
                <w:tab w:val="left" w:pos="226"/>
                <w:tab w:val="left" w:pos="4111"/>
              </w:tabs>
              <w:spacing w:before="0" w:after="120"/>
              <w:ind w:left="226" w:hanging="226"/>
            </w:pPr>
            <w:r w:rsidRPr="00C20D7E">
              <w:t>-</w:t>
            </w:r>
            <w:r w:rsidRPr="00C20D7E">
              <w:tab/>
            </w:r>
            <w:r w:rsidR="00186E8A" w:rsidRPr="00C20D7E">
              <w:t>au Directeur du Bureau des</w:t>
            </w:r>
            <w:r w:rsidR="00982181" w:rsidRPr="00C20D7E">
              <w:t xml:space="preserve"> </w:t>
            </w:r>
            <w:r w:rsidRPr="00C20D7E">
              <w:t>radiocommunications</w:t>
            </w:r>
          </w:p>
        </w:tc>
      </w:tr>
      <w:tr w:rsidR="00915648" w:rsidRPr="00C20D7E" w14:paraId="02F45811" w14:textId="77777777" w:rsidTr="006D7BA2">
        <w:trPr>
          <w:gridBefore w:val="1"/>
          <w:gridAfter w:val="1"/>
          <w:wBefore w:w="8" w:type="dxa"/>
          <w:wAfter w:w="8" w:type="dxa"/>
          <w:cantSplit/>
          <w:trHeight w:val="680"/>
          <w:jc w:val="center"/>
        </w:trPr>
        <w:tc>
          <w:tcPr>
            <w:tcW w:w="985" w:type="dxa"/>
          </w:tcPr>
          <w:p w14:paraId="750C9924" w14:textId="77777777" w:rsidR="00517A03" w:rsidRPr="00C20D7E" w:rsidRDefault="006B04DE" w:rsidP="006D7BA2">
            <w:pPr>
              <w:tabs>
                <w:tab w:val="left" w:pos="4111"/>
              </w:tabs>
              <w:ind w:left="57"/>
              <w:rPr>
                <w:b/>
                <w:bCs/>
                <w:szCs w:val="22"/>
              </w:rPr>
            </w:pPr>
            <w:r w:rsidRPr="00C20D7E">
              <w:rPr>
                <w:b/>
                <w:bCs/>
                <w:szCs w:val="22"/>
              </w:rPr>
              <w:t>Objet:</w:t>
            </w:r>
          </w:p>
        </w:tc>
        <w:tc>
          <w:tcPr>
            <w:tcW w:w="8930" w:type="dxa"/>
            <w:gridSpan w:val="5"/>
          </w:tcPr>
          <w:p w14:paraId="7F5BE1DA" w14:textId="7E51B6FC" w:rsidR="00517A03" w:rsidRPr="00C20D7E" w:rsidRDefault="001575A2" w:rsidP="006D7BA2">
            <w:pPr>
              <w:tabs>
                <w:tab w:val="left" w:pos="4111"/>
              </w:tabs>
              <w:ind w:left="57"/>
              <w:rPr>
                <w:b/>
                <w:bCs/>
                <w:szCs w:val="22"/>
              </w:rPr>
            </w:pPr>
            <w:r w:rsidRPr="00C20D7E">
              <w:rPr>
                <w:b/>
                <w:bCs/>
                <w:szCs w:val="22"/>
              </w:rPr>
              <w:t>Création d</w:t>
            </w:r>
            <w:r w:rsidR="00DC04B9" w:rsidRPr="00C20D7E">
              <w:rPr>
                <w:b/>
                <w:bCs/>
                <w:szCs w:val="22"/>
              </w:rPr>
              <w:t>'</w:t>
            </w:r>
            <w:r w:rsidRPr="00C20D7E">
              <w:rPr>
                <w:b/>
                <w:bCs/>
                <w:szCs w:val="22"/>
              </w:rPr>
              <w:t>un nouveau Groupe spécialisé de l</w:t>
            </w:r>
            <w:r w:rsidR="00DC04B9" w:rsidRPr="00C20D7E">
              <w:rPr>
                <w:b/>
                <w:bCs/>
                <w:szCs w:val="22"/>
              </w:rPr>
              <w:t>'</w:t>
            </w:r>
            <w:r w:rsidRPr="00C20D7E">
              <w:rPr>
                <w:b/>
                <w:bCs/>
                <w:szCs w:val="22"/>
              </w:rPr>
              <w:t>UIT-T sur l</w:t>
            </w:r>
            <w:r w:rsidR="00DC04B9" w:rsidRPr="00C20D7E">
              <w:rPr>
                <w:b/>
                <w:bCs/>
                <w:szCs w:val="22"/>
              </w:rPr>
              <w:t>'</w:t>
            </w:r>
            <w:r w:rsidRPr="00C20D7E">
              <w:rPr>
                <w:b/>
                <w:bCs/>
                <w:szCs w:val="22"/>
              </w:rPr>
              <w:t>intelligence artificielle (IA) et l</w:t>
            </w:r>
            <w:r w:rsidR="00DC04B9" w:rsidRPr="00C20D7E">
              <w:rPr>
                <w:b/>
                <w:bCs/>
                <w:szCs w:val="22"/>
              </w:rPr>
              <w:t>'</w:t>
            </w:r>
            <w:r w:rsidRPr="00C20D7E">
              <w:rPr>
                <w:b/>
                <w:bCs/>
                <w:szCs w:val="22"/>
              </w:rPr>
              <w:t>Internet des objets (IoT) au service de l</w:t>
            </w:r>
            <w:r w:rsidR="00DC04B9" w:rsidRPr="00C20D7E">
              <w:rPr>
                <w:b/>
                <w:bCs/>
                <w:szCs w:val="22"/>
              </w:rPr>
              <w:t>'</w:t>
            </w:r>
            <w:r w:rsidRPr="00C20D7E">
              <w:rPr>
                <w:b/>
                <w:bCs/>
                <w:szCs w:val="22"/>
              </w:rPr>
              <w:t>agriculture numérique (FG-AI4A) et première réunion de ce groupe, virtuelle, 30-31 mars 2022</w:t>
            </w:r>
          </w:p>
        </w:tc>
      </w:tr>
    </w:tbl>
    <w:p w14:paraId="72E33EFE" w14:textId="77777777" w:rsidR="00517A03" w:rsidRPr="00C20D7E" w:rsidRDefault="006B04DE" w:rsidP="00A308C7">
      <w:pPr>
        <w:pStyle w:val="Normalaftertitle"/>
      </w:pPr>
      <w:bookmarkStart w:id="1" w:name="StartTyping_F"/>
      <w:bookmarkEnd w:id="1"/>
      <w:r w:rsidRPr="00C20D7E">
        <w:t>Madame, Monsieur,</w:t>
      </w:r>
    </w:p>
    <w:p w14:paraId="12F486AC" w14:textId="4595BBDF" w:rsidR="00C0699C" w:rsidRPr="00C20D7E" w:rsidRDefault="006B04DE" w:rsidP="00D44185">
      <w:pPr>
        <w:rPr>
          <w:bCs/>
        </w:rPr>
      </w:pPr>
      <w:r w:rsidRPr="00C20D7E">
        <w:rPr>
          <w:bCs/>
        </w:rPr>
        <w:t>1</w:t>
      </w:r>
      <w:r w:rsidRPr="00C20D7E">
        <w:rPr>
          <w:bCs/>
        </w:rPr>
        <w:tab/>
      </w:r>
      <w:r w:rsidR="00260056" w:rsidRPr="00C20D7E">
        <w:rPr>
          <w:bCs/>
        </w:rPr>
        <w:t>À la suite de l</w:t>
      </w:r>
      <w:r w:rsidR="00DC04B9" w:rsidRPr="00C20D7E">
        <w:rPr>
          <w:bCs/>
        </w:rPr>
        <w:t>'</w:t>
      </w:r>
      <w:r w:rsidR="00260056" w:rsidRPr="00C20D7E">
        <w:rPr>
          <w:bCs/>
        </w:rPr>
        <w:t>accord donné par la Commission d</w:t>
      </w:r>
      <w:r w:rsidR="00DC04B9" w:rsidRPr="00C20D7E">
        <w:rPr>
          <w:bCs/>
        </w:rPr>
        <w:t>'</w:t>
      </w:r>
      <w:r w:rsidR="00260056" w:rsidRPr="00C20D7E">
        <w:rPr>
          <w:bCs/>
        </w:rPr>
        <w:t>études 20 de l</w:t>
      </w:r>
      <w:r w:rsidR="00DC04B9" w:rsidRPr="00C20D7E">
        <w:rPr>
          <w:bCs/>
        </w:rPr>
        <w:t>'</w:t>
      </w:r>
      <w:r w:rsidR="00260056" w:rsidRPr="00C20D7E">
        <w:rPr>
          <w:bCs/>
        </w:rPr>
        <w:t>UIT-T lors de sa réunion virtuelle (11-21 octobre 2021), j</w:t>
      </w:r>
      <w:r w:rsidR="00DC04B9" w:rsidRPr="00C20D7E">
        <w:rPr>
          <w:bCs/>
        </w:rPr>
        <w:t>'</w:t>
      </w:r>
      <w:r w:rsidR="00260056" w:rsidRPr="00C20D7E">
        <w:rPr>
          <w:bCs/>
        </w:rPr>
        <w:t>ai l</w:t>
      </w:r>
      <w:r w:rsidR="00DC04B9" w:rsidRPr="00C20D7E">
        <w:rPr>
          <w:bCs/>
        </w:rPr>
        <w:t>'</w:t>
      </w:r>
      <w:r w:rsidR="00260056" w:rsidRPr="00C20D7E">
        <w:rPr>
          <w:bCs/>
        </w:rPr>
        <w:t>honneur de vous annoncer la création d</w:t>
      </w:r>
      <w:r w:rsidR="00DC04B9" w:rsidRPr="00C20D7E">
        <w:rPr>
          <w:bCs/>
        </w:rPr>
        <w:t>'</w:t>
      </w:r>
      <w:r w:rsidR="00260056" w:rsidRPr="00C20D7E">
        <w:rPr>
          <w:bCs/>
        </w:rPr>
        <w:t xml:space="preserve">un nouveau </w:t>
      </w:r>
      <w:hyperlink r:id="rId10" w:history="1">
        <w:r w:rsidR="00260056" w:rsidRPr="00C20D7E">
          <w:rPr>
            <w:rStyle w:val="Hyperlink"/>
            <w:bCs/>
          </w:rPr>
          <w:t>Groupe spécialisé de l</w:t>
        </w:r>
        <w:r w:rsidR="00DC04B9" w:rsidRPr="00C20D7E">
          <w:rPr>
            <w:rStyle w:val="Hyperlink"/>
            <w:bCs/>
          </w:rPr>
          <w:t>'</w:t>
        </w:r>
        <w:r w:rsidR="00260056" w:rsidRPr="00C20D7E">
          <w:rPr>
            <w:rStyle w:val="Hyperlink"/>
            <w:bCs/>
          </w:rPr>
          <w:t>UIT-T sur l</w:t>
        </w:r>
        <w:r w:rsidR="00DC04B9" w:rsidRPr="00C20D7E">
          <w:rPr>
            <w:rStyle w:val="Hyperlink"/>
            <w:bCs/>
          </w:rPr>
          <w:t>'</w:t>
        </w:r>
        <w:r w:rsidR="00260056" w:rsidRPr="00C20D7E">
          <w:rPr>
            <w:rStyle w:val="Hyperlink"/>
            <w:bCs/>
          </w:rPr>
          <w:t>intelligence artificielle (IA) et l</w:t>
        </w:r>
        <w:r w:rsidR="00DC04B9" w:rsidRPr="00C20D7E">
          <w:rPr>
            <w:rStyle w:val="Hyperlink"/>
            <w:bCs/>
          </w:rPr>
          <w:t>'</w:t>
        </w:r>
        <w:r w:rsidR="00260056" w:rsidRPr="00C20D7E">
          <w:rPr>
            <w:rStyle w:val="Hyperlink"/>
            <w:bCs/>
          </w:rPr>
          <w:t>Internet des objets (IoT) au service de l</w:t>
        </w:r>
        <w:r w:rsidR="00DC04B9" w:rsidRPr="00C20D7E">
          <w:rPr>
            <w:rStyle w:val="Hyperlink"/>
            <w:bCs/>
          </w:rPr>
          <w:t>'</w:t>
        </w:r>
        <w:r w:rsidR="00260056" w:rsidRPr="00C20D7E">
          <w:rPr>
            <w:rStyle w:val="Hyperlink"/>
            <w:bCs/>
          </w:rPr>
          <w:t>agriculture numérique (FG-AI4A)</w:t>
        </w:r>
      </w:hyperlink>
      <w:r w:rsidR="00260056" w:rsidRPr="00C20D7E">
        <w:rPr>
          <w:rStyle w:val="Hyperlink"/>
          <w:bCs/>
          <w:color w:val="auto"/>
          <w:u w:val="none"/>
        </w:rPr>
        <w:t>.</w:t>
      </w:r>
    </w:p>
    <w:p w14:paraId="49DF2A5C" w14:textId="154BC136" w:rsidR="00C0699C" w:rsidRPr="00C20D7E" w:rsidRDefault="006B04DE" w:rsidP="00D44185">
      <w:pPr>
        <w:rPr>
          <w:bCs/>
        </w:rPr>
      </w:pPr>
      <w:r w:rsidRPr="00C20D7E">
        <w:rPr>
          <w:bCs/>
        </w:rPr>
        <w:t>2</w:t>
      </w:r>
      <w:r w:rsidRPr="00C20D7E">
        <w:rPr>
          <w:bCs/>
        </w:rPr>
        <w:tab/>
      </w:r>
      <w:r w:rsidR="009B0D7D" w:rsidRPr="00C20D7E">
        <w:rPr>
          <w:bCs/>
        </w:rPr>
        <w:t xml:space="preserve">Sous la présidence conjointe de M. Ramy Ahmed Fathy (Égypte) et de M. Sebastian Bosse (Fraunhofer HHI, Allemagne), le Groupe FG-AI4A étudie les possibilités </w:t>
      </w:r>
      <w:r w:rsidR="00D44185" w:rsidRPr="00C20D7E">
        <w:rPr>
          <w:bCs/>
        </w:rPr>
        <w:t>qu</w:t>
      </w:r>
      <w:r w:rsidR="00DC04B9" w:rsidRPr="00C20D7E">
        <w:rPr>
          <w:bCs/>
        </w:rPr>
        <w:t>'</w:t>
      </w:r>
      <w:r w:rsidR="00D44185" w:rsidRPr="00C20D7E">
        <w:rPr>
          <w:bCs/>
        </w:rPr>
        <w:t>offre l</w:t>
      </w:r>
      <w:r w:rsidR="00DC04B9" w:rsidRPr="00C20D7E">
        <w:rPr>
          <w:bCs/>
        </w:rPr>
        <w:t>'</w:t>
      </w:r>
      <w:r w:rsidR="00D44185" w:rsidRPr="00C20D7E">
        <w:rPr>
          <w:bCs/>
        </w:rPr>
        <w:t>utilisation des</w:t>
      </w:r>
      <w:r w:rsidR="009B0D7D" w:rsidRPr="00C20D7E">
        <w:rPr>
          <w:bCs/>
        </w:rPr>
        <w:t xml:space="preserve"> nouvelles technologies telles que l</w:t>
      </w:r>
      <w:r w:rsidR="00DC04B9" w:rsidRPr="00C20D7E">
        <w:rPr>
          <w:bCs/>
        </w:rPr>
        <w:t>'</w:t>
      </w:r>
      <w:r w:rsidR="009B0D7D" w:rsidRPr="00C20D7E">
        <w:rPr>
          <w:bCs/>
        </w:rPr>
        <w:t>IA et l</w:t>
      </w:r>
      <w:r w:rsidR="00DC04B9" w:rsidRPr="00C20D7E">
        <w:rPr>
          <w:bCs/>
        </w:rPr>
        <w:t>'</w:t>
      </w:r>
      <w:r w:rsidR="009B0D7D" w:rsidRPr="00C20D7E">
        <w:rPr>
          <w:bCs/>
        </w:rPr>
        <w:t>IoT en matière de classement et de traitement des données</w:t>
      </w:r>
      <w:r w:rsidR="00452526" w:rsidRPr="00C20D7E">
        <w:rPr>
          <w:bCs/>
        </w:rPr>
        <w:t>,</w:t>
      </w:r>
      <w:r w:rsidR="009B0D7D" w:rsidRPr="00C20D7E">
        <w:rPr>
          <w:bCs/>
        </w:rPr>
        <w:t xml:space="preserve"> </w:t>
      </w:r>
      <w:r w:rsidR="00452526" w:rsidRPr="00C20D7E">
        <w:rPr>
          <w:bCs/>
        </w:rPr>
        <w:t>qui</w:t>
      </w:r>
      <w:r w:rsidR="00D44185" w:rsidRPr="00C20D7E">
        <w:rPr>
          <w:bCs/>
        </w:rPr>
        <w:t xml:space="preserve"> </w:t>
      </w:r>
      <w:r w:rsidR="009B0D7D" w:rsidRPr="00C20D7E">
        <w:rPr>
          <w:bCs/>
        </w:rPr>
        <w:t>améliore</w:t>
      </w:r>
      <w:r w:rsidR="00452526" w:rsidRPr="00C20D7E">
        <w:rPr>
          <w:bCs/>
        </w:rPr>
        <w:t>nt</w:t>
      </w:r>
      <w:r w:rsidR="009B0D7D" w:rsidRPr="00C20D7E">
        <w:rPr>
          <w:bCs/>
        </w:rPr>
        <w:t xml:space="preserve"> la modélisation à partir d</w:t>
      </w:r>
      <w:r w:rsidR="00DC04B9" w:rsidRPr="00C20D7E">
        <w:rPr>
          <w:bCs/>
        </w:rPr>
        <w:t>'</w:t>
      </w:r>
      <w:r w:rsidR="009B0D7D" w:rsidRPr="00C20D7E">
        <w:rPr>
          <w:bCs/>
        </w:rPr>
        <w:t>un volume croissant de données agricoles et géospatiales, dans le but de permettre des interventions efficaces en ce qui concerne l</w:t>
      </w:r>
      <w:r w:rsidR="00DC04B9" w:rsidRPr="00C20D7E">
        <w:rPr>
          <w:bCs/>
        </w:rPr>
        <w:t>'</w:t>
      </w:r>
      <w:r w:rsidR="009B0D7D" w:rsidRPr="00C20D7E">
        <w:rPr>
          <w:bCs/>
        </w:rPr>
        <w:t>optimisation des processus de production agricole.</w:t>
      </w:r>
      <w:r w:rsidRPr="00C20D7E">
        <w:rPr>
          <w:bCs/>
        </w:rPr>
        <w:t xml:space="preserve"> </w:t>
      </w:r>
      <w:r w:rsidR="00C30B80" w:rsidRPr="00C20D7E">
        <w:rPr>
          <w:bCs/>
        </w:rPr>
        <w:t>L</w:t>
      </w:r>
      <w:r w:rsidR="00DC04B9" w:rsidRPr="00C20D7E">
        <w:rPr>
          <w:bCs/>
        </w:rPr>
        <w:t>'</w:t>
      </w:r>
      <w:r w:rsidR="00C30B80" w:rsidRPr="00C20D7E">
        <w:rPr>
          <w:bCs/>
        </w:rPr>
        <w:t xml:space="preserve">équipe de </w:t>
      </w:r>
      <w:r w:rsidR="00452526" w:rsidRPr="00C20D7E">
        <w:rPr>
          <w:bCs/>
        </w:rPr>
        <w:t xml:space="preserve">direction </w:t>
      </w:r>
      <w:r w:rsidR="00C30B80" w:rsidRPr="00C20D7E">
        <w:rPr>
          <w:bCs/>
        </w:rPr>
        <w:t xml:space="preserve">du Groupe FG-AI4A </w:t>
      </w:r>
      <w:r w:rsidR="00452526" w:rsidRPr="00C20D7E">
        <w:rPr>
          <w:bCs/>
        </w:rPr>
        <w:t xml:space="preserve">comprend </w:t>
      </w:r>
      <w:r w:rsidR="00C30B80" w:rsidRPr="00C20D7E">
        <w:rPr>
          <w:bCs/>
        </w:rPr>
        <w:t xml:space="preserve">en outre </w:t>
      </w:r>
      <w:r w:rsidR="00452526" w:rsidRPr="00C20D7E">
        <w:rPr>
          <w:bCs/>
        </w:rPr>
        <w:t>l</w:t>
      </w:r>
      <w:r w:rsidR="00C30B80" w:rsidRPr="00C20D7E">
        <w:rPr>
          <w:bCs/>
        </w:rPr>
        <w:t xml:space="preserve">es Vice-Présidents M. </w:t>
      </w:r>
      <w:proofErr w:type="spellStart"/>
      <w:r w:rsidR="00C30B80" w:rsidRPr="00C20D7E">
        <w:rPr>
          <w:bCs/>
        </w:rPr>
        <w:t>Chunlin</w:t>
      </w:r>
      <w:proofErr w:type="spellEnd"/>
      <w:r w:rsidR="00C30B80" w:rsidRPr="00C20D7E">
        <w:rPr>
          <w:bCs/>
        </w:rPr>
        <w:t xml:space="preserve"> </w:t>
      </w:r>
      <w:proofErr w:type="spellStart"/>
      <w:r w:rsidR="00C30B80" w:rsidRPr="00C20D7E">
        <w:rPr>
          <w:bCs/>
        </w:rPr>
        <w:t>Pang</w:t>
      </w:r>
      <w:proofErr w:type="spellEnd"/>
      <w:r w:rsidR="00C30B80" w:rsidRPr="00C20D7E">
        <w:rPr>
          <w:bCs/>
        </w:rPr>
        <w:t xml:space="preserve"> (</w:t>
      </w:r>
      <w:proofErr w:type="spellStart"/>
      <w:r w:rsidR="00C30B80" w:rsidRPr="00C20D7E">
        <w:rPr>
          <w:bCs/>
        </w:rPr>
        <w:t>Telematics</w:t>
      </w:r>
      <w:proofErr w:type="spellEnd"/>
      <w:r w:rsidR="00C30B80" w:rsidRPr="00C20D7E">
        <w:rPr>
          <w:bCs/>
        </w:rPr>
        <w:t xml:space="preserve"> </w:t>
      </w:r>
      <w:proofErr w:type="spellStart"/>
      <w:r w:rsidR="00C30B80" w:rsidRPr="00C20D7E">
        <w:rPr>
          <w:bCs/>
        </w:rPr>
        <w:t>industry</w:t>
      </w:r>
      <w:proofErr w:type="spellEnd"/>
      <w:r w:rsidR="00C30B80" w:rsidRPr="00C20D7E">
        <w:rPr>
          <w:bCs/>
        </w:rPr>
        <w:t xml:space="preserve"> Application Alliance-TIAA, Chine), M.</w:t>
      </w:r>
      <w:r w:rsidR="00D35C6B" w:rsidRPr="00C20D7E">
        <w:rPr>
          <w:bCs/>
        </w:rPr>
        <w:t> </w:t>
      </w:r>
      <w:proofErr w:type="spellStart"/>
      <w:r w:rsidR="00C30B80" w:rsidRPr="00C20D7E">
        <w:rPr>
          <w:bCs/>
        </w:rPr>
        <w:t>Zhongxin</w:t>
      </w:r>
      <w:proofErr w:type="spellEnd"/>
      <w:r w:rsidR="00C30B80" w:rsidRPr="00C20D7E">
        <w:rPr>
          <w:bCs/>
        </w:rPr>
        <w:t xml:space="preserve"> Chen (Organisation des Nations </w:t>
      </w:r>
      <w:r w:rsidR="00452526" w:rsidRPr="00C20D7E">
        <w:rPr>
          <w:bCs/>
        </w:rPr>
        <w:t>U</w:t>
      </w:r>
      <w:r w:rsidR="00C30B80" w:rsidRPr="00C20D7E">
        <w:rPr>
          <w:bCs/>
        </w:rPr>
        <w:t>nies pour l</w:t>
      </w:r>
      <w:r w:rsidR="00DC04B9" w:rsidRPr="00C20D7E">
        <w:rPr>
          <w:bCs/>
        </w:rPr>
        <w:t>'</w:t>
      </w:r>
      <w:r w:rsidR="00C30B80" w:rsidRPr="00C20D7E">
        <w:rPr>
          <w:bCs/>
        </w:rPr>
        <w:t>alimentation et l</w:t>
      </w:r>
      <w:r w:rsidR="00DC04B9" w:rsidRPr="00C20D7E">
        <w:rPr>
          <w:bCs/>
        </w:rPr>
        <w:t>'</w:t>
      </w:r>
      <w:r w:rsidR="00C30B80" w:rsidRPr="00C20D7E">
        <w:rPr>
          <w:bCs/>
        </w:rPr>
        <w:t xml:space="preserve">agriculture </w:t>
      </w:r>
      <w:r w:rsidR="006D7BA2">
        <w:rPr>
          <w:bCs/>
        </w:rPr>
        <w:t>–</w:t>
      </w:r>
      <w:r w:rsidR="00C30B80" w:rsidRPr="00C20D7E">
        <w:rPr>
          <w:bCs/>
        </w:rPr>
        <w:t xml:space="preserve"> FAO), M.</w:t>
      </w:r>
      <w:r w:rsidR="00D35C6B" w:rsidRPr="00C20D7E">
        <w:rPr>
          <w:bCs/>
        </w:rPr>
        <w:t> </w:t>
      </w:r>
      <w:r w:rsidR="00C30B80" w:rsidRPr="00C20D7E">
        <w:rPr>
          <w:bCs/>
        </w:rPr>
        <w:t>Gyu Myoung Lee (République de Corée) et M. Paolo Gemma (Huawei Technologies Co., Ltd.).</w:t>
      </w:r>
      <w:r w:rsidRPr="00C20D7E">
        <w:rPr>
          <w:bCs/>
        </w:rPr>
        <w:t xml:space="preserve"> </w:t>
      </w:r>
      <w:r w:rsidR="0065538C" w:rsidRPr="00C20D7E">
        <w:rPr>
          <w:bCs/>
        </w:rPr>
        <w:t xml:space="preserve">Les activités de ce </w:t>
      </w:r>
      <w:r w:rsidR="00452526" w:rsidRPr="00C20D7E">
        <w:rPr>
          <w:bCs/>
        </w:rPr>
        <w:t>G</w:t>
      </w:r>
      <w:r w:rsidR="0065538C" w:rsidRPr="00C20D7E">
        <w:rPr>
          <w:bCs/>
        </w:rPr>
        <w:t>roupe spécialisé seront menées en étroite collaboration avec la FAO.</w:t>
      </w:r>
    </w:p>
    <w:p w14:paraId="1168D5E7" w14:textId="52DEB596" w:rsidR="00C0699C" w:rsidRPr="00C20D7E" w:rsidRDefault="006B04DE" w:rsidP="00D44185">
      <w:pPr>
        <w:rPr>
          <w:bCs/>
        </w:rPr>
      </w:pPr>
      <w:r w:rsidRPr="00C20D7E">
        <w:rPr>
          <w:bCs/>
        </w:rPr>
        <w:t>3</w:t>
      </w:r>
      <w:r w:rsidRPr="00C20D7E">
        <w:rPr>
          <w:bCs/>
        </w:rPr>
        <w:tab/>
      </w:r>
      <w:r w:rsidR="008C5D99" w:rsidRPr="00C20D7E">
        <w:rPr>
          <w:bCs/>
        </w:rPr>
        <w:t>La participation aux travaux du Groupe FG-AI4A est gratuite et ouverte aux experts à titre individuel et aux organisations œuvrant dans tous les secteu</w:t>
      </w:r>
      <w:r w:rsidR="006D7BA2">
        <w:rPr>
          <w:bCs/>
        </w:rPr>
        <w:t>rs et les domaines concernés, y </w:t>
      </w:r>
      <w:r w:rsidR="008C5D99" w:rsidRPr="00C20D7E">
        <w:rPr>
          <w:bCs/>
        </w:rPr>
        <w:t>compris, mais pas uniquement, l</w:t>
      </w:r>
      <w:r w:rsidR="00DC04B9" w:rsidRPr="00C20D7E">
        <w:rPr>
          <w:bCs/>
        </w:rPr>
        <w:t>'</w:t>
      </w:r>
      <w:r w:rsidR="008C5D99" w:rsidRPr="00C20D7E">
        <w:rPr>
          <w:bCs/>
        </w:rPr>
        <w:t>intelligence ar</w:t>
      </w:r>
      <w:r w:rsidR="00982181" w:rsidRPr="00C20D7E">
        <w:rPr>
          <w:bCs/>
        </w:rPr>
        <w:t>tificielle</w:t>
      </w:r>
      <w:r w:rsidR="008C5D99" w:rsidRPr="00C20D7E">
        <w:rPr>
          <w:bCs/>
        </w:rPr>
        <w:t xml:space="preserve"> et l</w:t>
      </w:r>
      <w:r w:rsidR="00DC04B9" w:rsidRPr="00C20D7E">
        <w:rPr>
          <w:bCs/>
        </w:rPr>
        <w:t>'</w:t>
      </w:r>
      <w:r w:rsidR="008C5D99" w:rsidRPr="00C20D7E">
        <w:rPr>
          <w:bCs/>
        </w:rPr>
        <w:t>apprentissage automatique (IA/ML), l</w:t>
      </w:r>
      <w:r w:rsidR="00DC04B9" w:rsidRPr="00C20D7E">
        <w:rPr>
          <w:bCs/>
        </w:rPr>
        <w:t>'</w:t>
      </w:r>
      <w:r w:rsidR="008C5D99" w:rsidRPr="00C20D7E">
        <w:rPr>
          <w:bCs/>
        </w:rPr>
        <w:t>Internet des objets (IoT), les sciences agricoles</w:t>
      </w:r>
      <w:r w:rsidR="00452526" w:rsidRPr="00C20D7E">
        <w:rPr>
          <w:bCs/>
        </w:rPr>
        <w:t>,</w:t>
      </w:r>
      <w:r w:rsidR="008C5D99" w:rsidRPr="00C20D7E">
        <w:rPr>
          <w:bCs/>
        </w:rPr>
        <w:t xml:space="preserve"> ainsi que d</w:t>
      </w:r>
      <w:r w:rsidR="00DC04B9" w:rsidRPr="00C20D7E">
        <w:rPr>
          <w:bCs/>
        </w:rPr>
        <w:t>'</w:t>
      </w:r>
      <w:r w:rsidR="008C5D99" w:rsidRPr="00C20D7E">
        <w:rPr>
          <w:bCs/>
        </w:rPr>
        <w:t xml:space="preserve">autres domaines </w:t>
      </w:r>
      <w:r w:rsidR="007C3C7D" w:rsidRPr="00C20D7E">
        <w:rPr>
          <w:bCs/>
        </w:rPr>
        <w:t>connexes</w:t>
      </w:r>
      <w:r w:rsidR="008C5D99" w:rsidRPr="00C20D7E">
        <w:rPr>
          <w:bCs/>
        </w:rPr>
        <w:t xml:space="preserve"> de l</w:t>
      </w:r>
      <w:r w:rsidR="00DC04B9" w:rsidRPr="00C20D7E">
        <w:rPr>
          <w:bCs/>
        </w:rPr>
        <w:t>'</w:t>
      </w:r>
      <w:r w:rsidR="008C5D99" w:rsidRPr="00C20D7E">
        <w:rPr>
          <w:bCs/>
        </w:rPr>
        <w:t>agriculture numérique.</w:t>
      </w:r>
      <w:r w:rsidRPr="00C20D7E">
        <w:rPr>
          <w:bCs/>
        </w:rPr>
        <w:t xml:space="preserve"> </w:t>
      </w:r>
      <w:r w:rsidR="004D51C9" w:rsidRPr="00C20D7E">
        <w:rPr>
          <w:bCs/>
        </w:rPr>
        <w:t>Les personnes qui souhaitent suivre ces travaux ou y participer sont invitées à s</w:t>
      </w:r>
      <w:r w:rsidR="00DC04B9" w:rsidRPr="00C20D7E">
        <w:rPr>
          <w:bCs/>
        </w:rPr>
        <w:t>'</w:t>
      </w:r>
      <w:r w:rsidR="004D51C9" w:rsidRPr="00C20D7E">
        <w:rPr>
          <w:bCs/>
        </w:rPr>
        <w:t>inscrire sur une liste de diffusion dédiée;</w:t>
      </w:r>
      <w:r w:rsidRPr="00C20D7E">
        <w:rPr>
          <w:bCs/>
        </w:rPr>
        <w:t xml:space="preserve"> </w:t>
      </w:r>
      <w:r w:rsidR="00092DDB" w:rsidRPr="00C20D7E">
        <w:rPr>
          <w:bCs/>
        </w:rPr>
        <w:t>des précisions sur les modalités d</w:t>
      </w:r>
      <w:r w:rsidR="00DC04B9" w:rsidRPr="00C20D7E">
        <w:rPr>
          <w:bCs/>
        </w:rPr>
        <w:t>'</w:t>
      </w:r>
      <w:r w:rsidR="00092DDB" w:rsidRPr="00C20D7E">
        <w:rPr>
          <w:bCs/>
        </w:rPr>
        <w:t>inscription sont disponibles à l</w:t>
      </w:r>
      <w:r w:rsidR="00DC04B9" w:rsidRPr="00C20D7E">
        <w:rPr>
          <w:bCs/>
        </w:rPr>
        <w:t>'</w:t>
      </w:r>
      <w:r w:rsidR="00092DDB" w:rsidRPr="00C20D7E">
        <w:rPr>
          <w:bCs/>
        </w:rPr>
        <w:t xml:space="preserve">adresse </w:t>
      </w:r>
      <w:hyperlink r:id="rId11" w:history="1">
        <w:r w:rsidR="00092DDB" w:rsidRPr="00C20D7E">
          <w:rPr>
            <w:rStyle w:val="Hyperlink"/>
            <w:bCs/>
          </w:rPr>
          <w:t>https://www.itu.int/en/ITU-T/focusgroups/ai4a/Pages/quicksteps.aspx</w:t>
        </w:r>
      </w:hyperlink>
      <w:r w:rsidR="00092DDB" w:rsidRPr="00C20D7E">
        <w:rPr>
          <w:rStyle w:val="Hyperlink"/>
          <w:bCs/>
          <w:color w:val="auto"/>
          <w:u w:val="none"/>
        </w:rPr>
        <w:t>.</w:t>
      </w:r>
    </w:p>
    <w:p w14:paraId="7DE2C785" w14:textId="0C15A552" w:rsidR="00036F4F" w:rsidRPr="00C20D7E" w:rsidRDefault="006B04DE" w:rsidP="00D44185">
      <w:pPr>
        <w:rPr>
          <w:bCs/>
        </w:rPr>
      </w:pPr>
      <w:r w:rsidRPr="00C20D7E">
        <w:rPr>
          <w:bCs/>
        </w:rPr>
        <w:lastRenderedPageBreak/>
        <w:t>4</w:t>
      </w:r>
      <w:r w:rsidRPr="00C20D7E">
        <w:rPr>
          <w:bCs/>
        </w:rPr>
        <w:tab/>
        <w:t xml:space="preserve">Le </w:t>
      </w:r>
      <w:r w:rsidR="007C3C7D" w:rsidRPr="00C20D7E">
        <w:rPr>
          <w:bCs/>
        </w:rPr>
        <w:t>g</w:t>
      </w:r>
      <w:r w:rsidRPr="00C20D7E">
        <w:rPr>
          <w:bCs/>
        </w:rPr>
        <w:t xml:space="preserve">roupe exercera ses activités conformément aux procédures exposées dans la </w:t>
      </w:r>
      <w:hyperlink r:id="rId12" w:history="1">
        <w:r w:rsidRPr="00C20D7E">
          <w:rPr>
            <w:rStyle w:val="Hyperlink"/>
            <w:bCs/>
          </w:rPr>
          <w:t>Recommandation UIT-T A.7</w:t>
        </w:r>
      </w:hyperlink>
      <w:r w:rsidRPr="00C20D7E">
        <w:rPr>
          <w:bCs/>
        </w:rPr>
        <w:t xml:space="preserve"> et dans le cadre du mandat approuvé reproduit dans l</w:t>
      </w:r>
      <w:r w:rsidR="00DC04B9" w:rsidRPr="00C20D7E">
        <w:rPr>
          <w:bCs/>
        </w:rPr>
        <w:t>'</w:t>
      </w:r>
      <w:r w:rsidRPr="00C20D7E">
        <w:rPr>
          <w:b/>
          <w:bCs/>
        </w:rPr>
        <w:t>Annexe 1</w:t>
      </w:r>
      <w:r w:rsidRPr="00C20D7E">
        <w:rPr>
          <w:bCs/>
        </w:rPr>
        <w:t>. La durée du mandat du Groupe spécialisé est d</w:t>
      </w:r>
      <w:r w:rsidR="00DC04B9" w:rsidRPr="00C20D7E">
        <w:rPr>
          <w:bCs/>
        </w:rPr>
        <w:t>'</w:t>
      </w:r>
      <w:r w:rsidRPr="00C20D7E">
        <w:rPr>
          <w:bCs/>
        </w:rPr>
        <w:t>un an à compter de la première réunion du Groupe.</w:t>
      </w:r>
    </w:p>
    <w:p w14:paraId="000D39E6" w14:textId="5AE47FA5" w:rsidR="00036F4F" w:rsidRPr="00C20D7E" w:rsidRDefault="006B04DE" w:rsidP="00D44185">
      <w:pPr>
        <w:rPr>
          <w:bCs/>
        </w:rPr>
      </w:pPr>
      <w:r w:rsidRPr="00C20D7E">
        <w:rPr>
          <w:bCs/>
        </w:rPr>
        <w:t>5</w:t>
      </w:r>
      <w:r w:rsidRPr="00C20D7E">
        <w:rPr>
          <w:bCs/>
        </w:rPr>
        <w:tab/>
      </w:r>
      <w:r w:rsidR="00E2023F" w:rsidRPr="00C20D7E">
        <w:rPr>
          <w:bCs/>
        </w:rPr>
        <w:t>La première réunion du Groupe FG-AI4A se tiendra</w:t>
      </w:r>
      <w:r w:rsidR="006D7BA2">
        <w:rPr>
          <w:bCs/>
        </w:rPr>
        <w:t xml:space="preserve"> de manière virtuelle les 30 et </w:t>
      </w:r>
      <w:r w:rsidR="00E2023F" w:rsidRPr="00C20D7E">
        <w:rPr>
          <w:bCs/>
        </w:rPr>
        <w:t>31</w:t>
      </w:r>
      <w:r w:rsidR="00957EAB" w:rsidRPr="00C20D7E">
        <w:rPr>
          <w:bCs/>
        </w:rPr>
        <w:t> </w:t>
      </w:r>
      <w:r w:rsidR="00E2023F" w:rsidRPr="00C20D7E">
        <w:rPr>
          <w:bCs/>
        </w:rPr>
        <w:t>mars</w:t>
      </w:r>
      <w:r w:rsidR="00957EAB" w:rsidRPr="00C20D7E">
        <w:rPr>
          <w:bCs/>
        </w:rPr>
        <w:t> </w:t>
      </w:r>
      <w:r w:rsidR="00E2023F" w:rsidRPr="00C20D7E">
        <w:rPr>
          <w:bCs/>
        </w:rPr>
        <w:t>2022, de 13 h 00 à 16 h 00, heure de Genève.</w:t>
      </w:r>
      <w:r w:rsidRPr="00C20D7E">
        <w:rPr>
          <w:bCs/>
        </w:rPr>
        <w:t xml:space="preserve"> Les objectifs de la première réunion sont les suivants:</w:t>
      </w:r>
    </w:p>
    <w:p w14:paraId="1672D458" w14:textId="323549FC" w:rsidR="00A96618" w:rsidRPr="00C20D7E" w:rsidRDefault="006B04DE" w:rsidP="00D44185">
      <w:pPr>
        <w:pStyle w:val="enumlev1"/>
      </w:pPr>
      <w:r w:rsidRPr="00C20D7E">
        <w:t>–</w:t>
      </w:r>
      <w:r w:rsidRPr="00C20D7E">
        <w:tab/>
      </w:r>
      <w:r w:rsidR="006D7BA2">
        <w:t>A</w:t>
      </w:r>
      <w:r w:rsidR="00F439A4" w:rsidRPr="00C20D7E">
        <w:t>pprobation du programme de travail, de la structure et des produits du Groupe FG-AI4A</w:t>
      </w:r>
      <w:r w:rsidR="006D7BA2">
        <w:t>.</w:t>
      </w:r>
    </w:p>
    <w:p w14:paraId="4E48F8C1" w14:textId="37B146FD" w:rsidR="00A96618" w:rsidRPr="00C20D7E" w:rsidRDefault="006B04DE" w:rsidP="00D44185">
      <w:pPr>
        <w:pStyle w:val="enumlev1"/>
      </w:pPr>
      <w:r w:rsidRPr="00C20D7E">
        <w:t>–</w:t>
      </w:r>
      <w:r w:rsidRPr="00C20D7E">
        <w:tab/>
      </w:r>
      <w:r w:rsidR="006D7BA2">
        <w:t>A</w:t>
      </w:r>
      <w:r w:rsidR="00CD4F1C" w:rsidRPr="00C20D7E">
        <w:t>pprobation des méthodes de travail du Groupe FG-AI4A, sur la base de la Recommandation UIT-T A.7</w:t>
      </w:r>
      <w:r w:rsidR="006D7BA2">
        <w:t>.</w:t>
      </w:r>
    </w:p>
    <w:p w14:paraId="607BE1DE" w14:textId="1A3C91BF" w:rsidR="00A96618" w:rsidRPr="00C20D7E" w:rsidRDefault="006B04DE" w:rsidP="00D44185">
      <w:pPr>
        <w:pStyle w:val="enumlev1"/>
      </w:pPr>
      <w:r w:rsidRPr="00C20D7E">
        <w:t>–</w:t>
      </w:r>
      <w:r w:rsidRPr="00C20D7E">
        <w:tab/>
      </w:r>
      <w:r w:rsidR="006D7BA2">
        <w:t>A</w:t>
      </w:r>
      <w:r w:rsidR="00D64763" w:rsidRPr="00C20D7E">
        <w:t>pprobation du calendrier des résultats du Groupe FG-AI4A</w:t>
      </w:r>
      <w:r w:rsidR="006D7BA2">
        <w:t>.</w:t>
      </w:r>
    </w:p>
    <w:p w14:paraId="0B94DC8A" w14:textId="75FB0E83" w:rsidR="00A96618" w:rsidRPr="00C20D7E" w:rsidRDefault="006B04DE" w:rsidP="00D44185">
      <w:pPr>
        <w:pStyle w:val="enumlev1"/>
      </w:pPr>
      <w:r w:rsidRPr="00C20D7E">
        <w:t>–</w:t>
      </w:r>
      <w:r w:rsidRPr="00C20D7E">
        <w:tab/>
      </w:r>
      <w:r w:rsidR="006D7BA2">
        <w:t>A</w:t>
      </w:r>
      <w:r w:rsidR="006F580F" w:rsidRPr="00C20D7E">
        <w:t>pprobation du programme des futures réunions du Groupe FG-AI4A, y compris la fréquence des réunions</w:t>
      </w:r>
      <w:r w:rsidR="006D7BA2">
        <w:t>.</w:t>
      </w:r>
    </w:p>
    <w:p w14:paraId="68DD5A45" w14:textId="7C1C89E6" w:rsidR="00A96618" w:rsidRPr="00C20D7E" w:rsidRDefault="006B04DE" w:rsidP="00D44185">
      <w:pPr>
        <w:pStyle w:val="enumlev1"/>
      </w:pPr>
      <w:r w:rsidRPr="00C20D7E">
        <w:t>–</w:t>
      </w:r>
      <w:r w:rsidRPr="00C20D7E">
        <w:tab/>
      </w:r>
      <w:r w:rsidR="006D7BA2">
        <w:t>E</w:t>
      </w:r>
      <w:r w:rsidR="00A12667" w:rsidRPr="00C20D7E">
        <w:t>xamen et présentation de</w:t>
      </w:r>
      <w:r w:rsidR="0085212B" w:rsidRPr="00C20D7E">
        <w:t>s</w:t>
      </w:r>
      <w:r w:rsidR="00A12667" w:rsidRPr="00C20D7E">
        <w:t xml:space="preserve"> contributions écrites</w:t>
      </w:r>
      <w:r w:rsidR="0085212B" w:rsidRPr="00C20D7E">
        <w:t>, y compris</w:t>
      </w:r>
      <w:r w:rsidR="00A12667" w:rsidRPr="00C20D7E">
        <w:t xml:space="preserve"> </w:t>
      </w:r>
      <w:r w:rsidR="0085212B" w:rsidRPr="00C20D7E">
        <w:t>les</w:t>
      </w:r>
      <w:r w:rsidR="00A12667" w:rsidRPr="00C20D7E">
        <w:t xml:space="preserve"> cas d</w:t>
      </w:r>
      <w:r w:rsidR="00DC04B9" w:rsidRPr="00C20D7E">
        <w:t>'</w:t>
      </w:r>
      <w:r w:rsidR="00A12667" w:rsidRPr="00C20D7E">
        <w:t>utilisation</w:t>
      </w:r>
      <w:r w:rsidR="006D7BA2">
        <w:t>.</w:t>
      </w:r>
    </w:p>
    <w:p w14:paraId="0EDCF57E" w14:textId="25BB68B8" w:rsidR="00A96618" w:rsidRPr="00C20D7E" w:rsidRDefault="006B04DE" w:rsidP="00D44185">
      <w:pPr>
        <w:pStyle w:val="enumlev1"/>
      </w:pPr>
      <w:r w:rsidRPr="00C20D7E">
        <w:t>–</w:t>
      </w:r>
      <w:r w:rsidRPr="00C20D7E">
        <w:tab/>
      </w:r>
      <w:r w:rsidR="006D7BA2">
        <w:t>N</w:t>
      </w:r>
      <w:r w:rsidR="00165731" w:rsidRPr="00C20D7E">
        <w:t>omination de l</w:t>
      </w:r>
      <w:r w:rsidR="00DC04B9" w:rsidRPr="00C20D7E">
        <w:t>'</w:t>
      </w:r>
      <w:r w:rsidR="00165731" w:rsidRPr="00C20D7E">
        <w:t xml:space="preserve">équipe de direction du Groupe FG-AI4A, y compris </w:t>
      </w:r>
      <w:r w:rsidR="0085212B" w:rsidRPr="00C20D7E">
        <w:t>les</w:t>
      </w:r>
      <w:r w:rsidR="00165731" w:rsidRPr="00C20D7E">
        <w:t xml:space="preserve"> vice-présidents.</w:t>
      </w:r>
    </w:p>
    <w:p w14:paraId="4DC28FE1" w14:textId="4A2D82E1" w:rsidR="00A96618" w:rsidRPr="00C20D7E" w:rsidRDefault="00A36CC0" w:rsidP="00D44185">
      <w:r w:rsidRPr="00C20D7E">
        <w:rPr>
          <w:szCs w:val="24"/>
        </w:rPr>
        <w:t>La première réunion sera précédée</w:t>
      </w:r>
      <w:r w:rsidR="00452526" w:rsidRPr="00C20D7E">
        <w:rPr>
          <w:szCs w:val="24"/>
        </w:rPr>
        <w:t>, le 29 mars 2022,</w:t>
      </w:r>
      <w:r w:rsidRPr="00C20D7E">
        <w:rPr>
          <w:szCs w:val="24"/>
        </w:rPr>
        <w:t xml:space="preserve"> par un webinaire intitulé "</w:t>
      </w:r>
      <w:r w:rsidRPr="00C20D7E">
        <w:rPr>
          <w:b/>
          <w:i/>
          <w:iCs/>
          <w:szCs w:val="24"/>
        </w:rPr>
        <w:t xml:space="preserve">Accélérer la transformation </w:t>
      </w:r>
      <w:r w:rsidR="0085212B" w:rsidRPr="00C20D7E">
        <w:rPr>
          <w:b/>
          <w:i/>
          <w:iCs/>
          <w:szCs w:val="24"/>
        </w:rPr>
        <w:t>numérique</w:t>
      </w:r>
      <w:r w:rsidRPr="00C20D7E">
        <w:rPr>
          <w:b/>
          <w:i/>
          <w:iCs/>
          <w:szCs w:val="24"/>
        </w:rPr>
        <w:t xml:space="preserve"> de l</w:t>
      </w:r>
      <w:r w:rsidR="00DC04B9" w:rsidRPr="00C20D7E">
        <w:rPr>
          <w:b/>
          <w:i/>
          <w:iCs/>
          <w:szCs w:val="24"/>
        </w:rPr>
        <w:t>'</w:t>
      </w:r>
      <w:r w:rsidRPr="00C20D7E">
        <w:rPr>
          <w:b/>
          <w:i/>
          <w:iCs/>
          <w:szCs w:val="24"/>
        </w:rPr>
        <w:t>agriculture au moyen de l</w:t>
      </w:r>
      <w:r w:rsidR="00DC04B9" w:rsidRPr="00C20D7E">
        <w:rPr>
          <w:b/>
          <w:i/>
          <w:iCs/>
          <w:szCs w:val="24"/>
        </w:rPr>
        <w:t>'</w:t>
      </w:r>
      <w:r w:rsidRPr="00C20D7E">
        <w:rPr>
          <w:b/>
          <w:i/>
          <w:iCs/>
          <w:szCs w:val="24"/>
        </w:rPr>
        <w:t>intelligence artificielle et de l</w:t>
      </w:r>
      <w:r w:rsidR="00DC04B9" w:rsidRPr="00C20D7E">
        <w:rPr>
          <w:b/>
          <w:i/>
          <w:iCs/>
          <w:szCs w:val="24"/>
        </w:rPr>
        <w:t>'</w:t>
      </w:r>
      <w:r w:rsidRPr="00C20D7E">
        <w:rPr>
          <w:b/>
          <w:i/>
          <w:iCs/>
          <w:szCs w:val="24"/>
        </w:rPr>
        <w:t>Internet des objets</w:t>
      </w:r>
      <w:r w:rsidRPr="00C20D7E">
        <w:rPr>
          <w:szCs w:val="24"/>
        </w:rPr>
        <w:t xml:space="preserve">" organisé dans le cadre de la </w:t>
      </w:r>
      <w:hyperlink r:id="rId13" w:history="1">
        <w:r w:rsidRPr="00C20D7E">
          <w:rPr>
            <w:rStyle w:val="Hyperlink"/>
            <w:rFonts w:cs="Calibri"/>
            <w:szCs w:val="24"/>
          </w:rPr>
          <w:t>série de webinaires sur la transformation numérique des villes et des communautés</w:t>
        </w:r>
      </w:hyperlink>
      <w:r w:rsidRPr="00C20D7E">
        <w:rPr>
          <w:rStyle w:val="Hyperlink"/>
          <w:rFonts w:cs="Calibri"/>
          <w:color w:val="auto"/>
          <w:szCs w:val="24"/>
          <w:u w:val="none"/>
        </w:rPr>
        <w:t>.</w:t>
      </w:r>
    </w:p>
    <w:p w14:paraId="3C1691EA" w14:textId="6DB7E8B8" w:rsidR="00A96618" w:rsidRPr="00C20D7E" w:rsidRDefault="006B04DE" w:rsidP="00D44185">
      <w:pPr>
        <w:rPr>
          <w:bCs/>
        </w:rPr>
      </w:pPr>
      <w:r w:rsidRPr="00C20D7E">
        <w:rPr>
          <w:bCs/>
        </w:rPr>
        <w:t>6</w:t>
      </w:r>
      <w:r w:rsidRPr="00C20D7E">
        <w:rPr>
          <w:bCs/>
        </w:rPr>
        <w:tab/>
      </w:r>
      <w:r w:rsidR="00633292" w:rsidRPr="00C20D7E">
        <w:rPr>
          <w:bCs/>
        </w:rPr>
        <w:t>Les contributions écrites contribuent au succès final des travaux des groupes spécialisés – et sont vivement sollicitées conformément au mandat défini dans l</w:t>
      </w:r>
      <w:r w:rsidR="00DC04B9" w:rsidRPr="00C20D7E">
        <w:rPr>
          <w:bCs/>
        </w:rPr>
        <w:t>'</w:t>
      </w:r>
      <w:r w:rsidR="00633292" w:rsidRPr="00C20D7E">
        <w:rPr>
          <w:b/>
          <w:bCs/>
        </w:rPr>
        <w:t>Annexe 1</w:t>
      </w:r>
      <w:r w:rsidR="00633292" w:rsidRPr="00C20D7E">
        <w:rPr>
          <w:bCs/>
        </w:rPr>
        <w:t xml:space="preserve"> – ainsi qu</w:t>
      </w:r>
      <w:r w:rsidR="00DC04B9" w:rsidRPr="00C20D7E">
        <w:rPr>
          <w:bCs/>
        </w:rPr>
        <w:t>'</w:t>
      </w:r>
      <w:r w:rsidR="00633292" w:rsidRPr="00C20D7E">
        <w:rPr>
          <w:bCs/>
        </w:rPr>
        <w:t>à la réalisation des objectifs présentés ci-dessus et à l</w:t>
      </w:r>
      <w:r w:rsidR="00DC04B9" w:rsidRPr="00C20D7E">
        <w:rPr>
          <w:bCs/>
        </w:rPr>
        <w:t>'</w:t>
      </w:r>
      <w:r w:rsidR="00633292" w:rsidRPr="00C20D7E">
        <w:rPr>
          <w:bCs/>
        </w:rPr>
        <w:t>établissement d</w:t>
      </w:r>
      <w:r w:rsidR="00DC04B9" w:rsidRPr="00C20D7E">
        <w:rPr>
          <w:bCs/>
        </w:rPr>
        <w:t>'</w:t>
      </w:r>
      <w:r w:rsidR="00633292" w:rsidRPr="00C20D7E">
        <w:rPr>
          <w:bCs/>
        </w:rPr>
        <w:t>un premier calendrier d</w:t>
      </w:r>
      <w:r w:rsidR="00DC04B9" w:rsidRPr="00C20D7E">
        <w:rPr>
          <w:bCs/>
        </w:rPr>
        <w:t>'</w:t>
      </w:r>
      <w:r w:rsidR="00633292" w:rsidRPr="00C20D7E">
        <w:rPr>
          <w:bCs/>
        </w:rPr>
        <w:t>élaboration des produits.</w:t>
      </w:r>
      <w:r w:rsidRPr="00C20D7E">
        <w:rPr>
          <w:bCs/>
        </w:rPr>
        <w:t xml:space="preserve"> </w:t>
      </w:r>
      <w:r w:rsidR="006F5921" w:rsidRPr="00C20D7E">
        <w:rPr>
          <w:bCs/>
        </w:rPr>
        <w:t>Les contributions écrites doivent être soumises au secrétariat du TSB (</w:t>
      </w:r>
      <w:hyperlink r:id="rId14" w:history="1">
        <w:r w:rsidR="006F5921" w:rsidRPr="00C20D7E">
          <w:rPr>
            <w:rStyle w:val="Hyperlink"/>
          </w:rPr>
          <w:t>tsbfgai4a@itu.int</w:t>
        </w:r>
      </w:hyperlink>
      <w:r w:rsidR="006F5921" w:rsidRPr="00C20D7E">
        <w:rPr>
          <w:rStyle w:val="Hyperlink"/>
          <w:color w:val="auto"/>
          <w:u w:val="none"/>
        </w:rPr>
        <w:t xml:space="preserve">) sous forme électronique en utilisant les gabarits disponibles sur la </w:t>
      </w:r>
      <w:hyperlink r:id="rId15" w:history="1">
        <w:r w:rsidR="006F5921" w:rsidRPr="00C20D7E">
          <w:rPr>
            <w:rStyle w:val="Hyperlink"/>
          </w:rPr>
          <w:t>page d</w:t>
        </w:r>
        <w:r w:rsidR="00DC04B9" w:rsidRPr="00C20D7E">
          <w:rPr>
            <w:rStyle w:val="Hyperlink"/>
          </w:rPr>
          <w:t>'</w:t>
        </w:r>
        <w:r w:rsidR="006F5921" w:rsidRPr="00C20D7E">
          <w:rPr>
            <w:rStyle w:val="Hyperlink"/>
          </w:rPr>
          <w:t>accueil du Groupe FG-AI4A</w:t>
        </w:r>
      </w:hyperlink>
      <w:r w:rsidR="006F5921" w:rsidRPr="00C20D7E">
        <w:rPr>
          <w:rStyle w:val="Hyperlink"/>
          <w:color w:val="auto"/>
          <w:u w:val="none"/>
        </w:rPr>
        <w:t>.</w:t>
      </w:r>
      <w:r w:rsidRPr="00C20D7E">
        <w:rPr>
          <w:bCs/>
        </w:rPr>
        <w:t xml:space="preserve"> </w:t>
      </w:r>
      <w:r w:rsidR="00424C8C" w:rsidRPr="00C20D7E">
        <w:rPr>
          <w:b/>
          <w:bCs/>
        </w:rPr>
        <w:t>La date limite de soumission des contributions à la première réunion est le 18 mars 2022.</w:t>
      </w:r>
    </w:p>
    <w:p w14:paraId="48E89C6B" w14:textId="53F68499" w:rsidR="00A96618" w:rsidRPr="00C20D7E" w:rsidRDefault="006B04DE" w:rsidP="00D44185">
      <w:r w:rsidRPr="00C20D7E">
        <w:t>7</w:t>
      </w:r>
      <w:r w:rsidRPr="00C20D7E">
        <w:tab/>
      </w:r>
      <w:r w:rsidR="00965B7C" w:rsidRPr="00C20D7E">
        <w:t>L</w:t>
      </w:r>
      <w:r w:rsidR="00DC04B9" w:rsidRPr="00C20D7E">
        <w:t>'</w:t>
      </w:r>
      <w:r w:rsidR="00965B7C" w:rsidRPr="00C20D7E">
        <w:t>ordre du jour de la réunion, les documents et d</w:t>
      </w:r>
      <w:r w:rsidR="00DC04B9" w:rsidRPr="00C20D7E">
        <w:t>'</w:t>
      </w:r>
      <w:r w:rsidR="00965B7C" w:rsidRPr="00C20D7E">
        <w:t xml:space="preserve">autres informations pratiques seront disponibles sur la </w:t>
      </w:r>
      <w:hyperlink r:id="rId16" w:history="1">
        <w:r w:rsidR="00965B7C" w:rsidRPr="00C20D7E">
          <w:rPr>
            <w:rStyle w:val="Hyperlink"/>
          </w:rPr>
          <w:t>page d</w:t>
        </w:r>
        <w:r w:rsidR="00DC04B9" w:rsidRPr="00C20D7E">
          <w:rPr>
            <w:rStyle w:val="Hyperlink"/>
          </w:rPr>
          <w:t>'</w:t>
        </w:r>
        <w:r w:rsidR="00965B7C" w:rsidRPr="00C20D7E">
          <w:rPr>
            <w:rStyle w:val="Hyperlink"/>
          </w:rPr>
          <w:t>accueil du Groupe FG-AI4A</w:t>
        </w:r>
      </w:hyperlink>
      <w:r w:rsidR="00965B7C" w:rsidRPr="00C20D7E">
        <w:rPr>
          <w:rStyle w:val="Hyperlink"/>
          <w:color w:val="auto"/>
          <w:u w:val="none"/>
        </w:rPr>
        <w:t xml:space="preserve"> avant la réunion.</w:t>
      </w:r>
      <w:r w:rsidRPr="00C20D7E">
        <w:t xml:space="preserve"> </w:t>
      </w:r>
      <w:r w:rsidR="00213E39" w:rsidRPr="00C20D7E">
        <w:t xml:space="preserve">Les débats se dérouleront en anglais uniquement via la </w:t>
      </w:r>
      <w:hyperlink r:id="rId17" w:anchor="/MyMeetings" w:history="1">
        <w:r w:rsidR="00213E39" w:rsidRPr="00C20D7E">
          <w:rPr>
            <w:rStyle w:val="Hyperlink"/>
          </w:rPr>
          <w:t xml:space="preserve">plate-forme </w:t>
        </w:r>
        <w:proofErr w:type="spellStart"/>
        <w:r w:rsidR="00213E39" w:rsidRPr="00C20D7E">
          <w:rPr>
            <w:rStyle w:val="Hyperlink"/>
          </w:rPr>
          <w:t>MyMeetin</w:t>
        </w:r>
        <w:r w:rsidR="002957F0" w:rsidRPr="00C20D7E">
          <w:rPr>
            <w:rStyle w:val="Hyperlink"/>
          </w:rPr>
          <w:t>gs</w:t>
        </w:r>
        <w:proofErr w:type="spellEnd"/>
      </w:hyperlink>
      <w:r w:rsidR="00213E39" w:rsidRPr="00C20D7E">
        <w:t>.</w:t>
      </w:r>
    </w:p>
    <w:p w14:paraId="1EC5899E" w14:textId="6993FB2E" w:rsidR="00A96618" w:rsidRPr="00C20D7E" w:rsidRDefault="006B04DE" w:rsidP="00673ABF">
      <w:pPr>
        <w:spacing w:after="240"/>
        <w:rPr>
          <w:bCs/>
        </w:rPr>
      </w:pPr>
      <w:r w:rsidRPr="00C20D7E">
        <w:rPr>
          <w:bCs/>
        </w:rPr>
        <w:t>8</w:t>
      </w:r>
      <w:r w:rsidRPr="00C20D7E">
        <w:rPr>
          <w:bCs/>
        </w:rPr>
        <w:tab/>
      </w:r>
      <w:r w:rsidR="002957F0" w:rsidRPr="00C20D7E">
        <w:rPr>
          <w:bCs/>
        </w:rPr>
        <w:t>Afin de permettre à l</w:t>
      </w:r>
      <w:r w:rsidR="00DC04B9" w:rsidRPr="00C20D7E">
        <w:rPr>
          <w:bCs/>
        </w:rPr>
        <w:t>'</w:t>
      </w:r>
      <w:r w:rsidR="002957F0" w:rsidRPr="00C20D7E">
        <w:rPr>
          <w:bCs/>
        </w:rPr>
        <w:t>UIT de prendre les dispositions nécessaires, les participants sont invités à s</w:t>
      </w:r>
      <w:r w:rsidR="00DC04B9" w:rsidRPr="00C20D7E">
        <w:rPr>
          <w:bCs/>
        </w:rPr>
        <w:t>'</w:t>
      </w:r>
      <w:r w:rsidR="002957F0" w:rsidRPr="00C20D7E">
        <w:rPr>
          <w:bCs/>
        </w:rPr>
        <w:t xml:space="preserve">inscrire en ligne sur la </w:t>
      </w:r>
      <w:hyperlink r:id="rId18" w:history="1">
        <w:r w:rsidR="002957F0" w:rsidRPr="00C20D7E">
          <w:rPr>
            <w:rStyle w:val="Hyperlink"/>
          </w:rPr>
          <w:t>page d</w:t>
        </w:r>
        <w:r w:rsidR="00DC04B9" w:rsidRPr="00C20D7E">
          <w:rPr>
            <w:rStyle w:val="Hyperlink"/>
          </w:rPr>
          <w:t>'</w:t>
        </w:r>
        <w:r w:rsidR="002957F0" w:rsidRPr="00C20D7E">
          <w:rPr>
            <w:rStyle w:val="Hyperlink"/>
          </w:rPr>
          <w:t>accueil du Groupe FG-AI4A</w:t>
        </w:r>
      </w:hyperlink>
      <w:r w:rsidR="002957F0" w:rsidRPr="00C20D7E">
        <w:rPr>
          <w:rStyle w:val="Hyperlink"/>
          <w:color w:val="auto"/>
          <w:u w:val="none"/>
        </w:rPr>
        <w:t xml:space="preserve"> dès que possible.</w:t>
      </w:r>
      <w:r w:rsidRPr="00C20D7E">
        <w:rPr>
          <w:bCs/>
        </w:rPr>
        <w:t xml:space="preserve"> </w:t>
      </w:r>
      <w:r w:rsidRPr="00C20D7E">
        <w:rPr>
          <w:bCs/>
          <w:u w:val="single"/>
        </w:rPr>
        <w:t>Veuillez noter que l</w:t>
      </w:r>
      <w:r w:rsidR="00DC04B9" w:rsidRPr="00C20D7E">
        <w:rPr>
          <w:bCs/>
          <w:u w:val="single"/>
        </w:rPr>
        <w:t>'</w:t>
      </w:r>
      <w:r w:rsidRPr="00C20D7E">
        <w:rPr>
          <w:bCs/>
          <w:u w:val="single"/>
        </w:rPr>
        <w:t>inscription est obligatoire</w:t>
      </w:r>
      <w:r w:rsidRPr="00C20D7E">
        <w:rPr>
          <w:bCs/>
        </w:rPr>
        <w:t>.</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63"/>
      </w:tblGrid>
      <w:tr w:rsidR="00915648" w:rsidRPr="00C20D7E" w14:paraId="0F43E75F" w14:textId="77777777" w:rsidTr="00A96618">
        <w:tc>
          <w:tcPr>
            <w:tcW w:w="1838" w:type="dxa"/>
            <w:shd w:val="clear" w:color="auto" w:fill="auto"/>
          </w:tcPr>
          <w:p w14:paraId="1B3D3696" w14:textId="77777777" w:rsidR="00A96618" w:rsidRPr="00C20D7E" w:rsidRDefault="006B04DE" w:rsidP="00351B12">
            <w:pPr>
              <w:pStyle w:val="TableText"/>
            </w:pPr>
            <w:r w:rsidRPr="00C20D7E">
              <w:t>10 mars 2022</w:t>
            </w:r>
          </w:p>
        </w:tc>
        <w:tc>
          <w:tcPr>
            <w:tcW w:w="8463" w:type="dxa"/>
            <w:shd w:val="clear" w:color="auto" w:fill="auto"/>
          </w:tcPr>
          <w:p w14:paraId="1663D736" w14:textId="4FC0C9AE" w:rsidR="00A96618" w:rsidRPr="00C20D7E" w:rsidRDefault="006B04DE" w:rsidP="00351B12">
            <w:pPr>
              <w:pStyle w:val="TableText"/>
            </w:pPr>
            <w:r w:rsidRPr="00C20D7E">
              <w:t>–</w:t>
            </w:r>
            <w:r w:rsidRPr="00C20D7E">
              <w:tab/>
            </w:r>
            <w:r w:rsidR="00913307" w:rsidRPr="00C20D7E">
              <w:t xml:space="preserve">Inscription préalable (en ligne depuis la </w:t>
            </w:r>
            <w:hyperlink r:id="rId19" w:history="1">
              <w:r w:rsidR="00913307" w:rsidRPr="00C20D7E">
                <w:rPr>
                  <w:rStyle w:val="Hyperlink"/>
                  <w:szCs w:val="22"/>
                </w:rPr>
                <w:t>page d</w:t>
              </w:r>
              <w:r w:rsidR="00DC04B9" w:rsidRPr="00C20D7E">
                <w:rPr>
                  <w:rStyle w:val="Hyperlink"/>
                  <w:szCs w:val="22"/>
                </w:rPr>
                <w:t>'</w:t>
              </w:r>
              <w:r w:rsidR="00913307" w:rsidRPr="00C20D7E">
                <w:rPr>
                  <w:rStyle w:val="Hyperlink"/>
                  <w:szCs w:val="22"/>
                </w:rPr>
                <w:t>accueil du Groupe FG-AI4A</w:t>
              </w:r>
            </w:hyperlink>
            <w:r w:rsidR="00913307" w:rsidRPr="00C20D7E">
              <w:rPr>
                <w:rStyle w:val="Hyperlink"/>
                <w:color w:val="auto"/>
                <w:szCs w:val="22"/>
                <w:u w:val="none"/>
              </w:rPr>
              <w:t>)</w:t>
            </w:r>
          </w:p>
        </w:tc>
      </w:tr>
      <w:tr w:rsidR="00915648" w:rsidRPr="00C20D7E" w14:paraId="2C1CCD84" w14:textId="77777777" w:rsidTr="00A96618">
        <w:tc>
          <w:tcPr>
            <w:tcW w:w="1838" w:type="dxa"/>
            <w:shd w:val="clear" w:color="auto" w:fill="auto"/>
          </w:tcPr>
          <w:p w14:paraId="3B0FD631" w14:textId="77777777" w:rsidR="00A96618" w:rsidRPr="00C20D7E" w:rsidRDefault="006B04DE" w:rsidP="00351B12">
            <w:pPr>
              <w:pStyle w:val="TableText"/>
            </w:pPr>
            <w:r w:rsidRPr="00C20D7E">
              <w:t>18 mars 2022</w:t>
            </w:r>
          </w:p>
        </w:tc>
        <w:tc>
          <w:tcPr>
            <w:tcW w:w="8463" w:type="dxa"/>
            <w:shd w:val="clear" w:color="auto" w:fill="auto"/>
          </w:tcPr>
          <w:p w14:paraId="6998F5DB" w14:textId="29182EEA" w:rsidR="00A96618" w:rsidRPr="00C20D7E" w:rsidRDefault="006B04DE" w:rsidP="00673ABF">
            <w:pPr>
              <w:pStyle w:val="TableText"/>
              <w:ind w:left="284" w:hanging="284"/>
            </w:pPr>
            <w:r w:rsidRPr="00C20D7E">
              <w:t>–</w:t>
            </w:r>
            <w:r w:rsidRPr="00C20D7E">
              <w:tab/>
            </w:r>
            <w:r w:rsidR="00333B95" w:rsidRPr="00C20D7E">
              <w:t>Soumission des contributions écrites (par courrier électronique à l</w:t>
            </w:r>
            <w:r w:rsidR="00DC04B9" w:rsidRPr="00C20D7E">
              <w:t>'</w:t>
            </w:r>
            <w:r w:rsidR="00333B95" w:rsidRPr="00C20D7E">
              <w:t xml:space="preserve">adresse </w:t>
            </w:r>
            <w:hyperlink r:id="rId20" w:history="1">
              <w:r w:rsidR="00333B95" w:rsidRPr="00C20D7E">
                <w:rPr>
                  <w:rStyle w:val="Hyperlink"/>
                  <w:szCs w:val="22"/>
                </w:rPr>
                <w:t>tsbfgai4a@itu.int</w:t>
              </w:r>
            </w:hyperlink>
            <w:r w:rsidR="00333B95" w:rsidRPr="00C20D7E">
              <w:t>)</w:t>
            </w:r>
          </w:p>
        </w:tc>
      </w:tr>
    </w:tbl>
    <w:p w14:paraId="68051D90" w14:textId="77777777" w:rsidR="00A96618" w:rsidRPr="00C20D7E" w:rsidRDefault="006B04DE" w:rsidP="00A308C7">
      <w:pPr>
        <w:keepNext/>
        <w:keepLines/>
        <w:spacing w:before="240"/>
      </w:pPr>
      <w:r w:rsidRPr="00C20D7E">
        <w:lastRenderedPageBreak/>
        <w:t>Je vous souhaite une réunion constructive et agréable.</w:t>
      </w:r>
    </w:p>
    <w:p w14:paraId="274C0AA2" w14:textId="682A124D" w:rsidR="00A96618" w:rsidRPr="00C20D7E" w:rsidRDefault="006B04DE" w:rsidP="00A308C7">
      <w:pPr>
        <w:keepNext/>
        <w:keepLines/>
        <w:spacing w:after="120"/>
      </w:pPr>
      <w:r w:rsidRPr="00C20D7E">
        <w:t>Veuillez agréer, Madame, Monsieur, l</w:t>
      </w:r>
      <w:r w:rsidR="00DC04B9" w:rsidRPr="00C20D7E">
        <w:t>'</w:t>
      </w:r>
      <w:r w:rsidRPr="00C20D7E">
        <w:t>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915648" w:rsidRPr="00C20D7E" w14:paraId="2184827B" w14:textId="77777777" w:rsidTr="008A3719">
        <w:trPr>
          <w:trHeight w:val="1955"/>
        </w:trPr>
        <w:tc>
          <w:tcPr>
            <w:tcW w:w="6618" w:type="dxa"/>
            <w:tcBorders>
              <w:right w:val="single" w:sz="4" w:space="0" w:color="auto"/>
            </w:tcBorders>
            <w:tcMar>
              <w:left w:w="0" w:type="dxa"/>
              <w:right w:w="0" w:type="dxa"/>
            </w:tcMar>
          </w:tcPr>
          <w:p w14:paraId="2B40C337" w14:textId="310CF707" w:rsidR="00A96618" w:rsidRPr="00C20D7E" w:rsidRDefault="004A3763" w:rsidP="00944F6A">
            <w:pPr>
              <w:keepNext/>
              <w:keepLines/>
              <w:tabs>
                <w:tab w:val="clear" w:pos="1588"/>
                <w:tab w:val="clear" w:pos="1985"/>
                <w:tab w:val="left" w:pos="5842"/>
              </w:tabs>
              <w:spacing w:before="960"/>
            </w:pPr>
            <w:r>
              <w:rPr>
                <w:noProof/>
              </w:rPr>
              <w:drawing>
                <wp:anchor distT="0" distB="0" distL="114300" distR="114300" simplePos="0" relativeHeight="251658240" behindDoc="1" locked="0" layoutInCell="1" allowOverlap="1" wp14:anchorId="1A2EA2C8" wp14:editId="695C0D8A">
                  <wp:simplePos x="0" y="0"/>
                  <wp:positionH relativeFrom="column">
                    <wp:posOffset>635</wp:posOffset>
                  </wp:positionH>
                  <wp:positionV relativeFrom="paragraph">
                    <wp:posOffset>87630</wp:posOffset>
                  </wp:positionV>
                  <wp:extent cx="512233" cy="384175"/>
                  <wp:effectExtent l="0" t="0" r="254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12233" cy="384175"/>
                          </a:xfrm>
                          <a:prstGeom prst="rect">
                            <a:avLst/>
                          </a:prstGeom>
                        </pic:spPr>
                      </pic:pic>
                    </a:graphicData>
                  </a:graphic>
                  <wp14:sizeRelH relativeFrom="margin">
                    <wp14:pctWidth>0</wp14:pctWidth>
                  </wp14:sizeRelH>
                  <wp14:sizeRelV relativeFrom="margin">
                    <wp14:pctHeight>0</wp14:pctHeight>
                  </wp14:sizeRelV>
                </wp:anchor>
              </w:drawing>
            </w:r>
            <w:r w:rsidR="006B04DE" w:rsidRPr="00C20D7E">
              <w:t>Chaesub Lee</w:t>
            </w:r>
            <w:r w:rsidR="006B04DE" w:rsidRPr="00C20D7E">
              <w:br/>
              <w:t xml:space="preserve">Directeur du Bureau de la normalisation </w:t>
            </w:r>
            <w:r w:rsidR="006B04DE" w:rsidRPr="00C20D7E">
              <w:br/>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14:paraId="6E8DF111" w14:textId="4317E8BA" w:rsidR="00A96618" w:rsidRPr="00C20D7E" w:rsidRDefault="00673ABF" w:rsidP="00925BFC">
            <w:pPr>
              <w:keepNext/>
              <w:keepLines/>
              <w:jc w:val="center"/>
            </w:pPr>
            <w:r w:rsidRPr="00350C1F">
              <w:rPr>
                <w:rFonts w:cs="Calibri"/>
                <w:noProof/>
                <w:sz w:val="22"/>
                <w:szCs w:val="22"/>
                <w:lang w:val="en-US"/>
              </w:rPr>
              <w:drawing>
                <wp:inline distT="0" distB="0" distL="0" distR="0" wp14:anchorId="07480EAD" wp14:editId="7267B3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5665FC15" w14:textId="77777777" w:rsidR="00A96618" w:rsidRPr="00C20D7E" w:rsidRDefault="006B04DE" w:rsidP="00A308C7">
            <w:pPr>
              <w:keepNext/>
              <w:keepLines/>
              <w:spacing w:before="0"/>
              <w:jc w:val="center"/>
              <w:rPr>
                <w:sz w:val="20"/>
              </w:rPr>
            </w:pPr>
            <w:r w:rsidRPr="00C20D7E">
              <w:rPr>
                <w:sz w:val="20"/>
              </w:rPr>
              <w:t>Informations les plus récentes concernant la réunion</w:t>
            </w:r>
          </w:p>
        </w:tc>
      </w:tr>
    </w:tbl>
    <w:p w14:paraId="738E5BC8" w14:textId="77777777" w:rsidR="00517A03" w:rsidRPr="00C20D7E" w:rsidRDefault="006B04DE" w:rsidP="00673ABF">
      <w:pPr>
        <w:keepNext/>
        <w:keepLines/>
        <w:spacing w:before="1320"/>
        <w:ind w:right="-284"/>
      </w:pPr>
      <w:r w:rsidRPr="00C20D7E">
        <w:rPr>
          <w:b/>
          <w:bCs/>
        </w:rPr>
        <w:t>Annexe</w:t>
      </w:r>
      <w:r w:rsidRPr="00673ABF">
        <w:rPr>
          <w:bCs/>
        </w:rPr>
        <w:t>:</w:t>
      </w:r>
      <w:r w:rsidRPr="00C20D7E">
        <w:t xml:space="preserve"> 1</w:t>
      </w:r>
    </w:p>
    <w:p w14:paraId="37640337" w14:textId="77777777" w:rsidR="00A96618" w:rsidRPr="00C20D7E" w:rsidRDefault="006B04DE" w:rsidP="00D44185">
      <w:pPr>
        <w:keepNext/>
        <w:keepLines/>
        <w:ind w:right="-284"/>
      </w:pPr>
      <w:r w:rsidRPr="00C20D7E">
        <w:br w:type="page"/>
      </w:r>
    </w:p>
    <w:p w14:paraId="12DC1CB1" w14:textId="77777777" w:rsidR="00A96618" w:rsidRPr="00C20D7E" w:rsidRDefault="006B04DE" w:rsidP="00D44185">
      <w:pPr>
        <w:pStyle w:val="AnnexTitle"/>
      </w:pPr>
      <w:r w:rsidRPr="00C20D7E">
        <w:lastRenderedPageBreak/>
        <w:t>ANNEXE 1</w:t>
      </w:r>
    </w:p>
    <w:p w14:paraId="21455F43" w14:textId="74573319" w:rsidR="00A96618" w:rsidRPr="00C20D7E" w:rsidRDefault="00E17CF4" w:rsidP="00D44185">
      <w:pPr>
        <w:pStyle w:val="AnnexTitle"/>
      </w:pPr>
      <w:r w:rsidRPr="00C20D7E">
        <w:t>Mandat du Groupe spécialisé de l</w:t>
      </w:r>
      <w:r w:rsidR="00DC04B9" w:rsidRPr="00C20D7E">
        <w:t>'</w:t>
      </w:r>
      <w:r w:rsidRPr="00C20D7E">
        <w:t>UIT-T sur l</w:t>
      </w:r>
      <w:r w:rsidR="00DC04B9" w:rsidRPr="00C20D7E">
        <w:t>'</w:t>
      </w:r>
      <w:r w:rsidRPr="00C20D7E">
        <w:t xml:space="preserve">intelligence artificielle (IA) </w:t>
      </w:r>
      <w:r w:rsidR="00673ABF">
        <w:br/>
      </w:r>
      <w:r w:rsidRPr="00C20D7E">
        <w:t>et l</w:t>
      </w:r>
      <w:r w:rsidR="00DC04B9" w:rsidRPr="00C20D7E">
        <w:t>'</w:t>
      </w:r>
      <w:r w:rsidRPr="00C20D7E">
        <w:t>Internet des objets (IoT) au service de l</w:t>
      </w:r>
      <w:r w:rsidR="00DC04B9" w:rsidRPr="00C20D7E">
        <w:t>'</w:t>
      </w:r>
      <w:r w:rsidRPr="00C20D7E">
        <w:t>agriculture numérique (FG-AI4A)</w:t>
      </w:r>
    </w:p>
    <w:p w14:paraId="7D644036" w14:textId="77777777" w:rsidR="00A96618" w:rsidRPr="00C20D7E" w:rsidRDefault="006B04DE" w:rsidP="00D44185">
      <w:pPr>
        <w:pStyle w:val="Heading1"/>
      </w:pPr>
      <w:bookmarkStart w:id="2" w:name="_Hlk7618046"/>
      <w:r w:rsidRPr="00C20D7E">
        <w:t>1</w:t>
      </w:r>
      <w:r w:rsidRPr="00C20D7E">
        <w:tab/>
      </w:r>
      <w:r w:rsidR="00217E84" w:rsidRPr="00C20D7E">
        <w:t>Contexte et domaine de compétence</w:t>
      </w:r>
    </w:p>
    <w:p w14:paraId="0A0064A3" w14:textId="105DA8AF" w:rsidR="00A96618" w:rsidRPr="00C20D7E" w:rsidRDefault="00727381" w:rsidP="00D44185">
      <w:r w:rsidRPr="00C20D7E">
        <w:t>En 2015, les Nations Unies ont adopté 17 ODD</w:t>
      </w:r>
      <w:r w:rsidR="00452526" w:rsidRPr="00C20D7E">
        <w:t xml:space="preserve"> à atteindre</w:t>
      </w:r>
      <w:r w:rsidRPr="00C20D7E">
        <w:t xml:space="preserve"> d</w:t>
      </w:r>
      <w:r w:rsidR="00DC04B9" w:rsidRPr="00C20D7E">
        <w:t>'</w:t>
      </w:r>
      <w:r w:rsidRPr="00C20D7E">
        <w:t xml:space="preserve">ici </w:t>
      </w:r>
      <w:r w:rsidR="00452526" w:rsidRPr="00C20D7E">
        <w:t xml:space="preserve">à </w:t>
      </w:r>
      <w:r w:rsidRPr="00C20D7E">
        <w:t>2030.</w:t>
      </w:r>
      <w:r w:rsidR="006B04DE" w:rsidRPr="00C20D7E">
        <w:t xml:space="preserve"> </w:t>
      </w:r>
      <w:r w:rsidR="00DA6BBC" w:rsidRPr="00C20D7E">
        <w:t xml:space="preserve">Beaucoup de ces </w:t>
      </w:r>
      <w:r w:rsidR="00452526" w:rsidRPr="00C20D7E">
        <w:t>O</w:t>
      </w:r>
      <w:r w:rsidR="00DA6BBC" w:rsidRPr="00C20D7E">
        <w:t>bjectifs, notamment l</w:t>
      </w:r>
      <w:r w:rsidR="00DC04B9" w:rsidRPr="00C20D7E">
        <w:t>'</w:t>
      </w:r>
      <w:r w:rsidR="00DA6BBC" w:rsidRPr="00C20D7E">
        <w:t>ODD 2 (</w:t>
      </w:r>
      <w:r w:rsidR="00DD1B68" w:rsidRPr="00C20D7E">
        <w:t>éliminer la faim), l</w:t>
      </w:r>
      <w:r w:rsidR="00DC04B9" w:rsidRPr="00C20D7E">
        <w:t>'</w:t>
      </w:r>
      <w:r w:rsidR="00DD1B68" w:rsidRPr="00C20D7E">
        <w:t>ODD 6 (e</w:t>
      </w:r>
      <w:r w:rsidR="00DA6BBC" w:rsidRPr="00C20D7E">
        <w:t>au potable et assainissement), l</w:t>
      </w:r>
      <w:r w:rsidR="00DC04B9" w:rsidRPr="00C20D7E">
        <w:t>'</w:t>
      </w:r>
      <w:r w:rsidR="00DA6BBC" w:rsidRPr="00C20D7E">
        <w:t>ODD 8 (</w:t>
      </w:r>
      <w:r w:rsidR="00DD1B68" w:rsidRPr="00C20D7E">
        <w:t>t</w:t>
      </w:r>
      <w:r w:rsidR="00DA6BBC" w:rsidRPr="00C20D7E">
        <w:t>ravail décent et croissance économique), l</w:t>
      </w:r>
      <w:r w:rsidR="00DC04B9" w:rsidRPr="00C20D7E">
        <w:t>'</w:t>
      </w:r>
      <w:r w:rsidR="00DA6BBC" w:rsidRPr="00C20D7E">
        <w:t>ODD 9 (</w:t>
      </w:r>
      <w:r w:rsidR="00DD1B68" w:rsidRPr="00C20D7E">
        <w:t>i</w:t>
      </w:r>
      <w:r w:rsidR="00DA6BBC" w:rsidRPr="00C20D7E">
        <w:t>ndustrie, innovation</w:t>
      </w:r>
      <w:r w:rsidR="00DD1B68" w:rsidRPr="00C20D7E">
        <w:t xml:space="preserve"> et infrastructure), l</w:t>
      </w:r>
      <w:r w:rsidR="00DC04B9" w:rsidRPr="00C20D7E">
        <w:t>'</w:t>
      </w:r>
      <w:r w:rsidR="00DD1B68" w:rsidRPr="00C20D7E">
        <w:t>ODD 12 (c</w:t>
      </w:r>
      <w:r w:rsidR="00DA6BBC" w:rsidRPr="00C20D7E">
        <w:t>onsommation et production responsables), l</w:t>
      </w:r>
      <w:r w:rsidR="00DC04B9" w:rsidRPr="00C20D7E">
        <w:t>'</w:t>
      </w:r>
      <w:r w:rsidR="00DA6BBC" w:rsidRPr="00C20D7E">
        <w:t>ODD 13 (</w:t>
      </w:r>
      <w:r w:rsidR="00DD1B68" w:rsidRPr="00C20D7E">
        <w:t>m</w:t>
      </w:r>
      <w:r w:rsidR="00DA6BBC" w:rsidRPr="00C20D7E">
        <w:t>esures en faveur du climat), l</w:t>
      </w:r>
      <w:r w:rsidR="00DC04B9" w:rsidRPr="00C20D7E">
        <w:t>'</w:t>
      </w:r>
      <w:r w:rsidR="00DA6BBC" w:rsidRPr="00C20D7E">
        <w:t>ODD 14</w:t>
      </w:r>
      <w:r w:rsidR="00DD1B68" w:rsidRPr="00C20D7E">
        <w:t xml:space="preserve"> </w:t>
      </w:r>
      <w:r w:rsidR="00DA6BBC" w:rsidRPr="00C20D7E">
        <w:t>(</w:t>
      </w:r>
      <w:r w:rsidR="00DD1B68" w:rsidRPr="00C20D7E">
        <w:t>vie sous l</w:t>
      </w:r>
      <w:r w:rsidR="00DC04B9" w:rsidRPr="00C20D7E">
        <w:t>'</w:t>
      </w:r>
      <w:r w:rsidR="00DD1B68" w:rsidRPr="00C20D7E">
        <w:t>eau) et l</w:t>
      </w:r>
      <w:r w:rsidR="00DC04B9" w:rsidRPr="00C20D7E">
        <w:t>'</w:t>
      </w:r>
      <w:r w:rsidR="00DD1B68" w:rsidRPr="00C20D7E">
        <w:t>ODD 15 (v</w:t>
      </w:r>
      <w:r w:rsidR="00DA6BBC" w:rsidRPr="00C20D7E">
        <w:t xml:space="preserve">ie sur terre), sont étroitement liés </w:t>
      </w:r>
      <w:r w:rsidR="00452526" w:rsidRPr="00C20D7E">
        <w:t>aux</w:t>
      </w:r>
      <w:r w:rsidR="00DA6BBC" w:rsidRPr="00C20D7E">
        <w:t xml:space="preserve"> progrès technologiques dans le secteur agricole.</w:t>
      </w:r>
    </w:p>
    <w:p w14:paraId="4C216EFF" w14:textId="504BF68C" w:rsidR="00A96618" w:rsidRPr="00C20D7E" w:rsidRDefault="00C510B0" w:rsidP="00D44185">
      <w:r w:rsidRPr="00C20D7E">
        <w:t>Les données actuelles indiquent que près de 690 millions de personnes dans le monde (soit 8,9% de la population mondiale) souffrent de la faim</w:t>
      </w:r>
      <w:r w:rsidR="00EC5236" w:rsidRPr="00C20D7E">
        <w:rPr>
          <w:vertAlign w:val="superscript"/>
        </w:rPr>
        <w:footnoteReference w:id="1"/>
      </w:r>
      <w:r w:rsidRPr="00C20D7E">
        <w:t>.</w:t>
      </w:r>
      <w:r w:rsidR="006B04DE" w:rsidRPr="00C20D7E">
        <w:t xml:space="preserve"> </w:t>
      </w:r>
      <w:r w:rsidR="00BD3BC5" w:rsidRPr="00C20D7E">
        <w:t>Près de 750 millions de personnes (soit près d</w:t>
      </w:r>
      <w:r w:rsidR="00DC04B9" w:rsidRPr="00C20D7E">
        <w:t>'</w:t>
      </w:r>
      <w:r w:rsidR="00BD3BC5" w:rsidRPr="00C20D7E">
        <w:t>une personne sur dix dans le monde) ont en outre fait face à d</w:t>
      </w:r>
      <w:r w:rsidR="00DC04B9" w:rsidRPr="00C20D7E">
        <w:t>'</w:t>
      </w:r>
      <w:r w:rsidR="00BD3BC5" w:rsidRPr="00C20D7E">
        <w:t>importants niveaux d</w:t>
      </w:r>
      <w:r w:rsidR="00DC04B9" w:rsidRPr="00C20D7E">
        <w:t>'</w:t>
      </w:r>
      <w:r w:rsidR="00BD3BC5" w:rsidRPr="00C20D7E">
        <w:t>insécurité alimentaire en 2019</w:t>
      </w:r>
      <w:r w:rsidR="00EC5236" w:rsidRPr="00C20D7E">
        <w:rPr>
          <w:vertAlign w:val="superscript"/>
        </w:rPr>
        <w:footnoteReference w:id="2"/>
      </w:r>
      <w:r w:rsidR="00BD3BC5" w:rsidRPr="00C20D7E">
        <w:t>.</w:t>
      </w:r>
      <w:r w:rsidR="006B04DE" w:rsidRPr="00C20D7E">
        <w:t xml:space="preserve"> </w:t>
      </w:r>
      <w:r w:rsidR="00C01165" w:rsidRPr="00C20D7E">
        <w:t>Deux milliards de personnes souffrent de malnutrition</w:t>
      </w:r>
      <w:r w:rsidR="00C01165" w:rsidRPr="00C20D7E">
        <w:rPr>
          <w:vertAlign w:val="superscript"/>
        </w:rPr>
        <w:footnoteReference w:id="3"/>
      </w:r>
      <w:r w:rsidR="00C01165" w:rsidRPr="00C20D7E">
        <w:t xml:space="preserve"> en raison de facteurs tels que l</w:t>
      </w:r>
      <w:r w:rsidR="00DC04B9" w:rsidRPr="00C20D7E">
        <w:t>'</w:t>
      </w:r>
      <w:r w:rsidR="00C01165" w:rsidRPr="00C20D7E">
        <w:t>inaccessibilité et le prix trop élevé des aliments nutritifs</w:t>
      </w:r>
      <w:r w:rsidR="00BF52C7" w:rsidRPr="00C20D7E">
        <w:rPr>
          <w:vertAlign w:val="superscript"/>
        </w:rPr>
        <w:footnoteReference w:id="4"/>
      </w:r>
      <w:r w:rsidR="00C01165" w:rsidRPr="00C20D7E">
        <w:t>.</w:t>
      </w:r>
      <w:r w:rsidR="006B04DE" w:rsidRPr="00C20D7E">
        <w:t xml:space="preserve"> </w:t>
      </w:r>
      <w:r w:rsidR="00452526" w:rsidRPr="00C20D7E">
        <w:t>De plus, l</w:t>
      </w:r>
      <w:r w:rsidR="00CD2AB5" w:rsidRPr="00C20D7E">
        <w:t xml:space="preserve">es récessions et les ralentissements économiques entraînent une augmentation du chômage, </w:t>
      </w:r>
      <w:r w:rsidR="0039416D" w:rsidRPr="00C20D7E">
        <w:t xml:space="preserve">laquelle </w:t>
      </w:r>
      <w:r w:rsidR="00CD2AB5" w:rsidRPr="00C20D7E">
        <w:t>conduit à une diminution des salaires</w:t>
      </w:r>
      <w:r w:rsidR="0039416D" w:rsidRPr="00C20D7E">
        <w:t xml:space="preserve"> </w:t>
      </w:r>
      <w:r w:rsidR="006C01C0" w:rsidRPr="00C20D7E">
        <w:t>qui entraîne à son tour une diminution de</w:t>
      </w:r>
      <w:r w:rsidR="00DD1B68" w:rsidRPr="00C20D7E">
        <w:t xml:space="preserve"> </w:t>
      </w:r>
      <w:r w:rsidR="00CD2AB5" w:rsidRPr="00C20D7E">
        <w:t>l</w:t>
      </w:r>
      <w:r w:rsidR="00DC04B9" w:rsidRPr="00C20D7E">
        <w:t>'</w:t>
      </w:r>
      <w:r w:rsidR="00CD2AB5" w:rsidRPr="00C20D7E">
        <w:t xml:space="preserve">accès des </w:t>
      </w:r>
      <w:r w:rsidR="0039416D" w:rsidRPr="00C20D7E">
        <w:t xml:space="preserve">populations </w:t>
      </w:r>
      <w:r w:rsidR="00CD2AB5" w:rsidRPr="00C20D7E">
        <w:t>pauvres aux aliments nutritifs.</w:t>
      </w:r>
      <w:r w:rsidR="006B04DE" w:rsidRPr="00C20D7E">
        <w:t xml:space="preserve"> </w:t>
      </w:r>
      <w:r w:rsidR="00A67D89" w:rsidRPr="00C20D7E">
        <w:t xml:space="preserve">Ces tendances </w:t>
      </w:r>
      <w:r w:rsidR="0039416D" w:rsidRPr="00C20D7E">
        <w:t xml:space="preserve">devraient </w:t>
      </w:r>
      <w:r w:rsidR="00A67D89" w:rsidRPr="00C20D7E">
        <w:t xml:space="preserve">probablement </w:t>
      </w:r>
      <w:r w:rsidR="0039416D" w:rsidRPr="00C20D7E">
        <w:t>s</w:t>
      </w:r>
      <w:r w:rsidR="00DC04B9" w:rsidRPr="00C20D7E">
        <w:t>'</w:t>
      </w:r>
      <w:r w:rsidR="0039416D" w:rsidRPr="00C20D7E">
        <w:t>amplifier avec</w:t>
      </w:r>
      <w:r w:rsidR="00673ABF">
        <w:t xml:space="preserve"> la pandémie de </w:t>
      </w:r>
      <w:r w:rsidR="00A67D89" w:rsidRPr="00C20D7E">
        <w:t>COVID-19</w:t>
      </w:r>
      <w:r w:rsidR="0039416D" w:rsidRPr="00C20D7E">
        <w:t xml:space="preserve"> qui sévit dans le monde</w:t>
      </w:r>
      <w:r w:rsidR="00BF52C7" w:rsidRPr="00C20D7E">
        <w:rPr>
          <w:vertAlign w:val="superscript"/>
        </w:rPr>
        <w:footnoteReference w:id="5"/>
      </w:r>
      <w:r w:rsidR="00A67D89" w:rsidRPr="00C20D7E">
        <w:t>.</w:t>
      </w:r>
    </w:p>
    <w:p w14:paraId="39AC05CD" w14:textId="217478BE" w:rsidR="00A96618" w:rsidRPr="00C20D7E" w:rsidRDefault="004F3E70" w:rsidP="00D44185">
      <w:r w:rsidRPr="00C20D7E">
        <w:t>En outre, l</w:t>
      </w:r>
      <w:r w:rsidR="00DC04B9" w:rsidRPr="00C20D7E">
        <w:t>'</w:t>
      </w:r>
      <w:r w:rsidRPr="00C20D7E">
        <w:t xml:space="preserve">augmentation de la population mondiale se traduit par une demande alimentaire mondiale </w:t>
      </w:r>
      <w:r w:rsidR="00716257" w:rsidRPr="00C20D7E">
        <w:t>en progression constante</w:t>
      </w:r>
      <w:r w:rsidRPr="00C20D7E">
        <w:t>.</w:t>
      </w:r>
      <w:r w:rsidR="006B04DE" w:rsidRPr="00C20D7E">
        <w:t xml:space="preserve"> </w:t>
      </w:r>
      <w:r w:rsidR="004B0C60" w:rsidRPr="00C20D7E">
        <w:t>En effet, d</w:t>
      </w:r>
      <w:r w:rsidR="00DC04B9" w:rsidRPr="00C20D7E">
        <w:t>'</w:t>
      </w:r>
      <w:r w:rsidR="004B0C60" w:rsidRPr="00C20D7E">
        <w:t>ici 2050, la population mondiale devrait atteindre</w:t>
      </w:r>
      <w:r w:rsidR="00BF52C7" w:rsidRPr="00C20D7E">
        <w:t> </w:t>
      </w:r>
      <w:r w:rsidR="004B0C60" w:rsidRPr="00C20D7E">
        <w:t>9,7 milliards d</w:t>
      </w:r>
      <w:r w:rsidR="00DC04B9" w:rsidRPr="00C20D7E">
        <w:t>'</w:t>
      </w:r>
      <w:r w:rsidR="004B0C60" w:rsidRPr="00C20D7E">
        <w:t>habitants</w:t>
      </w:r>
      <w:r w:rsidR="00BF52C7" w:rsidRPr="00C20D7E">
        <w:rPr>
          <w:vertAlign w:val="superscript"/>
        </w:rPr>
        <w:footnoteReference w:id="6"/>
      </w:r>
      <w:r w:rsidR="004B0C60" w:rsidRPr="00C20D7E">
        <w:t>.</w:t>
      </w:r>
      <w:r w:rsidR="006B04DE" w:rsidRPr="00C20D7E">
        <w:t xml:space="preserve"> </w:t>
      </w:r>
      <w:r w:rsidR="00AF5D7D" w:rsidRPr="00C20D7E">
        <w:t xml:space="preserve">Certaines estimations </w:t>
      </w:r>
      <w:r w:rsidR="00716257" w:rsidRPr="00C20D7E">
        <w:t xml:space="preserve">montrent </w:t>
      </w:r>
      <w:r w:rsidR="00AF5D7D" w:rsidRPr="00C20D7E">
        <w:t xml:space="preserve">que pour répondre à une telle hausse de la demande alimentaire, la production alimentaire mondiale devra progresser de 70% dans les prochaines décennies, et ceci alors même que le secteur agricole </w:t>
      </w:r>
      <w:r w:rsidR="00A247A4" w:rsidRPr="00C20D7E">
        <w:t>fait</w:t>
      </w:r>
      <w:r w:rsidR="00AF5D7D" w:rsidRPr="00C20D7E">
        <w:t xml:space="preserve"> face à plusieurs défis</w:t>
      </w:r>
      <w:r w:rsidR="00BF52C7" w:rsidRPr="00C20D7E">
        <w:rPr>
          <w:vertAlign w:val="superscript"/>
        </w:rPr>
        <w:footnoteReference w:id="7"/>
      </w:r>
      <w:r w:rsidR="00AF5D7D" w:rsidRPr="00C20D7E">
        <w:t>.</w:t>
      </w:r>
    </w:p>
    <w:p w14:paraId="17676929" w14:textId="1C681F7C" w:rsidR="00A96618" w:rsidRPr="00C20D7E" w:rsidRDefault="00B73766" w:rsidP="00673ABF">
      <w:r w:rsidRPr="00C20D7E">
        <w:t>Outre cette demande croissante en produits agricoles, il est important de tenir compte des coûts environnementaux,</w:t>
      </w:r>
      <w:r w:rsidR="006B04DE" w:rsidRPr="00C20D7E">
        <w:t xml:space="preserve"> </w:t>
      </w:r>
      <w:r w:rsidR="00CF4C16" w:rsidRPr="00C20D7E">
        <w:t xml:space="preserve">ce </w:t>
      </w:r>
      <w:r w:rsidR="00E93D85" w:rsidRPr="00C20D7E">
        <w:t xml:space="preserve">qui ajoute </w:t>
      </w:r>
      <w:r w:rsidR="00CF4C16" w:rsidRPr="00C20D7E">
        <w:t xml:space="preserve">la prise en compte de la </w:t>
      </w:r>
      <w:r w:rsidR="00E93D85" w:rsidRPr="00C20D7E">
        <w:t xml:space="preserve">contrainte </w:t>
      </w:r>
      <w:r w:rsidR="00CF4C16" w:rsidRPr="00C20D7E">
        <w:t>que constitue la</w:t>
      </w:r>
      <w:r w:rsidR="00E93D85" w:rsidRPr="00C20D7E">
        <w:t xml:space="preserve"> durabilité </w:t>
      </w:r>
      <w:r w:rsidR="00CF4C16" w:rsidRPr="00C20D7E">
        <w:t xml:space="preserve">dans </w:t>
      </w:r>
      <w:r w:rsidR="00E93D85" w:rsidRPr="00C20D7E">
        <w:t xml:space="preserve">la production agricole, </w:t>
      </w:r>
      <w:r w:rsidR="00CF4C16" w:rsidRPr="00C20D7E">
        <w:t>afin</w:t>
      </w:r>
      <w:r w:rsidR="00E93D85" w:rsidRPr="00C20D7E">
        <w:t xml:space="preserve"> de pouvoir établir un programme pour les générations futures.</w:t>
      </w:r>
      <w:r w:rsidR="006B04DE" w:rsidRPr="00C20D7E">
        <w:t xml:space="preserve"> </w:t>
      </w:r>
      <w:r w:rsidR="00F67ED3" w:rsidRPr="00C20D7E">
        <w:t>L</w:t>
      </w:r>
      <w:r w:rsidR="00DC04B9" w:rsidRPr="00C20D7E">
        <w:t>'</w:t>
      </w:r>
      <w:r w:rsidR="00F67ED3" w:rsidRPr="00C20D7E">
        <w:t>agriculture a des incidences tant sur la quantité que sur la qualité des eaux souterraines et des eaux de surface.</w:t>
      </w:r>
      <w:r w:rsidR="006B04DE" w:rsidRPr="00C20D7E">
        <w:t xml:space="preserve"> </w:t>
      </w:r>
      <w:r w:rsidR="00D53781" w:rsidRPr="00C20D7E">
        <w:t>Par exemple, il est avéré que les pesticides et les engrais sont à l</w:t>
      </w:r>
      <w:r w:rsidR="00DC04B9" w:rsidRPr="00C20D7E">
        <w:t>'</w:t>
      </w:r>
      <w:r w:rsidR="00D53781" w:rsidRPr="00C20D7E">
        <w:t>origine d</w:t>
      </w:r>
      <w:r w:rsidR="00DC04B9" w:rsidRPr="00C20D7E">
        <w:t>'</w:t>
      </w:r>
      <w:r w:rsidR="00D53781" w:rsidRPr="00C20D7E">
        <w:t xml:space="preserve">une </w:t>
      </w:r>
      <w:r w:rsidR="00D53781" w:rsidRPr="00C20D7E">
        <w:lastRenderedPageBreak/>
        <w:t>mauvaise qualité de l</w:t>
      </w:r>
      <w:r w:rsidR="00DC04B9" w:rsidRPr="00C20D7E">
        <w:t>'</w:t>
      </w:r>
      <w:r w:rsidR="00D53781" w:rsidRPr="00C20D7E">
        <w:t>eau</w:t>
      </w:r>
      <w:r w:rsidR="00BF52C7" w:rsidRPr="00C20D7E">
        <w:rPr>
          <w:vertAlign w:val="superscript"/>
        </w:rPr>
        <w:footnoteReference w:id="8"/>
      </w:r>
      <w:r w:rsidR="006B04DE" w:rsidRPr="00C20D7E">
        <w:t xml:space="preserve">. </w:t>
      </w:r>
      <w:r w:rsidR="00B73BED" w:rsidRPr="00C20D7E">
        <w:t>Les pratiques d</w:t>
      </w:r>
      <w:r w:rsidR="00DC04B9" w:rsidRPr="00C20D7E">
        <w:t>'</w:t>
      </w:r>
      <w:r w:rsidR="00B73BED" w:rsidRPr="00C20D7E">
        <w:t>irrigation sont de plus en plus pertinentes.</w:t>
      </w:r>
      <w:r w:rsidR="006B04DE" w:rsidRPr="00C20D7E">
        <w:t xml:space="preserve"> </w:t>
      </w:r>
      <w:r w:rsidR="00E70DA1" w:rsidRPr="00C20D7E">
        <w:t>Par conséquent, pour garantir le caractère durable de l</w:t>
      </w:r>
      <w:r w:rsidR="00DC04B9" w:rsidRPr="00C20D7E">
        <w:t>'</w:t>
      </w:r>
      <w:r w:rsidR="00E70DA1" w:rsidRPr="00C20D7E">
        <w:t xml:space="preserve">agriculture, il est </w:t>
      </w:r>
      <w:r w:rsidR="00CF4C16" w:rsidRPr="00C20D7E">
        <w:t xml:space="preserve">impératif </w:t>
      </w:r>
      <w:r w:rsidR="00E70DA1" w:rsidRPr="00C20D7E">
        <w:t>de trouver des solutions pour une utilisation précise des pesticides et des engrais ainsi que pour une irrigation efficace.</w:t>
      </w:r>
    </w:p>
    <w:p w14:paraId="7539FBA5" w14:textId="302B0B01" w:rsidR="00A96618" w:rsidRPr="00C20D7E" w:rsidRDefault="00F57118" w:rsidP="00D44185">
      <w:r w:rsidRPr="00C20D7E">
        <w:t xml:space="preserve">De plus, dans de nombreux pays, les sociétés rurales </w:t>
      </w:r>
      <w:r w:rsidR="00CF4C16" w:rsidRPr="00C20D7E">
        <w:t>rencontrent</w:t>
      </w:r>
      <w:r w:rsidRPr="00C20D7E">
        <w:t xml:space="preserve"> des problèmes liés au vieillissement des populations, à l</w:t>
      </w:r>
      <w:r w:rsidR="00DC04B9" w:rsidRPr="00C20D7E">
        <w:t>'</w:t>
      </w:r>
      <w:r w:rsidRPr="00C20D7E">
        <w:t>abandon des terrains agricoles et aux changements climatiques.</w:t>
      </w:r>
      <w:r w:rsidR="006B04DE" w:rsidRPr="00C20D7E">
        <w:t xml:space="preserve"> En dépit de la tendance </w:t>
      </w:r>
      <w:r w:rsidR="00CF4C16" w:rsidRPr="00C20D7E">
        <w:t xml:space="preserve">inverse </w:t>
      </w:r>
      <w:r w:rsidR="006B04DE" w:rsidRPr="00C20D7E">
        <w:t>actuellement constatée dans certaines parties du monde en raison du COVID-19, il est possible que les villes et leurs zones périphériques continuent d</w:t>
      </w:r>
      <w:r w:rsidR="00DC04B9" w:rsidRPr="00C20D7E">
        <w:t>'</w:t>
      </w:r>
      <w:r w:rsidR="006B04DE" w:rsidRPr="00C20D7E">
        <w:t xml:space="preserve">attirer les personnes </w:t>
      </w:r>
      <w:r w:rsidR="00A54991" w:rsidRPr="00C20D7E">
        <w:t>à long terme</w:t>
      </w:r>
      <w:r w:rsidR="006B04DE" w:rsidRPr="00C20D7E">
        <w:rPr>
          <w:vertAlign w:val="superscript"/>
        </w:rPr>
        <w:footnoteReference w:id="9"/>
      </w:r>
      <w:r w:rsidR="006B04DE" w:rsidRPr="00C20D7E">
        <w:t>, du fait des perspectives économiques qu</w:t>
      </w:r>
      <w:r w:rsidR="00DC04B9" w:rsidRPr="00C20D7E">
        <w:t>'</w:t>
      </w:r>
      <w:r w:rsidR="006B04DE" w:rsidRPr="00C20D7E">
        <w:t xml:space="preserve">elles </w:t>
      </w:r>
      <w:r w:rsidR="00CF4C16" w:rsidRPr="00C20D7E">
        <w:t>offrent</w:t>
      </w:r>
      <w:r w:rsidR="006B04DE" w:rsidRPr="00C20D7E">
        <w:t>.</w:t>
      </w:r>
    </w:p>
    <w:p w14:paraId="4C77DA28" w14:textId="432131BC" w:rsidR="00A96618" w:rsidRPr="00C20D7E" w:rsidRDefault="00B136F8" w:rsidP="00D44185">
      <w:r w:rsidRPr="00C20D7E">
        <w:t xml:space="preserve">Enfin, il est important de mentionner que, </w:t>
      </w:r>
      <w:r w:rsidR="00CF4C16" w:rsidRPr="00C20D7E">
        <w:t>si</w:t>
      </w:r>
      <w:r w:rsidRPr="00C20D7E">
        <w:t xml:space="preserve"> le </w:t>
      </w:r>
      <w:r w:rsidR="006C01C0" w:rsidRPr="00C20D7E">
        <w:t xml:space="preserve">nombre de </w:t>
      </w:r>
      <w:r w:rsidRPr="00C20D7E">
        <w:t>personnes travaillant dans l</w:t>
      </w:r>
      <w:r w:rsidR="00DC04B9" w:rsidRPr="00C20D7E">
        <w:t>'</w:t>
      </w:r>
      <w:r w:rsidRPr="00C20D7E">
        <w:t xml:space="preserve">agriculture </w:t>
      </w:r>
      <w:r w:rsidR="006C01C0" w:rsidRPr="00C20D7E">
        <w:t>continuera probablement de baisser</w:t>
      </w:r>
      <w:r w:rsidRPr="00C20D7E">
        <w:t>, "</w:t>
      </w:r>
      <w:r w:rsidR="006C01C0" w:rsidRPr="00C20D7E">
        <w:t>la seule proportion</w:t>
      </w:r>
      <w:r w:rsidRPr="00C20D7E">
        <w:t xml:space="preserve"> de travailleurs pauvres dans le secteur</w:t>
      </w:r>
      <w:r w:rsidR="006C01C0" w:rsidRPr="00C20D7E">
        <w:t>, associée à</w:t>
      </w:r>
      <w:r w:rsidRPr="00C20D7E">
        <w:t xml:space="preserve"> la nature intrinsèquement dangereuse et </w:t>
      </w:r>
      <w:r w:rsidR="00A74B03" w:rsidRPr="00C20D7E">
        <w:t xml:space="preserve">aléatoires </w:t>
      </w:r>
      <w:r w:rsidRPr="00C20D7E">
        <w:t xml:space="preserve">de </w:t>
      </w:r>
      <w:r w:rsidR="00A74B03" w:rsidRPr="00C20D7E">
        <w:t>l</w:t>
      </w:r>
      <w:r w:rsidR="00DC04B9" w:rsidRPr="00C20D7E">
        <w:t>'</w:t>
      </w:r>
      <w:r w:rsidR="00A74B03" w:rsidRPr="00C20D7E">
        <w:t xml:space="preserve">activité </w:t>
      </w:r>
      <w:r w:rsidRPr="00C20D7E">
        <w:t>agricole</w:t>
      </w:r>
      <w:r w:rsidR="00A74B03" w:rsidRPr="00C20D7E">
        <w:t>,</w:t>
      </w:r>
      <w:r w:rsidRPr="00C20D7E">
        <w:t xml:space="preserve"> </w:t>
      </w:r>
      <w:r w:rsidR="00A74B03" w:rsidRPr="00C20D7E">
        <w:t>exige que le monde entier concentre ses efforts sur l</w:t>
      </w:r>
      <w:r w:rsidR="00DC04B9" w:rsidRPr="00C20D7E">
        <w:t>'</w:t>
      </w:r>
      <w:r w:rsidR="00A74B03" w:rsidRPr="00C20D7E">
        <w:t xml:space="preserve">analyse des déficits </w:t>
      </w:r>
      <w:r w:rsidRPr="00C20D7E">
        <w:t>de travail décent à tous les niveaux".</w:t>
      </w:r>
      <w:r w:rsidR="006B04DE" w:rsidRPr="00C20D7E">
        <w:t xml:space="preserve"> </w:t>
      </w:r>
      <w:r w:rsidR="009E6757" w:rsidRPr="00C20D7E">
        <w:t>L</w:t>
      </w:r>
      <w:r w:rsidR="00DC04B9" w:rsidRPr="00C20D7E">
        <w:t>'</w:t>
      </w:r>
      <w:r w:rsidR="009E6757" w:rsidRPr="00C20D7E">
        <w:t xml:space="preserve">automatisation et la collaboration </w:t>
      </w:r>
      <w:r w:rsidR="008C3A5A" w:rsidRPr="00C20D7E">
        <w:t>homme-</w:t>
      </w:r>
      <w:r w:rsidR="009E6757" w:rsidRPr="00C20D7E">
        <w:t>robot dans la production agricole offre</w:t>
      </w:r>
      <w:r w:rsidR="00A74B03" w:rsidRPr="00C20D7E">
        <w:t>nt</w:t>
      </w:r>
      <w:r w:rsidR="009E6757" w:rsidRPr="00C20D7E">
        <w:t>, ici aussi, la possibilité d</w:t>
      </w:r>
      <w:r w:rsidR="00DC04B9" w:rsidRPr="00C20D7E">
        <w:t>'</w:t>
      </w:r>
      <w:r w:rsidR="009E6757" w:rsidRPr="00C20D7E">
        <w:t>améliorer de manière significative les conditions de travail.</w:t>
      </w:r>
    </w:p>
    <w:p w14:paraId="2CF91C0E" w14:textId="6050A023" w:rsidR="00A96618" w:rsidRPr="00C20D7E" w:rsidRDefault="001F3B1F" w:rsidP="00D44185">
      <w:r w:rsidRPr="00C20D7E">
        <w:t>Dans l</w:t>
      </w:r>
      <w:r w:rsidR="00DC04B9" w:rsidRPr="00C20D7E">
        <w:t>'</w:t>
      </w:r>
      <w:r w:rsidRPr="00C20D7E">
        <w:t xml:space="preserve">ensemble, ces conditions </w:t>
      </w:r>
      <w:r w:rsidR="00A74B03" w:rsidRPr="00C20D7E">
        <w:t>démontrent combien il est important d</w:t>
      </w:r>
      <w:r w:rsidR="00DC04B9" w:rsidRPr="00C20D7E">
        <w:t>'</w:t>
      </w:r>
      <w:r w:rsidR="00A74B03" w:rsidRPr="00C20D7E">
        <w:t>éradiquer</w:t>
      </w:r>
      <w:r w:rsidRPr="00C20D7E">
        <w:t xml:space="preserve"> la faim d</w:t>
      </w:r>
      <w:r w:rsidR="00DC04B9" w:rsidRPr="00C20D7E">
        <w:t>'</w:t>
      </w:r>
      <w:r w:rsidRPr="00C20D7E">
        <w:t xml:space="preserve">ici </w:t>
      </w:r>
      <w:r w:rsidR="00673ABF">
        <w:t>à </w:t>
      </w:r>
      <w:r w:rsidRPr="00C20D7E">
        <w:t xml:space="preserve">2030 (ainsi que les </w:t>
      </w:r>
      <w:r w:rsidR="00A74B03" w:rsidRPr="00C20D7E">
        <w:t>difficultés qu</w:t>
      </w:r>
      <w:r w:rsidR="00DC04B9" w:rsidRPr="00C20D7E">
        <w:t>'</w:t>
      </w:r>
      <w:r w:rsidR="00A74B03" w:rsidRPr="00C20D7E">
        <w:t>il faudra surmonter pour y parvenir</w:t>
      </w:r>
      <w:r w:rsidRPr="00C20D7E">
        <w:t>).</w:t>
      </w:r>
      <w:r w:rsidR="006B04DE" w:rsidRPr="00C20D7E">
        <w:t xml:space="preserve"> </w:t>
      </w:r>
      <w:r w:rsidR="00703A4A" w:rsidRPr="00C20D7E">
        <w:t>Heureusement, les progrès techniques constituent un outil pouvant nous aider à améliorer notre gestion des processus de production agricole et à assurer la sécurité alimentaire.</w:t>
      </w:r>
    </w:p>
    <w:p w14:paraId="6BB611A9" w14:textId="7A29C9AE" w:rsidR="00A96618" w:rsidRPr="00C20D7E" w:rsidRDefault="00880E69" w:rsidP="00D44185">
      <w:r w:rsidRPr="00C20D7E">
        <w:t xml:space="preserve">Pour </w:t>
      </w:r>
      <w:r w:rsidR="0063636B" w:rsidRPr="00C20D7E">
        <w:t>relever</w:t>
      </w:r>
      <w:r w:rsidRPr="00C20D7E">
        <w:t xml:space="preserve"> ces défis et </w:t>
      </w:r>
      <w:r w:rsidR="00DE3F4F" w:rsidRPr="00C20D7E">
        <w:t>exploiter les perspectives offertes</w:t>
      </w:r>
      <w:r w:rsidRPr="00C20D7E">
        <w:t xml:space="preserve">, le Groupe FG-AI4A </w:t>
      </w:r>
      <w:r w:rsidR="008D4DC3" w:rsidRPr="00C20D7E">
        <w:t>a pour objectif d</w:t>
      </w:r>
      <w:r w:rsidR="00DC04B9" w:rsidRPr="00C20D7E">
        <w:t>'</w:t>
      </w:r>
      <w:r w:rsidRPr="00C20D7E">
        <w:t>étudie</w:t>
      </w:r>
      <w:r w:rsidR="008D4DC3" w:rsidRPr="00C20D7E">
        <w:t>r</w:t>
      </w:r>
      <w:r w:rsidRPr="00C20D7E">
        <w:t xml:space="preserve"> les possibilités </w:t>
      </w:r>
      <w:r w:rsidR="008D4DC3" w:rsidRPr="00C20D7E">
        <w:t>associées à</w:t>
      </w:r>
      <w:r w:rsidR="00DE3F4F" w:rsidRPr="00C20D7E">
        <w:t xml:space="preserve"> </w:t>
      </w:r>
      <w:r w:rsidRPr="00C20D7E">
        <w:t>l</w:t>
      </w:r>
      <w:r w:rsidR="00DC04B9" w:rsidRPr="00C20D7E">
        <w:t>'</w:t>
      </w:r>
      <w:r w:rsidRPr="00C20D7E">
        <w:t xml:space="preserve">intelligence artificielle et </w:t>
      </w:r>
      <w:r w:rsidR="008D4DC3" w:rsidRPr="00C20D7E">
        <w:t xml:space="preserve">à </w:t>
      </w:r>
      <w:r w:rsidRPr="00C20D7E">
        <w:t>l</w:t>
      </w:r>
      <w:r w:rsidR="00DC04B9" w:rsidRPr="00C20D7E">
        <w:t>'</w:t>
      </w:r>
      <w:r w:rsidRPr="00C20D7E">
        <w:t>Internet des objets</w:t>
      </w:r>
      <w:r w:rsidR="008D4DC3" w:rsidRPr="00C20D7E">
        <w:t>,</w:t>
      </w:r>
      <w:r w:rsidRPr="00C20D7E">
        <w:t xml:space="preserve"> </w:t>
      </w:r>
      <w:r w:rsidR="008D4DC3" w:rsidRPr="00C20D7E">
        <w:t>avec l</w:t>
      </w:r>
      <w:r w:rsidR="00DC04B9" w:rsidRPr="00C20D7E">
        <w:t>'</w:t>
      </w:r>
      <w:r w:rsidR="008D4DC3" w:rsidRPr="00C20D7E">
        <w:t>élaboration</w:t>
      </w:r>
      <w:r w:rsidRPr="00C20D7E">
        <w:t xml:space="preserve"> de rapports et </w:t>
      </w:r>
      <w:r w:rsidR="008D4DC3" w:rsidRPr="00C20D7E">
        <w:t xml:space="preserve">de </w:t>
      </w:r>
      <w:r w:rsidRPr="00C20D7E">
        <w:t xml:space="preserve">spécifications techniques </w:t>
      </w:r>
      <w:r w:rsidR="008D4DC3" w:rsidRPr="00C20D7E">
        <w:t>visant à appuyer</w:t>
      </w:r>
      <w:r w:rsidRPr="00C20D7E">
        <w:t xml:space="preserve"> l</w:t>
      </w:r>
      <w:r w:rsidR="00DC04B9" w:rsidRPr="00C20D7E">
        <w:t>'</w:t>
      </w:r>
      <w:r w:rsidRPr="00C20D7E">
        <w:t xml:space="preserve">acquisition et </w:t>
      </w:r>
      <w:r w:rsidR="008D4DC3" w:rsidRPr="00C20D7E">
        <w:t xml:space="preserve">le </w:t>
      </w:r>
      <w:r w:rsidRPr="00C20D7E">
        <w:t xml:space="preserve">traitement de données, </w:t>
      </w:r>
      <w:r w:rsidR="008D4DC3" w:rsidRPr="00C20D7E">
        <w:t>d</w:t>
      </w:r>
      <w:r w:rsidR="00DC04B9" w:rsidRPr="00C20D7E">
        <w:t>'</w:t>
      </w:r>
      <w:r w:rsidRPr="00C20D7E">
        <w:t>améliore</w:t>
      </w:r>
      <w:r w:rsidR="008D4DC3" w:rsidRPr="00C20D7E">
        <w:t>r</w:t>
      </w:r>
      <w:r w:rsidRPr="00C20D7E">
        <w:t xml:space="preserve"> la modélisation dans les dimensions spatio-temporelles moyen</w:t>
      </w:r>
      <w:r w:rsidR="00D75BA8" w:rsidRPr="00C20D7E">
        <w:t>nant</w:t>
      </w:r>
      <w:r w:rsidRPr="00C20D7E">
        <w:t xml:space="preserve"> l</w:t>
      </w:r>
      <w:r w:rsidR="00DC04B9" w:rsidRPr="00C20D7E">
        <w:t>'</w:t>
      </w:r>
      <w:r w:rsidRPr="00C20D7E">
        <w:t>extraction de modèles complexes (et l</w:t>
      </w:r>
      <w:r w:rsidR="00DC04B9" w:rsidRPr="00C20D7E">
        <w:t>'</w:t>
      </w:r>
      <w:r w:rsidRPr="00C20D7E">
        <w:t>acquisition de connaissances) à partir d</w:t>
      </w:r>
      <w:r w:rsidR="00DC04B9" w:rsidRPr="00C20D7E">
        <w:t>'</w:t>
      </w:r>
      <w:r w:rsidRPr="00C20D7E">
        <w:t xml:space="preserve">un volume croissant de données agricoles et géospatiales, </w:t>
      </w:r>
      <w:r w:rsidR="008D4DC3" w:rsidRPr="00C20D7E">
        <w:t xml:space="preserve">de </w:t>
      </w:r>
      <w:r w:rsidRPr="00C20D7E">
        <w:t>fourni</w:t>
      </w:r>
      <w:r w:rsidR="008D4DC3" w:rsidRPr="00C20D7E">
        <w:t>r</w:t>
      </w:r>
      <w:r w:rsidRPr="00C20D7E">
        <w:t xml:space="preserve"> une communication efficace et </w:t>
      </w:r>
      <w:r w:rsidR="00D75BA8" w:rsidRPr="00C20D7E">
        <w:t xml:space="preserve">de déduire </w:t>
      </w:r>
      <w:r w:rsidRPr="00C20D7E">
        <w:t xml:space="preserve">et </w:t>
      </w:r>
      <w:r w:rsidR="00D75BA8" w:rsidRPr="00C20D7E">
        <w:t xml:space="preserve">de </w:t>
      </w:r>
      <w:r w:rsidRPr="00C20D7E">
        <w:t>recommande</w:t>
      </w:r>
      <w:r w:rsidR="00D75BA8" w:rsidRPr="00C20D7E">
        <w:t>r</w:t>
      </w:r>
      <w:r w:rsidRPr="00C20D7E">
        <w:t xml:space="preserve"> des interventions visant à optimiser les processus de production agricole.</w:t>
      </w:r>
    </w:p>
    <w:p w14:paraId="42D072A9" w14:textId="32700D40" w:rsidR="00A96618" w:rsidRPr="00C20D7E" w:rsidRDefault="00124404" w:rsidP="00957EAB">
      <w:pPr>
        <w:keepLines/>
      </w:pPr>
      <w:r w:rsidRPr="00C20D7E">
        <w:t>Pour atteindre ces objectifs ambitieux, le Groupe FG-AI4A rassemble de nombreuses parties prenantes et de nombreux experts du monde entier et s</w:t>
      </w:r>
      <w:r w:rsidR="00DC04B9" w:rsidRPr="00C20D7E">
        <w:t>'</w:t>
      </w:r>
      <w:r w:rsidRPr="00C20D7E">
        <w:t>appuie également sur les résultats des projets et coopérations existants tels qu</w:t>
      </w:r>
      <w:r w:rsidR="00DC04B9" w:rsidRPr="00C20D7E">
        <w:t>'</w:t>
      </w:r>
      <w:r w:rsidRPr="00C20D7E">
        <w:t>IoF2020 et Atlas.</w:t>
      </w:r>
      <w:r w:rsidR="006B04DE" w:rsidRPr="00C20D7E">
        <w:t xml:space="preserve"> </w:t>
      </w:r>
      <w:r w:rsidR="00C1005E" w:rsidRPr="00C20D7E">
        <w:t xml:space="preserve">Le </w:t>
      </w:r>
      <w:r w:rsidR="00D75BA8" w:rsidRPr="00C20D7E">
        <w:t>G</w:t>
      </w:r>
      <w:r w:rsidR="00C1005E" w:rsidRPr="00C20D7E">
        <w:t>roupe cherche</w:t>
      </w:r>
      <w:r w:rsidR="00F12176" w:rsidRPr="00C20D7E">
        <w:t>ra</w:t>
      </w:r>
      <w:r w:rsidR="00C1005E" w:rsidRPr="00C20D7E">
        <w:t xml:space="preserve"> à établir une coopération avec la plate-forme internationale pour l</w:t>
      </w:r>
      <w:r w:rsidR="00DC04B9" w:rsidRPr="00C20D7E">
        <w:t>'</w:t>
      </w:r>
      <w:r w:rsidR="00C1005E" w:rsidRPr="00C20D7E">
        <w:t>alimentation et l</w:t>
      </w:r>
      <w:r w:rsidR="00DC04B9" w:rsidRPr="00C20D7E">
        <w:t>'</w:t>
      </w:r>
      <w:r w:rsidR="00673ABF">
        <w:t>agriculture numériques de la </w:t>
      </w:r>
      <w:r w:rsidR="00C1005E" w:rsidRPr="00C20D7E">
        <w:t>FAO.</w:t>
      </w:r>
      <w:r w:rsidR="006B04DE" w:rsidRPr="00C20D7E">
        <w:t xml:space="preserve"> </w:t>
      </w:r>
      <w:r w:rsidR="00EB615F" w:rsidRPr="00C20D7E">
        <w:t>Il s</w:t>
      </w:r>
      <w:r w:rsidR="00DC04B9" w:rsidRPr="00C20D7E">
        <w:t>'</w:t>
      </w:r>
      <w:r w:rsidR="00EB615F" w:rsidRPr="00C20D7E">
        <w:t xml:space="preserve">attachera tout particulièrement à </w:t>
      </w:r>
      <w:r w:rsidR="007E42FE" w:rsidRPr="00C20D7E">
        <w:t xml:space="preserve">appuyer </w:t>
      </w:r>
      <w:r w:rsidR="00EB615F" w:rsidRPr="00C20D7E">
        <w:t>la participation des pays à faible revenu ou à revenu intermédiaire et des pays particulièrement touchés par ce type d</w:t>
      </w:r>
      <w:r w:rsidR="00DC04B9" w:rsidRPr="00C20D7E">
        <w:t>'</w:t>
      </w:r>
      <w:r w:rsidR="00EB615F" w:rsidRPr="00C20D7E">
        <w:t>événements (par exemple, les PEID, les PDSL et les PMA).</w:t>
      </w:r>
      <w:r w:rsidR="00505B43" w:rsidRPr="00C20D7E">
        <w:t xml:space="preserve"> </w:t>
      </w:r>
      <w:r w:rsidR="00C6408C" w:rsidRPr="00C20D7E">
        <w:t xml:space="preserve">Enfin, le Groupe FG-AI4A contribue à </w:t>
      </w:r>
      <w:r w:rsidR="00D75BA8" w:rsidRPr="00C20D7E">
        <w:t>faire avancer les</w:t>
      </w:r>
      <w:r w:rsidR="00C6408C" w:rsidRPr="00C20D7E">
        <w:t xml:space="preserve"> travaux de la Commission d</w:t>
      </w:r>
      <w:r w:rsidR="00DC04B9" w:rsidRPr="00C20D7E">
        <w:t>'</w:t>
      </w:r>
      <w:r w:rsidR="00C6408C" w:rsidRPr="00C20D7E">
        <w:t xml:space="preserve">études 20, dont il dépend, </w:t>
      </w:r>
      <w:r w:rsidR="00D75BA8" w:rsidRPr="00C20D7E">
        <w:t>afin de faire progresser les technologies pour les</w:t>
      </w:r>
      <w:r w:rsidR="00C6408C" w:rsidRPr="00C20D7E">
        <w:t xml:space="preserve"> communications de machine à machine et l</w:t>
      </w:r>
      <w:r w:rsidR="00DC04B9" w:rsidRPr="00C20D7E">
        <w:t>'</w:t>
      </w:r>
      <w:r w:rsidR="00C6408C" w:rsidRPr="00C20D7E">
        <w:t>IoT</w:t>
      </w:r>
      <w:r w:rsidR="00D75BA8" w:rsidRPr="00C20D7E">
        <w:t>,</w:t>
      </w:r>
      <w:r w:rsidR="00C6408C" w:rsidRPr="00C20D7E">
        <w:t xml:space="preserve"> ainsi que les architectures de bout en bout pour </w:t>
      </w:r>
      <w:r w:rsidR="006A4206" w:rsidRPr="00C20D7E">
        <w:t>l</w:t>
      </w:r>
      <w:r w:rsidR="00F12176" w:rsidRPr="00C20D7E">
        <w:t xml:space="preserve">es </w:t>
      </w:r>
      <w:r w:rsidR="00C6408C" w:rsidRPr="00C20D7E">
        <w:t xml:space="preserve">applications et </w:t>
      </w:r>
      <w:r w:rsidR="006A4206" w:rsidRPr="00C20D7E">
        <w:t>l</w:t>
      </w:r>
      <w:r w:rsidR="00F12176" w:rsidRPr="00C20D7E">
        <w:t xml:space="preserve">es </w:t>
      </w:r>
      <w:r w:rsidR="00C6408C" w:rsidRPr="00C20D7E">
        <w:t>ensembles de données de l</w:t>
      </w:r>
      <w:r w:rsidR="00DC04B9" w:rsidRPr="00C20D7E">
        <w:t>'</w:t>
      </w:r>
      <w:r w:rsidR="00C6408C" w:rsidRPr="00C20D7E">
        <w:t>IoT</w:t>
      </w:r>
      <w:r w:rsidR="006A4206" w:rsidRPr="00C20D7E">
        <w:t xml:space="preserve"> et les mécanismes garantissant leur interopérabilité</w:t>
      </w:r>
      <w:r w:rsidR="00C6408C" w:rsidRPr="00C20D7E">
        <w:t>, en accordant une attention particulière aux cas d</w:t>
      </w:r>
      <w:r w:rsidR="00DC04B9" w:rsidRPr="00C20D7E">
        <w:t>'</w:t>
      </w:r>
      <w:r w:rsidR="00C6408C" w:rsidRPr="00C20D7E">
        <w:t>utilisation relevant de l</w:t>
      </w:r>
      <w:r w:rsidR="00DC04B9" w:rsidRPr="00C20D7E">
        <w:t>'</w:t>
      </w:r>
      <w:r w:rsidR="00C6408C" w:rsidRPr="00C20D7E">
        <w:t>agriculture numérique.</w:t>
      </w:r>
    </w:p>
    <w:p w14:paraId="42CCEDB2" w14:textId="77777777" w:rsidR="00673ABF" w:rsidRDefault="00673ABF" w:rsidP="00D44185">
      <w:r>
        <w:br w:type="page"/>
      </w:r>
    </w:p>
    <w:p w14:paraId="51CB9762" w14:textId="0CA576D8" w:rsidR="00A96618" w:rsidRPr="00C20D7E" w:rsidRDefault="006A4206" w:rsidP="00D44185">
      <w:r w:rsidRPr="00C20D7E">
        <w:lastRenderedPageBreak/>
        <w:t>Par conséquent</w:t>
      </w:r>
      <w:r w:rsidR="00D763C9" w:rsidRPr="00C20D7E">
        <w:t>, l</w:t>
      </w:r>
      <w:r w:rsidR="00DC04B9" w:rsidRPr="00C20D7E">
        <w:t>'</w:t>
      </w:r>
      <w:r w:rsidR="00D763C9" w:rsidRPr="00C20D7E">
        <w:t>utilisation de l</w:t>
      </w:r>
      <w:r w:rsidR="00DC04B9" w:rsidRPr="00C20D7E">
        <w:t>'</w:t>
      </w:r>
      <w:r w:rsidR="00D763C9" w:rsidRPr="00C20D7E">
        <w:t>intelligence artificielle et de l</w:t>
      </w:r>
      <w:r w:rsidR="00DC04B9" w:rsidRPr="00C20D7E">
        <w:t>'</w:t>
      </w:r>
      <w:r w:rsidR="00D763C9" w:rsidRPr="00C20D7E">
        <w:t xml:space="preserve">IoT est nécessaire pour accroître la production </w:t>
      </w:r>
      <w:r w:rsidR="000456C4" w:rsidRPr="00C20D7E">
        <w:t>agricole</w:t>
      </w:r>
      <w:r w:rsidR="00D763C9" w:rsidRPr="00C20D7E">
        <w:t xml:space="preserve"> à l</w:t>
      </w:r>
      <w:r w:rsidR="00DC04B9" w:rsidRPr="00C20D7E">
        <w:t>'</w:t>
      </w:r>
      <w:r w:rsidR="00D763C9" w:rsidRPr="00C20D7E">
        <w:t xml:space="preserve">échelle mondiale sans </w:t>
      </w:r>
      <w:r w:rsidR="00F21E25" w:rsidRPr="00C20D7E">
        <w:t>augmenter</w:t>
      </w:r>
      <w:r w:rsidR="00D763C9" w:rsidRPr="00C20D7E">
        <w:t xml:space="preserve"> </w:t>
      </w:r>
      <w:r w:rsidR="00F21E25" w:rsidRPr="00C20D7E">
        <w:t>les</w:t>
      </w:r>
      <w:r w:rsidR="00D763C9" w:rsidRPr="00C20D7E">
        <w:t xml:space="preserve"> ressources</w:t>
      </w:r>
      <w:r w:rsidR="00F21E25" w:rsidRPr="00C20D7E">
        <w:t xml:space="preserve"> utilisées,</w:t>
      </w:r>
      <w:r w:rsidR="00D763C9" w:rsidRPr="00C20D7E">
        <w:t xml:space="preserve"> telles que la superficie des terrains cultivés, l</w:t>
      </w:r>
      <w:r w:rsidR="00DC04B9" w:rsidRPr="00C20D7E">
        <w:t>'</w:t>
      </w:r>
      <w:r w:rsidR="00D763C9" w:rsidRPr="00C20D7E">
        <w:t>eau et les ressources humaines.</w:t>
      </w:r>
      <w:r w:rsidR="006B04DE" w:rsidRPr="00C20D7E">
        <w:t xml:space="preserve"> </w:t>
      </w:r>
      <w:r w:rsidR="001E2C58" w:rsidRPr="00C20D7E">
        <w:t xml:space="preserve">On désigne </w:t>
      </w:r>
      <w:r w:rsidR="000456C4" w:rsidRPr="00C20D7E">
        <w:t>ces</w:t>
      </w:r>
      <w:r w:rsidR="001E2C58" w:rsidRPr="00C20D7E">
        <w:t xml:space="preserve"> pratiques par l</w:t>
      </w:r>
      <w:r w:rsidR="00DC04B9" w:rsidRPr="00C20D7E">
        <w:t>'</w:t>
      </w:r>
      <w:r w:rsidR="001E2C58" w:rsidRPr="00C20D7E">
        <w:t>expression "agriculture numérique".</w:t>
      </w:r>
    </w:p>
    <w:p w14:paraId="0A7B6A37" w14:textId="08ADABC3" w:rsidR="00A96618" w:rsidRPr="00C20D7E" w:rsidRDefault="0063636B" w:rsidP="00D44185">
      <w:r w:rsidRPr="00C20D7E">
        <w:t>Les autres</w:t>
      </w:r>
      <w:r w:rsidR="00650670" w:rsidRPr="00C20D7E">
        <w:t xml:space="preserve"> concepts </w:t>
      </w:r>
      <w:r w:rsidRPr="00C20D7E">
        <w:t xml:space="preserve">associés sont les </w:t>
      </w:r>
      <w:r w:rsidR="00650670" w:rsidRPr="00C20D7E">
        <w:t>suivants:</w:t>
      </w:r>
    </w:p>
    <w:p w14:paraId="3BA66AC4" w14:textId="3A97ECFB" w:rsidR="00A96618" w:rsidRPr="00C20D7E" w:rsidRDefault="00B3654A" w:rsidP="00D44185">
      <w:r w:rsidRPr="00C20D7E">
        <w:rPr>
          <w:b/>
          <w:bCs/>
        </w:rPr>
        <w:t>Agriculture de précision</w:t>
      </w:r>
      <w:r w:rsidRPr="00C20D7E">
        <w:t xml:space="preserve">: </w:t>
      </w:r>
      <w:r w:rsidRPr="00C20D7E">
        <w:rPr>
          <w:bCs/>
        </w:rPr>
        <w:t xml:space="preserve">concept général </w:t>
      </w:r>
      <w:r w:rsidR="00B06E34" w:rsidRPr="00C20D7E">
        <w:rPr>
          <w:bCs/>
        </w:rPr>
        <w:t>désignant les</w:t>
      </w:r>
      <w:r w:rsidRPr="00C20D7E">
        <w:rPr>
          <w:bCs/>
        </w:rPr>
        <w:t xml:space="preserve"> approches fondées sur l</w:t>
      </w:r>
      <w:r w:rsidR="00DC04B9" w:rsidRPr="00C20D7E">
        <w:rPr>
          <w:bCs/>
        </w:rPr>
        <w:t>'</w:t>
      </w:r>
      <w:r w:rsidRPr="00C20D7E">
        <w:rPr>
          <w:bCs/>
        </w:rPr>
        <w:t>IoT qui augmente</w:t>
      </w:r>
      <w:r w:rsidR="003008D3" w:rsidRPr="00C20D7E">
        <w:rPr>
          <w:bCs/>
        </w:rPr>
        <w:t>nt</w:t>
      </w:r>
      <w:r w:rsidRPr="00C20D7E">
        <w:rPr>
          <w:bCs/>
        </w:rPr>
        <w:t xml:space="preserve"> </w:t>
      </w:r>
      <w:r w:rsidR="00B06E34" w:rsidRPr="00C20D7E">
        <w:rPr>
          <w:bCs/>
        </w:rPr>
        <w:t>le caractère contrôlé</w:t>
      </w:r>
      <w:r w:rsidRPr="00C20D7E">
        <w:rPr>
          <w:bCs/>
        </w:rPr>
        <w:t xml:space="preserve"> et précis des activités agricoles. L</w:t>
      </w:r>
      <w:r w:rsidR="00DC04B9" w:rsidRPr="00C20D7E">
        <w:rPr>
          <w:bCs/>
        </w:rPr>
        <w:t>'</w:t>
      </w:r>
      <w:r w:rsidRPr="00C20D7E">
        <w:rPr>
          <w:bCs/>
        </w:rPr>
        <w:t>agriculture de précision permet de prendre des décisions à l</w:t>
      </w:r>
      <w:r w:rsidR="00DC04B9" w:rsidRPr="00C20D7E">
        <w:rPr>
          <w:bCs/>
        </w:rPr>
        <w:t>'</w:t>
      </w:r>
      <w:r w:rsidRPr="00C20D7E">
        <w:rPr>
          <w:bCs/>
        </w:rPr>
        <w:t>échelle du mètre carré voire à l</w:t>
      </w:r>
      <w:r w:rsidR="00DC04B9" w:rsidRPr="00C20D7E">
        <w:rPr>
          <w:bCs/>
        </w:rPr>
        <w:t>'</w:t>
      </w:r>
      <w:r w:rsidRPr="00C20D7E">
        <w:rPr>
          <w:bCs/>
        </w:rPr>
        <w:t>échelle d</w:t>
      </w:r>
      <w:r w:rsidR="00DC04B9" w:rsidRPr="00C20D7E">
        <w:rPr>
          <w:bCs/>
        </w:rPr>
        <w:t>'</w:t>
      </w:r>
      <w:r w:rsidRPr="00C20D7E">
        <w:rPr>
          <w:bCs/>
        </w:rPr>
        <w:t>un plant/animal plutôt que d</w:t>
      </w:r>
      <w:r w:rsidR="00DC04B9" w:rsidRPr="00C20D7E">
        <w:rPr>
          <w:bCs/>
        </w:rPr>
        <w:t>'</w:t>
      </w:r>
      <w:r w:rsidRPr="00C20D7E">
        <w:rPr>
          <w:bCs/>
        </w:rPr>
        <w:t>un champ.</w:t>
      </w:r>
      <w:r w:rsidR="006B04DE" w:rsidRPr="00C20D7E">
        <w:t xml:space="preserve"> </w:t>
      </w:r>
      <w:r w:rsidR="00CB1901" w:rsidRPr="00C20D7E">
        <w:t xml:space="preserve">En mesurant avec précision les variations </w:t>
      </w:r>
      <w:r w:rsidR="00B06E34" w:rsidRPr="00C20D7E">
        <w:t>à l</w:t>
      </w:r>
      <w:r w:rsidR="00DC04B9" w:rsidRPr="00C20D7E">
        <w:t>'</w:t>
      </w:r>
      <w:r w:rsidR="00B06E34" w:rsidRPr="00C20D7E">
        <w:t>intérieur</w:t>
      </w:r>
      <w:r w:rsidR="00CB1901" w:rsidRPr="00C20D7E">
        <w:t xml:space="preserve"> d</w:t>
      </w:r>
      <w:r w:rsidR="00DC04B9" w:rsidRPr="00C20D7E">
        <w:t>'</w:t>
      </w:r>
      <w:r w:rsidR="00CB1901" w:rsidRPr="00C20D7E">
        <w:t>un champ, les agriculteurs peuvent accroître l</w:t>
      </w:r>
      <w:r w:rsidR="00DC04B9" w:rsidRPr="00C20D7E">
        <w:t>'</w:t>
      </w:r>
      <w:r w:rsidR="00CB1901" w:rsidRPr="00C20D7E">
        <w:t>efficacité des pesticides et des engrais ou le</w:t>
      </w:r>
      <w:r w:rsidR="008E44E6">
        <w:t>s utiliser de manière sélective</w:t>
      </w:r>
      <w:r w:rsidR="006B04DE" w:rsidRPr="00C20D7E">
        <w:rPr>
          <w:vertAlign w:val="superscript"/>
        </w:rPr>
        <w:footnoteReference w:id="10"/>
      </w:r>
      <w:r w:rsidR="008E44E6">
        <w:t>.</w:t>
      </w:r>
    </w:p>
    <w:p w14:paraId="7A5AB02D" w14:textId="51E1B185" w:rsidR="00A96618" w:rsidRPr="00C20D7E" w:rsidRDefault="00C00AD3" w:rsidP="00D44185">
      <w:r w:rsidRPr="00C20D7E">
        <w:rPr>
          <w:b/>
          <w:bCs/>
        </w:rPr>
        <w:t>Élevage de précision</w:t>
      </w:r>
      <w:r w:rsidRPr="00C20D7E">
        <w:rPr>
          <w:bCs/>
        </w:rPr>
        <w:t>: pratique impliquant l</w:t>
      </w:r>
      <w:r w:rsidR="00DC04B9" w:rsidRPr="00C20D7E">
        <w:rPr>
          <w:bCs/>
        </w:rPr>
        <w:t>'</w:t>
      </w:r>
      <w:r w:rsidRPr="00C20D7E">
        <w:rPr>
          <w:bCs/>
        </w:rPr>
        <w:t xml:space="preserve">utilisation par les </w:t>
      </w:r>
      <w:r w:rsidR="00630A6D" w:rsidRPr="00C20D7E">
        <w:rPr>
          <w:bCs/>
        </w:rPr>
        <w:t xml:space="preserve">éleveurs </w:t>
      </w:r>
      <w:r w:rsidRPr="00C20D7E">
        <w:rPr>
          <w:bCs/>
        </w:rPr>
        <w:t>d</w:t>
      </w:r>
      <w:r w:rsidR="00DC04B9" w:rsidRPr="00C20D7E">
        <w:rPr>
          <w:bCs/>
        </w:rPr>
        <w:t>'</w:t>
      </w:r>
      <w:r w:rsidRPr="00C20D7E">
        <w:rPr>
          <w:bCs/>
        </w:rPr>
        <w:t>applications IoT sans fil pour surveiller la position, le bien-être et la santé de leur bétail.</w:t>
      </w:r>
      <w:r w:rsidR="006B04DE" w:rsidRPr="00C20D7E">
        <w:t xml:space="preserve"> </w:t>
      </w:r>
      <w:r w:rsidR="0093729A" w:rsidRPr="00C20D7E">
        <w:t xml:space="preserve">Grâce à ces informations, </w:t>
      </w:r>
      <w:r w:rsidR="00630A6D" w:rsidRPr="00C20D7E">
        <w:t xml:space="preserve">les éleveurs </w:t>
      </w:r>
      <w:r w:rsidR="0093729A" w:rsidRPr="00C20D7E">
        <w:t xml:space="preserve">peuvent </w:t>
      </w:r>
      <w:r w:rsidR="00630A6D" w:rsidRPr="00C20D7E">
        <w:t xml:space="preserve">repérer </w:t>
      </w:r>
      <w:r w:rsidR="0093729A" w:rsidRPr="00C20D7E">
        <w:t xml:space="preserve">les animaux malades, afin </w:t>
      </w:r>
      <w:r w:rsidR="003008D3" w:rsidRPr="00C20D7E">
        <w:t>de pouvoir les séparer</w:t>
      </w:r>
      <w:r w:rsidR="0093729A" w:rsidRPr="00C20D7E">
        <w:t xml:space="preserve"> du troupeau pour évit</w:t>
      </w:r>
      <w:r w:rsidR="008E44E6">
        <w:t>er la propagation de la maladie</w:t>
      </w:r>
      <w:r w:rsidR="006B04DE" w:rsidRPr="00C20D7E">
        <w:rPr>
          <w:vertAlign w:val="superscript"/>
        </w:rPr>
        <w:footnoteReference w:id="11"/>
      </w:r>
      <w:r w:rsidR="008E44E6">
        <w:t>.</w:t>
      </w:r>
    </w:p>
    <w:p w14:paraId="0425996D" w14:textId="31826AEE" w:rsidR="00A96618" w:rsidRPr="00C20D7E" w:rsidRDefault="00720BDD" w:rsidP="00D44185">
      <w:r w:rsidRPr="00C20D7E">
        <w:rPr>
          <w:b/>
          <w:bCs/>
        </w:rPr>
        <w:t>Agriculture en environnement contrôlé (CEA)</w:t>
      </w:r>
      <w:r w:rsidRPr="00C20D7E">
        <w:rPr>
          <w:bCs/>
        </w:rPr>
        <w:t>: approche cons</w:t>
      </w:r>
      <w:r w:rsidR="003008D3" w:rsidRPr="00C20D7E">
        <w:rPr>
          <w:bCs/>
        </w:rPr>
        <w:t>istant à cultiver les cultures en</w:t>
      </w:r>
      <w:r w:rsidRPr="00C20D7E">
        <w:rPr>
          <w:bCs/>
        </w:rPr>
        <w:t xml:space="preserve"> intérieur avec une utilisation de l</w:t>
      </w:r>
      <w:r w:rsidR="00DC04B9" w:rsidRPr="00C20D7E">
        <w:rPr>
          <w:bCs/>
        </w:rPr>
        <w:t>'</w:t>
      </w:r>
      <w:r w:rsidRPr="00C20D7E">
        <w:rPr>
          <w:bCs/>
        </w:rPr>
        <w:t>eau et de l</w:t>
      </w:r>
      <w:r w:rsidR="00DC04B9" w:rsidRPr="00C20D7E">
        <w:rPr>
          <w:bCs/>
        </w:rPr>
        <w:t>'</w:t>
      </w:r>
      <w:r w:rsidRPr="00C20D7E">
        <w:rPr>
          <w:bCs/>
        </w:rPr>
        <w:t xml:space="preserve">espace </w:t>
      </w:r>
      <w:r w:rsidR="003008D3" w:rsidRPr="00C20D7E">
        <w:rPr>
          <w:bCs/>
        </w:rPr>
        <w:t>optimisée</w:t>
      </w:r>
      <w:r w:rsidRPr="00C20D7E">
        <w:rPr>
          <w:bCs/>
        </w:rPr>
        <w:t xml:space="preserve"> par rapport à l</w:t>
      </w:r>
      <w:r w:rsidR="00DC04B9" w:rsidRPr="00C20D7E">
        <w:rPr>
          <w:bCs/>
        </w:rPr>
        <w:t>'</w:t>
      </w:r>
      <w:r w:rsidRPr="00C20D7E">
        <w:rPr>
          <w:bCs/>
        </w:rPr>
        <w:t xml:space="preserve">agriculture </w:t>
      </w:r>
      <w:r w:rsidR="00EB15A4" w:rsidRPr="00C20D7E">
        <w:rPr>
          <w:bCs/>
        </w:rPr>
        <w:t>conventionnelle</w:t>
      </w:r>
      <w:r w:rsidRPr="00C20D7E">
        <w:rPr>
          <w:bCs/>
        </w:rPr>
        <w:t>, tout en contrôlant des facteurs tels que la</w:t>
      </w:r>
      <w:r w:rsidR="003008D3" w:rsidRPr="00C20D7E">
        <w:rPr>
          <w:bCs/>
        </w:rPr>
        <w:t xml:space="preserve"> lumi</w:t>
      </w:r>
      <w:r w:rsidR="00EB15A4" w:rsidRPr="00C20D7E">
        <w:rPr>
          <w:bCs/>
        </w:rPr>
        <w:t>ère</w:t>
      </w:r>
      <w:r w:rsidRPr="00C20D7E">
        <w:rPr>
          <w:bCs/>
        </w:rPr>
        <w:t>, la température, l</w:t>
      </w:r>
      <w:r w:rsidR="00DC04B9" w:rsidRPr="00C20D7E">
        <w:rPr>
          <w:bCs/>
        </w:rPr>
        <w:t>'</w:t>
      </w:r>
      <w:r w:rsidRPr="00C20D7E">
        <w:rPr>
          <w:bCs/>
        </w:rPr>
        <w:t>humidité et la concentration en CO</w:t>
      </w:r>
      <w:r w:rsidRPr="00C20D7E">
        <w:rPr>
          <w:bCs/>
          <w:vertAlign w:val="subscript"/>
        </w:rPr>
        <w:t>2</w:t>
      </w:r>
      <w:r w:rsidRPr="00C20D7E">
        <w:rPr>
          <w:bCs/>
        </w:rPr>
        <w:t xml:space="preserve"> et en nutriments.</w:t>
      </w:r>
      <w:r w:rsidR="006B04DE" w:rsidRPr="00C20D7E">
        <w:t xml:space="preserve"> </w:t>
      </w:r>
      <w:r w:rsidR="005B3287" w:rsidRPr="00C20D7E">
        <w:rPr>
          <w:iCs/>
        </w:rPr>
        <w:t>L</w:t>
      </w:r>
      <w:r w:rsidR="00DC04B9" w:rsidRPr="00C20D7E">
        <w:rPr>
          <w:iCs/>
        </w:rPr>
        <w:t>'</w:t>
      </w:r>
      <w:r w:rsidR="005B3287" w:rsidRPr="00C20D7E">
        <w:rPr>
          <w:i/>
          <w:iCs/>
        </w:rPr>
        <w:t>agriculture verticale</w:t>
      </w:r>
      <w:r w:rsidR="005B3287" w:rsidRPr="00C20D7E">
        <w:rPr>
          <w:iCs/>
        </w:rPr>
        <w:t xml:space="preserve"> est un bon exemple et s</w:t>
      </w:r>
      <w:r w:rsidR="00DC04B9" w:rsidRPr="00C20D7E">
        <w:rPr>
          <w:iCs/>
        </w:rPr>
        <w:t>'</w:t>
      </w:r>
      <w:r w:rsidR="005B3287" w:rsidRPr="00C20D7E">
        <w:rPr>
          <w:iCs/>
        </w:rPr>
        <w:t>accompagne d</w:t>
      </w:r>
      <w:r w:rsidR="00DC04B9" w:rsidRPr="00C20D7E">
        <w:rPr>
          <w:iCs/>
        </w:rPr>
        <w:t>'</w:t>
      </w:r>
      <w:r w:rsidR="005B3287" w:rsidRPr="00C20D7E">
        <w:rPr>
          <w:iCs/>
        </w:rPr>
        <w:t xml:space="preserve">un effet </w:t>
      </w:r>
      <w:r w:rsidR="003008D3" w:rsidRPr="00C20D7E">
        <w:rPr>
          <w:iCs/>
        </w:rPr>
        <w:t>positif</w:t>
      </w:r>
      <w:r w:rsidR="005B3287" w:rsidRPr="00C20D7E">
        <w:rPr>
          <w:iCs/>
        </w:rPr>
        <w:t>:</w:t>
      </w:r>
      <w:r w:rsidR="006B04DE" w:rsidRPr="00C20D7E">
        <w:t xml:space="preserve"> </w:t>
      </w:r>
      <w:r w:rsidR="00C02E8F" w:rsidRPr="00C20D7E">
        <w:t xml:space="preserve">la production alimentaire peut </w:t>
      </w:r>
      <w:r w:rsidR="003008D3" w:rsidRPr="00C20D7E">
        <w:t>se faire</w:t>
      </w:r>
      <w:r w:rsidR="00C02E8F" w:rsidRPr="00C20D7E">
        <w:t xml:space="preserve"> plus proche des villes, voire à l</w:t>
      </w:r>
      <w:r w:rsidR="00DC04B9" w:rsidRPr="00C20D7E">
        <w:t>'</w:t>
      </w:r>
      <w:r w:rsidR="008E44E6">
        <w:t>intérieur de celles-ci</w:t>
      </w:r>
      <w:r w:rsidR="006B04DE" w:rsidRPr="00C20D7E">
        <w:rPr>
          <w:vertAlign w:val="superscript"/>
        </w:rPr>
        <w:footnoteReference w:id="12"/>
      </w:r>
      <w:r w:rsidR="008E44E6">
        <w:t>.</w:t>
      </w:r>
    </w:p>
    <w:p w14:paraId="317B8D71" w14:textId="45AEEE57" w:rsidR="00A96618" w:rsidRPr="00C20D7E" w:rsidRDefault="009A08F4" w:rsidP="00D44185">
      <w:r w:rsidRPr="00C20D7E">
        <w:rPr>
          <w:b/>
          <w:bCs/>
        </w:rPr>
        <w:t>Serres intelligentes</w:t>
      </w:r>
      <w:r w:rsidRPr="00C20D7E">
        <w:rPr>
          <w:bCs/>
        </w:rPr>
        <w:t>: installations utilisant l</w:t>
      </w:r>
      <w:r w:rsidR="00DC04B9" w:rsidRPr="00C20D7E">
        <w:rPr>
          <w:bCs/>
        </w:rPr>
        <w:t>'</w:t>
      </w:r>
      <w:r w:rsidRPr="00C20D7E">
        <w:rPr>
          <w:bCs/>
        </w:rPr>
        <w:t>IoT pour surveiller intelligemment le climat, en éliminant la nécessité d</w:t>
      </w:r>
      <w:r w:rsidR="00DC04B9" w:rsidRPr="00C20D7E">
        <w:rPr>
          <w:bCs/>
        </w:rPr>
        <w:t>'</w:t>
      </w:r>
      <w:r w:rsidRPr="00C20D7E">
        <w:rPr>
          <w:bCs/>
        </w:rPr>
        <w:t>une intervention manuelle.</w:t>
      </w:r>
      <w:r w:rsidR="006B04DE" w:rsidRPr="00C20D7E">
        <w:t xml:space="preserve"> </w:t>
      </w:r>
      <w:r w:rsidR="00244BFD" w:rsidRPr="00C20D7E">
        <w:t xml:space="preserve">Différents capteurs sont installés afin de mesurer les paramètres environnementaux en fonction des besoins </w:t>
      </w:r>
      <w:r w:rsidR="00EB15A4" w:rsidRPr="00C20D7E">
        <w:t>propres à la variété</w:t>
      </w:r>
      <w:r w:rsidR="00244BFD" w:rsidRPr="00C20D7E">
        <w:t xml:space="preserve"> cult</w:t>
      </w:r>
      <w:r w:rsidR="00EB15A4" w:rsidRPr="00C20D7E">
        <w:t>ivée</w:t>
      </w:r>
      <w:r w:rsidR="00244BFD" w:rsidRPr="00C20D7E">
        <w:t>.</w:t>
      </w:r>
      <w:r w:rsidR="006B04DE" w:rsidRPr="00C20D7E">
        <w:t xml:space="preserve"> </w:t>
      </w:r>
      <w:r w:rsidR="004E77E9" w:rsidRPr="00C20D7E">
        <w:t xml:space="preserve">Les données sont stockées sur une plate-forme dans le nuage </w:t>
      </w:r>
      <w:r w:rsidR="00EB15A4" w:rsidRPr="00C20D7E">
        <w:t>qui sont ensuite</w:t>
      </w:r>
      <w:r w:rsidR="004E77E9" w:rsidRPr="00C20D7E">
        <w:t xml:space="preserve"> trait</w:t>
      </w:r>
      <w:r w:rsidR="00EB15A4" w:rsidRPr="00C20D7E">
        <w:t>ées</w:t>
      </w:r>
      <w:r w:rsidR="004E77E9" w:rsidRPr="00C20D7E">
        <w:t xml:space="preserve"> et </w:t>
      </w:r>
      <w:r w:rsidR="00EB15A4" w:rsidRPr="00C20D7E">
        <w:t>contrôlées avec</w:t>
      </w:r>
      <w:r w:rsidR="004E77E9" w:rsidRPr="00C20D7E">
        <w:t xml:space="preserve"> une intervention manuelle minimale</w:t>
      </w:r>
      <w:r w:rsidR="006B04DE" w:rsidRPr="00C20D7E">
        <w:rPr>
          <w:vertAlign w:val="superscript"/>
        </w:rPr>
        <w:footnoteReference w:id="13"/>
      </w:r>
      <w:r w:rsidR="008E44E6">
        <w:t>.</w:t>
      </w:r>
    </w:p>
    <w:bookmarkEnd w:id="2"/>
    <w:p w14:paraId="6BEDED48" w14:textId="379F708F" w:rsidR="00A96618" w:rsidRPr="003C1C91" w:rsidRDefault="006B04DE" w:rsidP="003C1C91">
      <w:pPr>
        <w:pStyle w:val="Heading1"/>
        <w:spacing w:before="360"/>
        <w:rPr>
          <w:bCs/>
        </w:rPr>
      </w:pPr>
      <w:r w:rsidRPr="003C1C91">
        <w:rPr>
          <w:bCs/>
        </w:rPr>
        <w:t>2</w:t>
      </w:r>
      <w:r w:rsidRPr="003C1C91">
        <w:rPr>
          <w:bCs/>
        </w:rPr>
        <w:tab/>
      </w:r>
      <w:r w:rsidR="00AB12A9" w:rsidRPr="003C1C91">
        <w:rPr>
          <w:bCs/>
        </w:rPr>
        <w:t>Objectifs du Groupe spécialisé sur l</w:t>
      </w:r>
      <w:r w:rsidR="00DC04B9" w:rsidRPr="003C1C91">
        <w:rPr>
          <w:bCs/>
        </w:rPr>
        <w:t>'</w:t>
      </w:r>
      <w:r w:rsidR="00AB12A9" w:rsidRPr="003C1C91">
        <w:rPr>
          <w:bCs/>
        </w:rPr>
        <w:t>IA et l</w:t>
      </w:r>
      <w:r w:rsidR="00DC04B9" w:rsidRPr="003C1C91">
        <w:rPr>
          <w:bCs/>
        </w:rPr>
        <w:t>'</w:t>
      </w:r>
      <w:r w:rsidR="00AB12A9" w:rsidRPr="003C1C91">
        <w:rPr>
          <w:bCs/>
        </w:rPr>
        <w:t>IoT au service de l</w:t>
      </w:r>
      <w:r w:rsidR="00DC04B9" w:rsidRPr="003C1C91">
        <w:rPr>
          <w:bCs/>
        </w:rPr>
        <w:t>'</w:t>
      </w:r>
      <w:r w:rsidR="00AB12A9" w:rsidRPr="003C1C91">
        <w:rPr>
          <w:bCs/>
        </w:rPr>
        <w:t>agriculture numérique (FG</w:t>
      </w:r>
      <w:r w:rsidR="00BF52C7" w:rsidRPr="003C1C91">
        <w:rPr>
          <w:bCs/>
        </w:rPr>
        <w:noBreakHyphen/>
      </w:r>
      <w:r w:rsidR="00AB12A9" w:rsidRPr="003C1C91">
        <w:rPr>
          <w:bCs/>
        </w:rPr>
        <w:t>AI4A)</w:t>
      </w:r>
    </w:p>
    <w:p w14:paraId="21B4DD11" w14:textId="65BE184C" w:rsidR="00A96618" w:rsidRPr="00C20D7E" w:rsidRDefault="00853452" w:rsidP="00D44185">
      <w:r w:rsidRPr="00C20D7E">
        <w:t>Le groupe spécialisé dont la création est proposée étudie les possibilités offertes par l</w:t>
      </w:r>
      <w:r w:rsidR="00DC04B9" w:rsidRPr="00C20D7E">
        <w:t>'</w:t>
      </w:r>
      <w:r w:rsidRPr="00C20D7E">
        <w:t>IA et l</w:t>
      </w:r>
      <w:r w:rsidR="00DC04B9" w:rsidRPr="00C20D7E">
        <w:t>'</w:t>
      </w:r>
      <w:r w:rsidRPr="00C20D7E">
        <w:t xml:space="preserve">IoT pour </w:t>
      </w:r>
      <w:r w:rsidR="00EB15A4" w:rsidRPr="00C20D7E">
        <w:t xml:space="preserve">appuyer </w:t>
      </w:r>
      <w:r w:rsidRPr="00C20D7E">
        <w:t>les pratiques innovantes en matière de production agricole.</w:t>
      </w:r>
      <w:r w:rsidR="006B04DE" w:rsidRPr="00C20D7E">
        <w:t xml:space="preserve"> </w:t>
      </w:r>
      <w:r w:rsidR="00134E6B" w:rsidRPr="00C20D7E">
        <w:t>Il</w:t>
      </w:r>
      <w:r w:rsidR="00D25A7F" w:rsidRPr="00C20D7E">
        <w:t xml:space="preserve"> </w:t>
      </w:r>
      <w:r w:rsidR="00EB15A4" w:rsidRPr="00C20D7E">
        <w:t xml:space="preserve">a </w:t>
      </w:r>
      <w:r w:rsidR="00D25A7F" w:rsidRPr="00C20D7E">
        <w:t>également</w:t>
      </w:r>
      <w:r w:rsidR="00EB15A4" w:rsidRPr="00C20D7E">
        <w:t xml:space="preserve"> pour objet d</w:t>
      </w:r>
      <w:r w:rsidR="00DC04B9" w:rsidRPr="00C20D7E">
        <w:t>'</w:t>
      </w:r>
      <w:r w:rsidR="00EB15A4" w:rsidRPr="00C20D7E">
        <w:t>étudier</w:t>
      </w:r>
      <w:r w:rsidR="00D25A7F" w:rsidRPr="00C20D7E">
        <w:t xml:space="preserve"> les</w:t>
      </w:r>
      <w:r w:rsidR="00EB15A4" w:rsidRPr="00C20D7E">
        <w:t xml:space="preserve"> éventuels</w:t>
      </w:r>
      <w:r w:rsidR="00D25A7F" w:rsidRPr="00C20D7E">
        <w:t xml:space="preserve"> inconvénients de ces technologies dans ce contexte, les obstacles </w:t>
      </w:r>
      <w:r w:rsidR="00EB15A4" w:rsidRPr="00C20D7E">
        <w:t>qui pourraient être associés</w:t>
      </w:r>
      <w:r w:rsidR="00D25A7F" w:rsidRPr="00C20D7E">
        <w:t xml:space="preserve"> à </w:t>
      </w:r>
      <w:r w:rsidR="00134E6B" w:rsidRPr="00C20D7E">
        <w:t>l</w:t>
      </w:r>
      <w:r w:rsidR="00EB15A4" w:rsidRPr="00C20D7E">
        <w:t xml:space="preserve">eur </w:t>
      </w:r>
      <w:r w:rsidR="00D25A7F" w:rsidRPr="00C20D7E">
        <w:t xml:space="preserve">utilisation, les bonnes pratiques </w:t>
      </w:r>
      <w:r w:rsidR="00EB15A4" w:rsidRPr="00C20D7E">
        <w:t>en vue de leur déploiement</w:t>
      </w:r>
      <w:r w:rsidR="00D25A7F" w:rsidRPr="00C20D7E">
        <w:t xml:space="preserve"> optimal ainsi que tout autre sujet pertinent.</w:t>
      </w:r>
    </w:p>
    <w:p w14:paraId="32919D08" w14:textId="63364E36" w:rsidR="00A96618" w:rsidRPr="00C20D7E" w:rsidRDefault="005B180D" w:rsidP="00D44185">
      <w:r w:rsidRPr="00C20D7E">
        <w:t xml:space="preserve">Dans le cadre de ces travaux, le </w:t>
      </w:r>
      <w:r w:rsidR="00EB15A4" w:rsidRPr="00C20D7E">
        <w:t>G</w:t>
      </w:r>
      <w:r w:rsidRPr="00C20D7E">
        <w:t>roupe spécialisé effectue une analyse de l</w:t>
      </w:r>
      <w:r w:rsidR="00DC04B9" w:rsidRPr="00C20D7E">
        <w:t>'</w:t>
      </w:r>
      <w:r w:rsidRPr="00C20D7E">
        <w:t>utilisation de l</w:t>
      </w:r>
      <w:r w:rsidR="00DC04B9" w:rsidRPr="00C20D7E">
        <w:t>'</w:t>
      </w:r>
      <w:r w:rsidRPr="00C20D7E">
        <w:t>IA et de l</w:t>
      </w:r>
      <w:r w:rsidR="00DC04B9" w:rsidRPr="00C20D7E">
        <w:t>'</w:t>
      </w:r>
      <w:r w:rsidRPr="00C20D7E">
        <w:t>IoT dans le domaine de la production agricole</w:t>
      </w:r>
      <w:r w:rsidR="00EB15A4" w:rsidRPr="00C20D7E">
        <w:t>,</w:t>
      </w:r>
      <w:r w:rsidRPr="00C20D7E">
        <w:t xml:space="preserve"> en vue de </w:t>
      </w:r>
      <w:r w:rsidR="007E42FE" w:rsidRPr="00C20D7E">
        <w:t>faire un état des lieux en la matière</w:t>
      </w:r>
      <w:r w:rsidR="008E44E6">
        <w:t xml:space="preserve"> (aux </w:t>
      </w:r>
      <w:r w:rsidRPr="00C20D7E">
        <w:t>niveaux mondial et régional)</w:t>
      </w:r>
      <w:r w:rsidR="007E42FE" w:rsidRPr="00C20D7E">
        <w:t xml:space="preserve"> et d</w:t>
      </w:r>
      <w:r w:rsidR="00DC04B9" w:rsidRPr="00C20D7E">
        <w:t>'</w:t>
      </w:r>
      <w:r w:rsidR="007E42FE" w:rsidRPr="00C20D7E">
        <w:t>identifier</w:t>
      </w:r>
      <w:r w:rsidRPr="00C20D7E">
        <w:t xml:space="preserve"> les concepts fondamentaux, les </w:t>
      </w:r>
      <w:r w:rsidR="007E42FE" w:rsidRPr="00C20D7E">
        <w:t xml:space="preserve">principales </w:t>
      </w:r>
      <w:r w:rsidRPr="00C20D7E">
        <w:t>tendances</w:t>
      </w:r>
      <w:r w:rsidR="007E42FE" w:rsidRPr="00C20D7E">
        <w:t>,</w:t>
      </w:r>
      <w:r w:rsidRPr="00C20D7E">
        <w:t xml:space="preserve"> les lacunes et les </w:t>
      </w:r>
      <w:r w:rsidR="007E42FE" w:rsidRPr="00C20D7E">
        <w:t>enjeux</w:t>
      </w:r>
      <w:r w:rsidRPr="00C20D7E">
        <w:t xml:space="preserve"> en </w:t>
      </w:r>
      <w:r w:rsidR="007E42FE" w:rsidRPr="00C20D7E">
        <w:t xml:space="preserve">en ce qui concerne les activités </w:t>
      </w:r>
      <w:r w:rsidRPr="00C20D7E">
        <w:t xml:space="preserve">de normalisation dans ce </w:t>
      </w:r>
      <w:r w:rsidRPr="00C20D7E">
        <w:lastRenderedPageBreak/>
        <w:t>domaine</w:t>
      </w:r>
      <w:r w:rsidR="007E42FE" w:rsidRPr="00C20D7E">
        <w:t>, ainsi qu</w:t>
      </w:r>
      <w:r w:rsidR="00DC04B9" w:rsidRPr="00C20D7E">
        <w:t>'</w:t>
      </w:r>
      <w:r w:rsidR="007E42FE" w:rsidRPr="00C20D7E">
        <w:t>en vue de déduire</w:t>
      </w:r>
      <w:r w:rsidRPr="00C20D7E">
        <w:t xml:space="preserve"> des cas d</w:t>
      </w:r>
      <w:r w:rsidR="00DC04B9" w:rsidRPr="00C20D7E">
        <w:t>'</w:t>
      </w:r>
      <w:r w:rsidRPr="00C20D7E">
        <w:t xml:space="preserve">utilisation et </w:t>
      </w:r>
      <w:r w:rsidR="007E42FE" w:rsidRPr="00C20D7E">
        <w:t>d</w:t>
      </w:r>
      <w:r w:rsidR="00DC04B9" w:rsidRPr="00C20D7E">
        <w:t>'</w:t>
      </w:r>
      <w:r w:rsidRPr="00C20D7E">
        <w:t>étudier les exigences de haut niveau et les approches possibles en matière d</w:t>
      </w:r>
      <w:r w:rsidR="00DC04B9" w:rsidRPr="00C20D7E">
        <w:t>'</w:t>
      </w:r>
      <w:r w:rsidRPr="00C20D7E">
        <w:t xml:space="preserve">architecture, afin de </w:t>
      </w:r>
      <w:r w:rsidR="007E42FE" w:rsidRPr="00C20D7E">
        <w:t>répondre aux</w:t>
      </w:r>
      <w:r w:rsidRPr="00C20D7E">
        <w:t xml:space="preserve"> besoins des utilisateurs de ce secteur en pleine évolution.</w:t>
      </w:r>
      <w:r w:rsidR="006B04DE" w:rsidRPr="00C20D7E">
        <w:t xml:space="preserve"> </w:t>
      </w:r>
      <w:r w:rsidR="007546D0" w:rsidRPr="00C20D7E">
        <w:t xml:space="preserve">Le </w:t>
      </w:r>
      <w:r w:rsidR="007E42FE" w:rsidRPr="00C20D7E">
        <w:t>G</w:t>
      </w:r>
      <w:r w:rsidR="007546D0" w:rsidRPr="00C20D7E">
        <w:t>roupe spécialisé a pour objectif de publier les résultats de ces travaux dans différents rapports et différentes études de cas.</w:t>
      </w:r>
    </w:p>
    <w:p w14:paraId="17421D2A" w14:textId="711D4282" w:rsidR="00A96618" w:rsidRPr="00C20D7E" w:rsidRDefault="009E4A84" w:rsidP="00D44185">
      <w:r w:rsidRPr="00C20D7E">
        <w:t xml:space="preserve">Pour </w:t>
      </w:r>
      <w:r w:rsidR="007E42FE" w:rsidRPr="00C20D7E">
        <w:t>ce faire</w:t>
      </w:r>
      <w:r w:rsidRPr="00C20D7E">
        <w:t xml:space="preserve">, le Groupe FG-AI4A rassemble de nombreuses parties prenantes et de nombreux experts du monde entier en </w:t>
      </w:r>
      <w:r w:rsidR="007E42FE" w:rsidRPr="00C20D7E">
        <w:t>ce qu</w:t>
      </w:r>
      <w:r w:rsidR="00DC04B9" w:rsidRPr="00C20D7E">
        <w:t>'</w:t>
      </w:r>
      <w:r w:rsidR="007E42FE" w:rsidRPr="00C20D7E">
        <w:t>il offre une</w:t>
      </w:r>
      <w:r w:rsidRPr="00C20D7E">
        <w:t xml:space="preserve"> plate-forme ouverte permettan</w:t>
      </w:r>
      <w:r w:rsidR="003B0323" w:rsidRPr="00C20D7E">
        <w:t xml:space="preserve">t aux experts </w:t>
      </w:r>
      <w:r w:rsidR="003B0323" w:rsidRPr="008E44E6">
        <w:t xml:space="preserve">représentant les </w:t>
      </w:r>
      <w:r w:rsidR="008E44E6">
        <w:t>m</w:t>
      </w:r>
      <w:r w:rsidRPr="008E44E6">
        <w:t>embres de l</w:t>
      </w:r>
      <w:r w:rsidR="00DC04B9" w:rsidRPr="008E44E6">
        <w:t>'</w:t>
      </w:r>
      <w:r w:rsidRPr="008E44E6">
        <w:t xml:space="preserve">UIT et les entités </w:t>
      </w:r>
      <w:r w:rsidR="008E44E6" w:rsidRPr="008E44E6">
        <w:t>non-</w:t>
      </w:r>
      <w:r w:rsidR="008E44E6">
        <w:t>m</w:t>
      </w:r>
      <w:r w:rsidRPr="008E44E6">
        <w:t>embres de</w:t>
      </w:r>
      <w:r w:rsidR="003B0323" w:rsidRPr="008E44E6">
        <w:t xml:space="preserve"> l</w:t>
      </w:r>
      <w:r w:rsidR="00DC04B9" w:rsidRPr="008E44E6">
        <w:t>'</w:t>
      </w:r>
      <w:r w:rsidR="003B0323" w:rsidRPr="008E44E6">
        <w:t xml:space="preserve">UIT de </w:t>
      </w:r>
      <w:r w:rsidR="007E42FE" w:rsidRPr="008E44E6">
        <w:t>faire avancer</w:t>
      </w:r>
      <w:r w:rsidR="007E42FE" w:rsidRPr="00C20D7E">
        <w:t xml:space="preserve"> </w:t>
      </w:r>
      <w:r w:rsidR="003B0323" w:rsidRPr="00C20D7E">
        <w:t>rapidement</w:t>
      </w:r>
      <w:r w:rsidRPr="00C20D7E">
        <w:t xml:space="preserve"> les études portant sur les technologies, les normes et les applications </w:t>
      </w:r>
      <w:r w:rsidR="007E42FE" w:rsidRPr="00C20D7E">
        <w:t>présentant un intérêt pour</w:t>
      </w:r>
      <w:r w:rsidRPr="00C20D7E">
        <w:t xml:space="preserve"> l</w:t>
      </w:r>
      <w:r w:rsidR="00DC04B9" w:rsidRPr="00C20D7E">
        <w:t>'</w:t>
      </w:r>
      <w:r w:rsidR="003B0323" w:rsidRPr="00C20D7E">
        <w:t>utilisation de l</w:t>
      </w:r>
      <w:r w:rsidR="00DC04B9" w:rsidRPr="00C20D7E">
        <w:t>'</w:t>
      </w:r>
      <w:r w:rsidRPr="00C20D7E">
        <w:t xml:space="preserve">IA et </w:t>
      </w:r>
      <w:r w:rsidR="003B0323" w:rsidRPr="00C20D7E">
        <w:t>de</w:t>
      </w:r>
      <w:r w:rsidRPr="00C20D7E">
        <w:t xml:space="preserve"> l</w:t>
      </w:r>
      <w:r w:rsidR="00DC04B9" w:rsidRPr="00C20D7E">
        <w:t>'</w:t>
      </w:r>
      <w:r w:rsidRPr="00C20D7E">
        <w:t>IoT dans l</w:t>
      </w:r>
      <w:r w:rsidR="00DC04B9" w:rsidRPr="00C20D7E">
        <w:t>'</w:t>
      </w:r>
      <w:r w:rsidRPr="00C20D7E">
        <w:t>agriculture.</w:t>
      </w:r>
    </w:p>
    <w:p w14:paraId="5E65A541" w14:textId="7BDCD626" w:rsidR="00A96618" w:rsidRPr="00C20D7E" w:rsidRDefault="00C548FC" w:rsidP="00D44185">
      <w:r w:rsidRPr="00C20D7E">
        <w:t>Il s</w:t>
      </w:r>
      <w:r w:rsidR="00DC04B9" w:rsidRPr="00C20D7E">
        <w:t>'</w:t>
      </w:r>
      <w:r w:rsidRPr="00C20D7E">
        <w:t xml:space="preserve">attachera tout particulièrement à </w:t>
      </w:r>
      <w:r w:rsidR="007E42FE" w:rsidRPr="00C20D7E">
        <w:t xml:space="preserve">appuyer </w:t>
      </w:r>
      <w:r w:rsidRPr="00C20D7E">
        <w:t>la participation des pays à faible revenu ou à revenu intermédiaire</w:t>
      </w:r>
      <w:r w:rsidR="00D17044" w:rsidRPr="00C20D7E">
        <w:t>,</w:t>
      </w:r>
      <w:r w:rsidRPr="00C20D7E">
        <w:t xml:space="preserve"> </w:t>
      </w:r>
      <w:r w:rsidR="003B0323" w:rsidRPr="00C20D7E">
        <w:t>ainsi que</w:t>
      </w:r>
      <w:r w:rsidRPr="00C20D7E">
        <w:t xml:space="preserve"> des pays </w:t>
      </w:r>
      <w:r w:rsidR="00D17044" w:rsidRPr="00C20D7E">
        <w:t>dont il est établi qu</w:t>
      </w:r>
      <w:r w:rsidR="00DC04B9" w:rsidRPr="00C20D7E">
        <w:t>'</w:t>
      </w:r>
      <w:r w:rsidR="00D17044" w:rsidRPr="00C20D7E">
        <w:t>ils sont ceux qui retireront les plus grands bénéfices de</w:t>
      </w:r>
      <w:r w:rsidRPr="00C20D7E">
        <w:t xml:space="preserve"> l</w:t>
      </w:r>
      <w:r w:rsidR="00DC04B9" w:rsidRPr="00C20D7E">
        <w:t>'</w:t>
      </w:r>
      <w:r w:rsidRPr="00C20D7E">
        <w:t>agriculture numérique (par exemple les PEID, les PDSL et les PMA).</w:t>
      </w:r>
      <w:r w:rsidR="006B04DE" w:rsidRPr="00C20D7E">
        <w:t xml:space="preserve"> </w:t>
      </w:r>
      <w:r w:rsidR="008E44E6">
        <w:t>Enfin, le Groupe </w:t>
      </w:r>
      <w:r w:rsidR="00424F0C" w:rsidRPr="00C20D7E">
        <w:t>FG-AI4A contribue</w:t>
      </w:r>
      <w:r w:rsidR="00D17044" w:rsidRPr="00C20D7E">
        <w:t xml:space="preserve"> à faire avancer les</w:t>
      </w:r>
      <w:r w:rsidR="00424F0C" w:rsidRPr="00C20D7E">
        <w:t xml:space="preserve"> travaux de la Commission d</w:t>
      </w:r>
      <w:r w:rsidR="00DC04B9" w:rsidRPr="00C20D7E">
        <w:t>'</w:t>
      </w:r>
      <w:r w:rsidR="00424F0C" w:rsidRPr="00C20D7E">
        <w:t>études 20 de l</w:t>
      </w:r>
      <w:r w:rsidR="00DC04B9" w:rsidRPr="00C20D7E">
        <w:t>'</w:t>
      </w:r>
      <w:r w:rsidR="00424F0C" w:rsidRPr="00C20D7E">
        <w:t>UIT-T, dont il dépend, dans les domaines de l</w:t>
      </w:r>
      <w:r w:rsidR="00DC04B9" w:rsidRPr="00C20D7E">
        <w:t>'</w:t>
      </w:r>
      <w:r w:rsidR="00424F0C" w:rsidRPr="00C20D7E">
        <w:t>IA et de l</w:t>
      </w:r>
      <w:r w:rsidR="00DC04B9" w:rsidRPr="00C20D7E">
        <w:t>'</w:t>
      </w:r>
      <w:r w:rsidR="00424F0C" w:rsidRPr="00C20D7E">
        <w:t>IoT.</w:t>
      </w:r>
    </w:p>
    <w:p w14:paraId="7C819603" w14:textId="4A10DC2F" w:rsidR="00A96618" w:rsidRPr="00C20D7E" w:rsidRDefault="00B4181C" w:rsidP="00D44185">
      <w:r w:rsidRPr="00C20D7E">
        <w:t xml:space="preserve">Plus précisément, les objectifs du </w:t>
      </w:r>
      <w:r w:rsidR="00D17044" w:rsidRPr="00C20D7E">
        <w:t>G</w:t>
      </w:r>
      <w:r w:rsidRPr="00C20D7E">
        <w:t>roupe spécialisé sont les suivants:</w:t>
      </w:r>
    </w:p>
    <w:p w14:paraId="1264E468" w14:textId="69615043" w:rsidR="00A96618" w:rsidRPr="00C20D7E" w:rsidRDefault="006B04DE" w:rsidP="00D44185">
      <w:pPr>
        <w:pStyle w:val="enumlev1"/>
      </w:pPr>
      <w:r w:rsidRPr="00C20D7E">
        <w:t>a)</w:t>
      </w:r>
      <w:r w:rsidRPr="00C20D7E">
        <w:tab/>
      </w:r>
      <w:r w:rsidR="00FB2785" w:rsidRPr="00C20D7E">
        <w:t xml:space="preserve">Promouvoir les activités du </w:t>
      </w:r>
      <w:r w:rsidR="00D17044" w:rsidRPr="00C20D7E">
        <w:t>G</w:t>
      </w:r>
      <w:r w:rsidR="00FB2785" w:rsidRPr="00C20D7E">
        <w:t xml:space="preserve">roupe spécialisé concernant ses travaux de pré-normalisation </w:t>
      </w:r>
      <w:r w:rsidR="00500B05" w:rsidRPr="00C20D7E">
        <w:t xml:space="preserve">sur </w:t>
      </w:r>
      <w:r w:rsidR="003B0323" w:rsidRPr="00C20D7E">
        <w:t>l</w:t>
      </w:r>
      <w:r w:rsidR="00DC04B9" w:rsidRPr="00C20D7E">
        <w:t>'</w:t>
      </w:r>
      <w:r w:rsidR="003B0323" w:rsidRPr="00C20D7E">
        <w:t xml:space="preserve">utilisation </w:t>
      </w:r>
      <w:r w:rsidR="00FB2785" w:rsidRPr="00C20D7E">
        <w:t xml:space="preserve">de technologies </w:t>
      </w:r>
      <w:r w:rsidR="00D17044" w:rsidRPr="00C20D7E">
        <w:t>respectueuses de l</w:t>
      </w:r>
      <w:r w:rsidR="00DC04B9" w:rsidRPr="00C20D7E">
        <w:t>'</w:t>
      </w:r>
      <w:r w:rsidR="00D17044" w:rsidRPr="00C20D7E">
        <w:t xml:space="preserve">environnement </w:t>
      </w:r>
      <w:r w:rsidR="00FB2785" w:rsidRPr="00C20D7E">
        <w:t>fondées sur l</w:t>
      </w:r>
      <w:r w:rsidR="00DC04B9" w:rsidRPr="00C20D7E">
        <w:t>'</w:t>
      </w:r>
      <w:r w:rsidR="00FB2785" w:rsidRPr="00C20D7E">
        <w:t>IA et l</w:t>
      </w:r>
      <w:r w:rsidR="00DC04B9" w:rsidRPr="00C20D7E">
        <w:t>'</w:t>
      </w:r>
      <w:r w:rsidR="00FB2785" w:rsidRPr="00C20D7E">
        <w:t xml:space="preserve">IoT </w:t>
      </w:r>
      <w:r w:rsidR="00500B05" w:rsidRPr="00C20D7E">
        <w:t xml:space="preserve">en </w:t>
      </w:r>
      <w:r w:rsidR="008E44E6">
        <w:t>agriculture.</w:t>
      </w:r>
    </w:p>
    <w:p w14:paraId="439B323D" w14:textId="5AEEC074" w:rsidR="00A96618" w:rsidRPr="00C20D7E" w:rsidRDefault="006B04DE" w:rsidP="00D44185">
      <w:pPr>
        <w:pStyle w:val="enumlev1"/>
      </w:pPr>
      <w:r w:rsidRPr="00C20D7E">
        <w:t>b)</w:t>
      </w:r>
      <w:r w:rsidRPr="00C20D7E">
        <w:tab/>
      </w:r>
      <w:r w:rsidR="008E44E6">
        <w:rPr>
          <w:rFonts w:eastAsia="SimSun"/>
          <w:lang w:eastAsia="ja-JP"/>
        </w:rPr>
        <w:t>Cr</w:t>
      </w:r>
      <w:r w:rsidR="00B00E80" w:rsidRPr="00C20D7E">
        <w:rPr>
          <w:rFonts w:eastAsia="SimSun"/>
          <w:lang w:eastAsia="ja-JP"/>
        </w:rPr>
        <w:t>éer une communauté de parties prenantes et d</w:t>
      </w:r>
      <w:r w:rsidR="00DC04B9" w:rsidRPr="00C20D7E">
        <w:rPr>
          <w:rFonts w:eastAsia="SimSun"/>
          <w:lang w:eastAsia="ja-JP"/>
        </w:rPr>
        <w:t>'</w:t>
      </w:r>
      <w:r w:rsidR="00B00E80" w:rsidRPr="00C20D7E">
        <w:rPr>
          <w:rFonts w:eastAsia="SimSun"/>
          <w:lang w:eastAsia="ja-JP"/>
        </w:rPr>
        <w:t>experts du monde entier pour réfléchir à l</w:t>
      </w:r>
      <w:r w:rsidR="00DC04B9" w:rsidRPr="00C20D7E">
        <w:rPr>
          <w:rFonts w:eastAsia="SimSun"/>
          <w:lang w:eastAsia="ja-JP"/>
        </w:rPr>
        <w:t>'</w:t>
      </w:r>
      <w:r w:rsidR="00B00E80" w:rsidRPr="00C20D7E">
        <w:rPr>
          <w:rFonts w:eastAsia="SimSun"/>
          <w:lang w:eastAsia="ja-JP"/>
        </w:rPr>
        <w:t>utilisation des technologies émergentes relatives à l</w:t>
      </w:r>
      <w:r w:rsidR="00DC04B9" w:rsidRPr="00C20D7E">
        <w:rPr>
          <w:rFonts w:eastAsia="SimSun"/>
          <w:lang w:eastAsia="ja-JP"/>
        </w:rPr>
        <w:t>'</w:t>
      </w:r>
      <w:r w:rsidR="00B00E80" w:rsidRPr="00C20D7E">
        <w:rPr>
          <w:rFonts w:eastAsia="SimSun"/>
          <w:lang w:eastAsia="ja-JP"/>
        </w:rPr>
        <w:t>IA et à l</w:t>
      </w:r>
      <w:r w:rsidR="00DC04B9" w:rsidRPr="00C20D7E">
        <w:rPr>
          <w:rFonts w:eastAsia="SimSun"/>
          <w:lang w:eastAsia="ja-JP"/>
        </w:rPr>
        <w:t>'</w:t>
      </w:r>
      <w:r w:rsidR="00B00E80" w:rsidRPr="00C20D7E">
        <w:rPr>
          <w:rFonts w:eastAsia="SimSun"/>
          <w:lang w:eastAsia="ja-JP"/>
        </w:rPr>
        <w:t xml:space="preserve">IoT </w:t>
      </w:r>
      <w:r w:rsidR="00500B05" w:rsidRPr="00C20D7E">
        <w:rPr>
          <w:rFonts w:eastAsia="SimSun"/>
          <w:lang w:eastAsia="ja-JP"/>
        </w:rPr>
        <w:t xml:space="preserve">en </w:t>
      </w:r>
      <w:r w:rsidR="00B00E80" w:rsidRPr="00C20D7E">
        <w:rPr>
          <w:rFonts w:eastAsia="SimSun"/>
          <w:lang w:eastAsia="ja-JP"/>
        </w:rPr>
        <w:t>agriculture</w:t>
      </w:r>
      <w:r w:rsidR="008E44E6">
        <w:rPr>
          <w:rFonts w:eastAsia="SimSun"/>
          <w:lang w:eastAsia="ja-JP"/>
        </w:rPr>
        <w:t>.</w:t>
      </w:r>
    </w:p>
    <w:p w14:paraId="33E31A70" w14:textId="1FCE21B1" w:rsidR="00A96618" w:rsidRPr="00C20D7E" w:rsidRDefault="006B04DE" w:rsidP="00D44185">
      <w:pPr>
        <w:pStyle w:val="enumlev1"/>
      </w:pPr>
      <w:r w:rsidRPr="00C20D7E">
        <w:t>c)</w:t>
      </w:r>
      <w:r w:rsidRPr="00C20D7E">
        <w:tab/>
      </w:r>
      <w:r w:rsidR="008E44E6">
        <w:t>O</w:t>
      </w:r>
      <w:r w:rsidR="006F4490" w:rsidRPr="00C20D7E">
        <w:t>ptimiser les synergies au sein de cette communauté afin d</w:t>
      </w:r>
      <w:r w:rsidR="00DC04B9" w:rsidRPr="00C20D7E">
        <w:t>'</w:t>
      </w:r>
      <w:r w:rsidR="006F4490" w:rsidRPr="00C20D7E">
        <w:t>appuyer les objectifs interdépendants des Nations Unies en faveur d</w:t>
      </w:r>
      <w:r w:rsidR="00DC04B9" w:rsidRPr="00C20D7E">
        <w:t>'</w:t>
      </w:r>
      <w:r w:rsidR="006F4490" w:rsidRPr="00C20D7E">
        <w:t>un avenir où la sécurité alimentaire serait meilleure, la nourriture plus abondante et l</w:t>
      </w:r>
      <w:r w:rsidR="00DC04B9" w:rsidRPr="00C20D7E">
        <w:t>'</w:t>
      </w:r>
      <w:r w:rsidR="008E44E6">
        <w:t>agriculture plus évoluée.</w:t>
      </w:r>
    </w:p>
    <w:p w14:paraId="2A7A1115" w14:textId="1530DD43" w:rsidR="00A96618" w:rsidRPr="00C20D7E" w:rsidRDefault="006B04DE" w:rsidP="00D44185">
      <w:pPr>
        <w:pStyle w:val="enumlev1"/>
      </w:pPr>
      <w:r w:rsidRPr="00C20D7E">
        <w:t>d)</w:t>
      </w:r>
      <w:r w:rsidRPr="00C20D7E">
        <w:tab/>
      </w:r>
      <w:r w:rsidR="008E44E6">
        <w:t>I</w:t>
      </w:r>
      <w:r w:rsidR="00A87650" w:rsidRPr="00C20D7E">
        <w:t>dentifier des projets relatifs à l</w:t>
      </w:r>
      <w:r w:rsidR="00DC04B9" w:rsidRPr="00C20D7E">
        <w:t>'</w:t>
      </w:r>
      <w:r w:rsidR="00A87650" w:rsidRPr="00C20D7E">
        <w:t>utilisation de l</w:t>
      </w:r>
      <w:r w:rsidR="00DC04B9" w:rsidRPr="00C20D7E">
        <w:t>'</w:t>
      </w:r>
      <w:r w:rsidR="00A87650" w:rsidRPr="00C20D7E">
        <w:t>IA et de l</w:t>
      </w:r>
      <w:r w:rsidR="00DC04B9" w:rsidRPr="00C20D7E">
        <w:t>'</w:t>
      </w:r>
      <w:r w:rsidR="00A87650" w:rsidRPr="00C20D7E">
        <w:t xml:space="preserve">IoT </w:t>
      </w:r>
      <w:r w:rsidR="00D17044" w:rsidRPr="00C20D7E">
        <w:t xml:space="preserve">en </w:t>
      </w:r>
      <w:r w:rsidR="00A87650" w:rsidRPr="00C20D7E">
        <w:t xml:space="preserve">agriculture et </w:t>
      </w:r>
      <w:r w:rsidR="00D17044" w:rsidRPr="00C20D7E">
        <w:t xml:space="preserve">pour les </w:t>
      </w:r>
      <w:r w:rsidR="00A87650" w:rsidRPr="00C20D7E">
        <w:t xml:space="preserve">services connexes, </w:t>
      </w:r>
      <w:r w:rsidR="003B413E" w:rsidRPr="00C20D7E">
        <w:t xml:space="preserve">à </w:t>
      </w:r>
      <w:r w:rsidR="00A87650" w:rsidRPr="00C20D7E">
        <w:t>l</w:t>
      </w:r>
      <w:r w:rsidR="00DC04B9" w:rsidRPr="00C20D7E">
        <w:t>'</w:t>
      </w:r>
      <w:r w:rsidR="00A87650" w:rsidRPr="00C20D7E">
        <w:t xml:space="preserve">agriculture de précision, </w:t>
      </w:r>
      <w:r w:rsidR="003B413E" w:rsidRPr="00C20D7E">
        <w:t xml:space="preserve">à </w:t>
      </w:r>
      <w:r w:rsidR="00A87650" w:rsidRPr="00C20D7E">
        <w:t>l</w:t>
      </w:r>
      <w:r w:rsidR="00DC04B9" w:rsidRPr="00C20D7E">
        <w:t>'</w:t>
      </w:r>
      <w:r w:rsidR="00A87650" w:rsidRPr="00C20D7E">
        <w:t xml:space="preserve">élevage de précision, </w:t>
      </w:r>
      <w:r w:rsidR="003B413E" w:rsidRPr="00C20D7E">
        <w:t xml:space="preserve">à </w:t>
      </w:r>
      <w:r w:rsidR="00A87650" w:rsidRPr="00C20D7E">
        <w:t>l</w:t>
      </w:r>
      <w:r w:rsidR="00DC04B9" w:rsidRPr="00C20D7E">
        <w:t>'</w:t>
      </w:r>
      <w:r w:rsidR="00A87650" w:rsidRPr="00C20D7E">
        <w:t xml:space="preserve">agriculture en environnement contrôlé, </w:t>
      </w:r>
      <w:r w:rsidR="003B413E" w:rsidRPr="00C20D7E">
        <w:t>aux</w:t>
      </w:r>
      <w:r w:rsidR="00A87650" w:rsidRPr="00C20D7E">
        <w:t xml:space="preserve"> serres intelligentes,</w:t>
      </w:r>
      <w:r w:rsidR="003B413E" w:rsidRPr="00C20D7E">
        <w:t xml:space="preserve"> à</w:t>
      </w:r>
      <w:r w:rsidR="00A87650" w:rsidRPr="00C20D7E">
        <w:t xml:space="preserve"> l</w:t>
      </w:r>
      <w:r w:rsidR="00DC04B9" w:rsidRPr="00C20D7E">
        <w:t>'</w:t>
      </w:r>
      <w:r w:rsidR="00A87650" w:rsidRPr="00C20D7E">
        <w:t xml:space="preserve">agriculture verticale, </w:t>
      </w:r>
      <w:r w:rsidR="003B413E" w:rsidRPr="00C20D7E">
        <w:t xml:space="preserve">à </w:t>
      </w:r>
      <w:r w:rsidR="00A87650" w:rsidRPr="00C20D7E">
        <w:t>l</w:t>
      </w:r>
      <w:r w:rsidR="00DC04B9" w:rsidRPr="00C20D7E">
        <w:t>'</w:t>
      </w:r>
      <w:r w:rsidR="00A87650" w:rsidRPr="00C20D7E">
        <w:t xml:space="preserve">agriculture numérique, etc., qui </w:t>
      </w:r>
      <w:r w:rsidR="003B413E" w:rsidRPr="00C20D7E">
        <w:t>pourraient</w:t>
      </w:r>
      <w:r w:rsidR="00A87650" w:rsidRPr="00C20D7E">
        <w:t xml:space="preserve"> nécessiter une normalisation</w:t>
      </w:r>
      <w:r w:rsidR="003B413E" w:rsidRPr="00C20D7E">
        <w:t xml:space="preserve"> dans le futur</w:t>
      </w:r>
      <w:r w:rsidR="008E44E6">
        <w:t>, etc.</w:t>
      </w:r>
    </w:p>
    <w:p w14:paraId="27EE16AA" w14:textId="22904958" w:rsidR="00A96618" w:rsidRPr="00C20D7E" w:rsidRDefault="006B04DE" w:rsidP="00D44185">
      <w:pPr>
        <w:pStyle w:val="enumlev1"/>
      </w:pPr>
      <w:r w:rsidRPr="00C20D7E">
        <w:t>e)</w:t>
      </w:r>
      <w:r w:rsidRPr="00C20D7E">
        <w:tab/>
      </w:r>
      <w:r w:rsidR="009B4654" w:rsidRPr="008E44E6">
        <w:rPr>
          <w:caps/>
        </w:rPr>
        <w:t>é</w:t>
      </w:r>
      <w:r w:rsidR="009B4654" w:rsidRPr="00C20D7E">
        <w:t>laborer un ensemble de produits (par exemple des rapports techniques, des spécifications techniques, etc.) concernant l</w:t>
      </w:r>
      <w:r w:rsidR="00DC04B9" w:rsidRPr="00C20D7E">
        <w:t>'</w:t>
      </w:r>
      <w:r w:rsidR="003B413E" w:rsidRPr="00C20D7E">
        <w:t>utilisation d</w:t>
      </w:r>
      <w:r w:rsidR="009B4654" w:rsidRPr="00C20D7E">
        <w:t xml:space="preserve">e technologies </w:t>
      </w:r>
      <w:r w:rsidR="00D17044" w:rsidRPr="00C20D7E">
        <w:t>respectueuses de l</w:t>
      </w:r>
      <w:r w:rsidR="00DC04B9" w:rsidRPr="00C20D7E">
        <w:t>'</w:t>
      </w:r>
      <w:r w:rsidR="00D17044" w:rsidRPr="00C20D7E">
        <w:t xml:space="preserve">environnement </w:t>
      </w:r>
      <w:r w:rsidR="009B4654" w:rsidRPr="00C20D7E">
        <w:t>fondées sur l</w:t>
      </w:r>
      <w:r w:rsidR="00DC04B9" w:rsidRPr="00C20D7E">
        <w:t>'</w:t>
      </w:r>
      <w:r w:rsidR="009B4654" w:rsidRPr="00C20D7E">
        <w:t>IA et l</w:t>
      </w:r>
      <w:r w:rsidR="00DC04B9" w:rsidRPr="00C20D7E">
        <w:t>'</w:t>
      </w:r>
      <w:r w:rsidR="009B4654" w:rsidRPr="00C20D7E">
        <w:t xml:space="preserve">IoT </w:t>
      </w:r>
      <w:r w:rsidR="00500B05" w:rsidRPr="00C20D7E">
        <w:t xml:space="preserve">en </w:t>
      </w:r>
      <w:r w:rsidR="009B4654" w:rsidRPr="00C20D7E">
        <w:t xml:space="preserve">agriculture, </w:t>
      </w:r>
      <w:r w:rsidR="00D17044" w:rsidRPr="00C20D7E">
        <w:t>par exemple (liste non exhaustive)</w:t>
      </w:r>
      <w:r w:rsidR="009B4654" w:rsidRPr="00C20D7E">
        <w:t>:</w:t>
      </w:r>
    </w:p>
    <w:p w14:paraId="73E84EE6" w14:textId="77777777" w:rsidR="00A96618" w:rsidRPr="00C20D7E" w:rsidRDefault="006B04DE" w:rsidP="00D44185">
      <w:pPr>
        <w:pStyle w:val="enumlev2"/>
      </w:pPr>
      <w:r w:rsidRPr="00C20D7E">
        <w:t>•</w:t>
      </w:r>
      <w:r w:rsidRPr="00C20D7E">
        <w:tab/>
      </w:r>
      <w:r w:rsidR="00FE2419" w:rsidRPr="00C20D7E">
        <w:t>termes, concepts fondamentaux, cadre;</w:t>
      </w:r>
    </w:p>
    <w:p w14:paraId="3227B0E9" w14:textId="77777777" w:rsidR="00A96618" w:rsidRPr="00C20D7E" w:rsidRDefault="006B04DE" w:rsidP="00D44185">
      <w:pPr>
        <w:pStyle w:val="enumlev2"/>
      </w:pPr>
      <w:r w:rsidRPr="00C20D7E">
        <w:t>•</w:t>
      </w:r>
      <w:r w:rsidRPr="00C20D7E">
        <w:tab/>
      </w:r>
      <w:r w:rsidR="00A82FA6" w:rsidRPr="00C20D7E">
        <w:t>infrastructure intelligente;</w:t>
      </w:r>
    </w:p>
    <w:p w14:paraId="37BAAF17" w14:textId="6D319A64" w:rsidR="00A96618" w:rsidRPr="00C20D7E" w:rsidRDefault="006B04DE" w:rsidP="00D44185">
      <w:pPr>
        <w:pStyle w:val="enumlev2"/>
      </w:pPr>
      <w:r w:rsidRPr="00C20D7E">
        <w:t>•</w:t>
      </w:r>
      <w:r w:rsidRPr="00C20D7E">
        <w:tab/>
      </w:r>
      <w:r w:rsidR="005B26B4" w:rsidRPr="00C20D7E">
        <w:t>collecte d</w:t>
      </w:r>
      <w:r w:rsidR="00DC04B9" w:rsidRPr="00C20D7E">
        <w:t>'</w:t>
      </w:r>
      <w:r w:rsidR="005B26B4" w:rsidRPr="00C20D7E">
        <w:t>informations;</w:t>
      </w:r>
    </w:p>
    <w:p w14:paraId="0FDBD409" w14:textId="77777777" w:rsidR="00A96618" w:rsidRPr="00C20D7E" w:rsidRDefault="006B04DE" w:rsidP="00D44185">
      <w:pPr>
        <w:pStyle w:val="enumlev2"/>
      </w:pPr>
      <w:r w:rsidRPr="00C20D7E">
        <w:t>•</w:t>
      </w:r>
      <w:r w:rsidRPr="00C20D7E">
        <w:tab/>
      </w:r>
      <w:r w:rsidR="00396807" w:rsidRPr="00C20D7E">
        <w:t>acquisition de données;</w:t>
      </w:r>
    </w:p>
    <w:p w14:paraId="7F62061A" w14:textId="77777777" w:rsidR="00A96618" w:rsidRPr="00C20D7E" w:rsidRDefault="006B04DE" w:rsidP="00D44185">
      <w:pPr>
        <w:pStyle w:val="enumlev2"/>
      </w:pPr>
      <w:r w:rsidRPr="00C20D7E">
        <w:t>•</w:t>
      </w:r>
      <w:r w:rsidRPr="00C20D7E">
        <w:tab/>
      </w:r>
      <w:r w:rsidR="00BD6B00" w:rsidRPr="00C20D7E">
        <w:t>interface de données, transfert des informations et réseau;</w:t>
      </w:r>
    </w:p>
    <w:p w14:paraId="6E91136C" w14:textId="77777777" w:rsidR="00A96618" w:rsidRPr="00C20D7E" w:rsidRDefault="006B04DE" w:rsidP="00D44185">
      <w:pPr>
        <w:pStyle w:val="enumlev2"/>
      </w:pPr>
      <w:r w:rsidRPr="00C20D7E">
        <w:t>•</w:t>
      </w:r>
      <w:r w:rsidRPr="00C20D7E">
        <w:tab/>
      </w:r>
      <w:r w:rsidR="00AB1BA2" w:rsidRPr="00C20D7E">
        <w:t>prise de décisions centralisée et informatique en périphérie;</w:t>
      </w:r>
    </w:p>
    <w:p w14:paraId="4EA2F95D" w14:textId="77777777" w:rsidR="00A96618" w:rsidRPr="00C20D7E" w:rsidRDefault="006B04DE" w:rsidP="00D44185">
      <w:pPr>
        <w:pStyle w:val="enumlev2"/>
      </w:pPr>
      <w:r w:rsidRPr="00C20D7E">
        <w:t>•</w:t>
      </w:r>
      <w:r w:rsidRPr="00C20D7E">
        <w:tab/>
      </w:r>
      <w:r w:rsidR="005749D6" w:rsidRPr="00C20D7E">
        <w:t>intelligence artificielle et apprentissage automatique légers (</w:t>
      </w:r>
      <w:proofErr w:type="spellStart"/>
      <w:r w:rsidR="005749D6" w:rsidRPr="00C20D7E">
        <w:t>TinyML</w:t>
      </w:r>
      <w:proofErr w:type="spellEnd"/>
      <w:r w:rsidR="005749D6" w:rsidRPr="00C20D7E">
        <w:t>);</w:t>
      </w:r>
    </w:p>
    <w:p w14:paraId="5D454A9C" w14:textId="77777777" w:rsidR="00A96618" w:rsidRPr="00C20D7E" w:rsidRDefault="006B04DE" w:rsidP="00D44185">
      <w:pPr>
        <w:pStyle w:val="enumlev2"/>
      </w:pPr>
      <w:r w:rsidRPr="00C20D7E">
        <w:t>•</w:t>
      </w:r>
      <w:r w:rsidRPr="00C20D7E">
        <w:tab/>
      </w:r>
      <w:r w:rsidR="001E432D" w:rsidRPr="00C20D7E">
        <w:t>intelligence artificielle distribuée en tant que service (</w:t>
      </w:r>
      <w:proofErr w:type="spellStart"/>
      <w:r w:rsidR="001E432D" w:rsidRPr="00C20D7E">
        <w:t>DAIaaS</w:t>
      </w:r>
      <w:proofErr w:type="spellEnd"/>
      <w:r w:rsidR="001E432D" w:rsidRPr="00C20D7E">
        <w:t>);</w:t>
      </w:r>
    </w:p>
    <w:p w14:paraId="464C3D1B" w14:textId="77777777" w:rsidR="00A96618" w:rsidRPr="00C20D7E" w:rsidRDefault="006B04DE" w:rsidP="00D44185">
      <w:pPr>
        <w:pStyle w:val="enumlev2"/>
      </w:pPr>
      <w:r w:rsidRPr="00C20D7E">
        <w:t>•</w:t>
      </w:r>
      <w:r w:rsidRPr="00C20D7E">
        <w:tab/>
      </w:r>
      <w:r w:rsidR="002E6376" w:rsidRPr="00C20D7E">
        <w:t>fonctionnement indépendant;</w:t>
      </w:r>
    </w:p>
    <w:p w14:paraId="75D10701" w14:textId="77777777" w:rsidR="00A96618" w:rsidRPr="00C20D7E" w:rsidRDefault="006B04DE" w:rsidP="00D44185">
      <w:pPr>
        <w:pStyle w:val="enumlev2"/>
      </w:pPr>
      <w:r w:rsidRPr="00C20D7E">
        <w:t>•</w:t>
      </w:r>
      <w:r w:rsidRPr="00C20D7E">
        <w:tab/>
      </w:r>
      <w:r w:rsidR="00572C98" w:rsidRPr="00C20D7E">
        <w:t>robotique (aéronefs UAV et véhicules UGV);</w:t>
      </w:r>
    </w:p>
    <w:p w14:paraId="6F06952A" w14:textId="5B327658" w:rsidR="00A96618" w:rsidRPr="00C20D7E" w:rsidRDefault="006B04DE" w:rsidP="00D44185">
      <w:pPr>
        <w:pStyle w:val="enumlev2"/>
      </w:pPr>
      <w:r w:rsidRPr="00C20D7E">
        <w:t>•</w:t>
      </w:r>
      <w:r w:rsidRPr="00C20D7E">
        <w:tab/>
      </w:r>
      <w:r w:rsidR="006331D4" w:rsidRPr="00C20D7E">
        <w:t>sécurité de l</w:t>
      </w:r>
      <w:r w:rsidR="00DC04B9" w:rsidRPr="00C20D7E">
        <w:t>'</w:t>
      </w:r>
      <w:r w:rsidR="006331D4" w:rsidRPr="00C20D7E">
        <w:t>information et cybersécurité;</w:t>
      </w:r>
    </w:p>
    <w:p w14:paraId="16EFA00D" w14:textId="77777777" w:rsidR="003C1C91" w:rsidRDefault="003C1C91" w:rsidP="00D44185">
      <w:pPr>
        <w:pStyle w:val="enumlev1"/>
      </w:pPr>
      <w:r>
        <w:br w:type="page"/>
      </w:r>
    </w:p>
    <w:p w14:paraId="6A956A5C" w14:textId="1DA072F6" w:rsidR="00A96618" w:rsidRPr="00C20D7E" w:rsidRDefault="006B04DE" w:rsidP="00D44185">
      <w:pPr>
        <w:pStyle w:val="enumlev1"/>
      </w:pPr>
      <w:r w:rsidRPr="00C20D7E">
        <w:lastRenderedPageBreak/>
        <w:t>f)</w:t>
      </w:r>
      <w:r w:rsidRPr="00C20D7E">
        <w:tab/>
      </w:r>
      <w:r w:rsidR="001173DD" w:rsidRPr="003C1C91">
        <w:rPr>
          <w:caps/>
        </w:rPr>
        <w:t>é</w:t>
      </w:r>
      <w:r w:rsidR="001173DD" w:rsidRPr="00C20D7E">
        <w:t>tudier les architecture</w:t>
      </w:r>
      <w:r w:rsidR="00592193" w:rsidRPr="00C20D7E">
        <w:t>s</w:t>
      </w:r>
      <w:r w:rsidR="001173DD" w:rsidRPr="00C20D7E">
        <w:t>, les interfaces, les protocoles, les formats de données, l</w:t>
      </w:r>
      <w:r w:rsidR="00DC04B9" w:rsidRPr="00C20D7E">
        <w:t>'</w:t>
      </w:r>
      <w:r w:rsidR="001173DD" w:rsidRPr="00C20D7E">
        <w:t>interopérabilité, l</w:t>
      </w:r>
      <w:r w:rsidR="00DC04B9" w:rsidRPr="00C20D7E">
        <w:t>'</w:t>
      </w:r>
      <w:r w:rsidR="001173DD" w:rsidRPr="00C20D7E">
        <w:t>évaluation de la qualité de fonctionnement et d</w:t>
      </w:r>
      <w:r w:rsidR="00DC04B9" w:rsidRPr="00C20D7E">
        <w:t>'</w:t>
      </w:r>
      <w:r w:rsidR="001173DD" w:rsidRPr="00C20D7E">
        <w:t>autres aspects relatifs à l</w:t>
      </w:r>
      <w:r w:rsidR="00DC04B9" w:rsidRPr="00C20D7E">
        <w:t>'</w:t>
      </w:r>
      <w:r w:rsidR="001173DD" w:rsidRPr="00C20D7E">
        <w:t>utilisation de l</w:t>
      </w:r>
      <w:r w:rsidR="00DC04B9" w:rsidRPr="00C20D7E">
        <w:t>'</w:t>
      </w:r>
      <w:r w:rsidR="001173DD" w:rsidRPr="00C20D7E">
        <w:t>IA et de l</w:t>
      </w:r>
      <w:r w:rsidR="00DC04B9" w:rsidRPr="00C20D7E">
        <w:t>'</w:t>
      </w:r>
      <w:r w:rsidR="001173DD" w:rsidRPr="00C20D7E">
        <w:t xml:space="preserve">IoT </w:t>
      </w:r>
      <w:r w:rsidR="00500B05" w:rsidRPr="00C20D7E">
        <w:t xml:space="preserve">en </w:t>
      </w:r>
      <w:r w:rsidR="001173DD" w:rsidRPr="00C20D7E">
        <w:t>agriculture, afin de mettre au point des solutions matures et ayant une valeur commerciale</w:t>
      </w:r>
      <w:r w:rsidR="003C1C91">
        <w:t>.</w:t>
      </w:r>
    </w:p>
    <w:p w14:paraId="011E403D" w14:textId="54A84C1D" w:rsidR="00A96618" w:rsidRPr="00C20D7E" w:rsidRDefault="006B04DE" w:rsidP="00D44185">
      <w:pPr>
        <w:pStyle w:val="enumlev1"/>
      </w:pPr>
      <w:r w:rsidRPr="00C20D7E">
        <w:t>g)</w:t>
      </w:r>
      <w:r w:rsidRPr="00C20D7E">
        <w:tab/>
      </w:r>
      <w:r w:rsidR="003C1C91">
        <w:t>E</w:t>
      </w:r>
      <w:r w:rsidR="007F5B21" w:rsidRPr="00C20D7E">
        <w:t>ffectuer une analyse des lacunes en matière de normalisation en ce qui concerne l</w:t>
      </w:r>
      <w:r w:rsidR="00DC04B9" w:rsidRPr="00C20D7E">
        <w:t>'</w:t>
      </w:r>
      <w:r w:rsidR="007F5B21" w:rsidRPr="00C20D7E">
        <w:t>utilisation de l</w:t>
      </w:r>
      <w:r w:rsidR="00DC04B9" w:rsidRPr="00C20D7E">
        <w:t>'</w:t>
      </w:r>
      <w:r w:rsidR="007F5B21" w:rsidRPr="00C20D7E">
        <w:t>IA et de l</w:t>
      </w:r>
      <w:r w:rsidR="00DC04B9" w:rsidRPr="00C20D7E">
        <w:t>'</w:t>
      </w:r>
      <w:r w:rsidR="007F5B21" w:rsidRPr="00C20D7E">
        <w:t xml:space="preserve">IoT </w:t>
      </w:r>
      <w:r w:rsidR="00500B05" w:rsidRPr="00C20D7E">
        <w:t xml:space="preserve">en </w:t>
      </w:r>
      <w:r w:rsidR="007F5B21" w:rsidRPr="00C20D7E">
        <w:t>agriculture</w:t>
      </w:r>
      <w:r w:rsidR="003C1C91">
        <w:t>.</w:t>
      </w:r>
    </w:p>
    <w:p w14:paraId="00931E75" w14:textId="6DC7D9D0" w:rsidR="00A96618" w:rsidRPr="00C20D7E" w:rsidRDefault="006B04DE" w:rsidP="00D44185">
      <w:pPr>
        <w:pStyle w:val="enumlev1"/>
      </w:pPr>
      <w:r w:rsidRPr="00C20D7E">
        <w:t>h)</w:t>
      </w:r>
      <w:r w:rsidRPr="00C20D7E">
        <w:tab/>
      </w:r>
      <w:r w:rsidR="003C1C91">
        <w:t>D</w:t>
      </w:r>
      <w:r w:rsidR="00895513" w:rsidRPr="00C20D7E">
        <w:t>éterminer les bonnes pratiques actuelles concernant l</w:t>
      </w:r>
      <w:r w:rsidR="00DC04B9" w:rsidRPr="00C20D7E">
        <w:t>'</w:t>
      </w:r>
      <w:r w:rsidR="00895513" w:rsidRPr="00C20D7E">
        <w:t>utilisation de l</w:t>
      </w:r>
      <w:r w:rsidR="00DC04B9" w:rsidRPr="00C20D7E">
        <w:t>'</w:t>
      </w:r>
      <w:r w:rsidR="00895513" w:rsidRPr="00C20D7E">
        <w:t>IA et de l</w:t>
      </w:r>
      <w:r w:rsidR="00DC04B9" w:rsidRPr="00C20D7E">
        <w:t>'</w:t>
      </w:r>
      <w:r w:rsidR="00895513" w:rsidRPr="00C20D7E">
        <w:t>IoT dans l</w:t>
      </w:r>
      <w:r w:rsidR="00DC04B9" w:rsidRPr="00C20D7E">
        <w:t>'</w:t>
      </w:r>
      <w:r w:rsidR="00895513" w:rsidRPr="00C20D7E">
        <w:t xml:space="preserve">agriculture </w:t>
      </w:r>
      <w:r w:rsidR="00DD42C8" w:rsidRPr="00C20D7E">
        <w:t xml:space="preserve">de manière générale </w:t>
      </w:r>
      <w:r w:rsidR="00895513" w:rsidRPr="00C20D7E">
        <w:t xml:space="preserve">et </w:t>
      </w:r>
      <w:r w:rsidR="00500B05" w:rsidRPr="00C20D7E">
        <w:t>les compléter par</w:t>
      </w:r>
      <w:r w:rsidR="00895513" w:rsidRPr="00C20D7E">
        <w:t xml:space="preserve"> des études, des recherches et des consultations d</w:t>
      </w:r>
      <w:r w:rsidR="00DC04B9" w:rsidRPr="00C20D7E">
        <w:t>'</w:t>
      </w:r>
      <w:r w:rsidR="00895513" w:rsidRPr="00C20D7E">
        <w:t>experts</w:t>
      </w:r>
      <w:r w:rsidR="003C1C91">
        <w:t>.</w:t>
      </w:r>
    </w:p>
    <w:p w14:paraId="27042E1F" w14:textId="78129EA1" w:rsidR="00A96618" w:rsidRPr="00C20D7E" w:rsidRDefault="006B04DE" w:rsidP="00D44185">
      <w:pPr>
        <w:pStyle w:val="enumlev1"/>
      </w:pPr>
      <w:r w:rsidRPr="00C20D7E">
        <w:t>i)</w:t>
      </w:r>
      <w:r w:rsidRPr="00C20D7E">
        <w:tab/>
      </w:r>
      <w:r w:rsidR="00993872" w:rsidRPr="003C1C91">
        <w:rPr>
          <w:caps/>
        </w:rPr>
        <w:t>é</w:t>
      </w:r>
      <w:r w:rsidR="00993872" w:rsidRPr="00C20D7E">
        <w:t>tablir une liaison et des relations avec d</w:t>
      </w:r>
      <w:r w:rsidR="00DC04B9" w:rsidRPr="00C20D7E">
        <w:t>'</w:t>
      </w:r>
      <w:r w:rsidR="00993872" w:rsidRPr="00C20D7E">
        <w:t>autres organisations et projets susceptibles de contribuer aux activités de normalisation concernant l</w:t>
      </w:r>
      <w:r w:rsidR="00DC04B9" w:rsidRPr="00C20D7E">
        <w:t>'</w:t>
      </w:r>
      <w:r w:rsidR="00993872" w:rsidRPr="00C20D7E">
        <w:t>utilisation de l</w:t>
      </w:r>
      <w:r w:rsidR="00DC04B9" w:rsidRPr="00C20D7E">
        <w:t>'</w:t>
      </w:r>
      <w:r w:rsidR="00993872" w:rsidRPr="00C20D7E">
        <w:t>IA et de l</w:t>
      </w:r>
      <w:r w:rsidR="00DC04B9" w:rsidRPr="00C20D7E">
        <w:t>'</w:t>
      </w:r>
      <w:r w:rsidR="00993872" w:rsidRPr="00C20D7E">
        <w:t xml:space="preserve">IoT </w:t>
      </w:r>
      <w:r w:rsidR="00500B05" w:rsidRPr="00C20D7E">
        <w:t xml:space="preserve">en </w:t>
      </w:r>
      <w:r w:rsidR="00993872" w:rsidRPr="00C20D7E">
        <w:t>agriculture</w:t>
      </w:r>
      <w:r w:rsidR="003C1C91">
        <w:t>.</w:t>
      </w:r>
    </w:p>
    <w:p w14:paraId="666A2267" w14:textId="7D8C2EE3" w:rsidR="00A96618" w:rsidRPr="00C20D7E" w:rsidRDefault="006B04DE" w:rsidP="00D44185">
      <w:pPr>
        <w:pStyle w:val="enumlev1"/>
      </w:pPr>
      <w:r w:rsidRPr="00C20D7E">
        <w:t>j)</w:t>
      </w:r>
      <w:r w:rsidRPr="00C20D7E">
        <w:tab/>
      </w:r>
      <w:r w:rsidR="00CC40CC" w:rsidRPr="003C1C91">
        <w:rPr>
          <w:caps/>
        </w:rPr>
        <w:t>e</w:t>
      </w:r>
      <w:r w:rsidR="00CC40CC" w:rsidRPr="00C20D7E">
        <w:t xml:space="preserve">ncourager la participation du public et la collaboration internationale </w:t>
      </w:r>
      <w:r w:rsidR="00500B05" w:rsidRPr="00C20D7E">
        <w:t>afin de mettre en pratique le</w:t>
      </w:r>
      <w:r w:rsidR="00CC40CC" w:rsidRPr="00C20D7E">
        <w:t xml:space="preserve"> système normalisé pour l</w:t>
      </w:r>
      <w:r w:rsidR="00DC04B9" w:rsidRPr="00C20D7E">
        <w:t>'</w:t>
      </w:r>
      <w:r w:rsidR="00CC40CC" w:rsidRPr="00C20D7E">
        <w:t>utilisation de l</w:t>
      </w:r>
      <w:r w:rsidR="00DC04B9" w:rsidRPr="00C20D7E">
        <w:t>'</w:t>
      </w:r>
      <w:r w:rsidR="00CC40CC" w:rsidRPr="00C20D7E">
        <w:t>IA et de l</w:t>
      </w:r>
      <w:r w:rsidR="00DC04B9" w:rsidRPr="00C20D7E">
        <w:t>'</w:t>
      </w:r>
      <w:r w:rsidR="00CC40CC" w:rsidRPr="00C20D7E">
        <w:t xml:space="preserve">IoT </w:t>
      </w:r>
      <w:r w:rsidR="00500B05" w:rsidRPr="00C20D7E">
        <w:t xml:space="preserve">en </w:t>
      </w:r>
      <w:r w:rsidR="00CC40CC" w:rsidRPr="00C20D7E">
        <w:t xml:space="preserve">agriculture, afin de contribuer à </w:t>
      </w:r>
      <w:r w:rsidR="0093423B" w:rsidRPr="00C20D7E">
        <w:t>concrétiser les</w:t>
      </w:r>
      <w:r w:rsidR="00CC40CC" w:rsidRPr="00C20D7E">
        <w:t xml:space="preserve"> possibilités offertes par l</w:t>
      </w:r>
      <w:r w:rsidR="00DC04B9" w:rsidRPr="00C20D7E">
        <w:t>'</w:t>
      </w:r>
      <w:r w:rsidR="00CC40CC" w:rsidRPr="00C20D7E">
        <w:t>utilisation de l</w:t>
      </w:r>
      <w:r w:rsidR="00DC04B9" w:rsidRPr="00C20D7E">
        <w:t>'</w:t>
      </w:r>
      <w:r w:rsidR="00CC40CC" w:rsidRPr="00C20D7E">
        <w:t>IA et de l</w:t>
      </w:r>
      <w:r w:rsidR="00DC04B9" w:rsidRPr="00C20D7E">
        <w:t>'</w:t>
      </w:r>
      <w:r w:rsidR="00CC40CC" w:rsidRPr="00C20D7E">
        <w:t xml:space="preserve">IoT </w:t>
      </w:r>
      <w:r w:rsidR="0093423B" w:rsidRPr="00C20D7E">
        <w:t xml:space="preserve">en </w:t>
      </w:r>
      <w:r w:rsidR="00CC40CC" w:rsidRPr="00C20D7E">
        <w:t>agriculture pour réduire la pauvreté (ODD 1) et la faim (ODD 2)</w:t>
      </w:r>
      <w:r w:rsidR="00DD42C8" w:rsidRPr="00C20D7E">
        <w:t>,</w:t>
      </w:r>
      <w:r w:rsidR="00CC40CC" w:rsidRPr="00C20D7E">
        <w:t xml:space="preserve"> tout en </w:t>
      </w:r>
      <w:r w:rsidR="0093423B" w:rsidRPr="00C20D7E">
        <w:t xml:space="preserve">encourageant </w:t>
      </w:r>
      <w:r w:rsidR="00CC40CC" w:rsidRPr="00C20D7E">
        <w:t xml:space="preserve">le travail décent et la croissance économique (ODD 8), </w:t>
      </w:r>
      <w:r w:rsidR="0093423B" w:rsidRPr="00C20D7E">
        <w:t xml:space="preserve">le développement de </w:t>
      </w:r>
      <w:r w:rsidR="00CC40CC" w:rsidRPr="00C20D7E">
        <w:t>l</w:t>
      </w:r>
      <w:r w:rsidR="00DC04B9" w:rsidRPr="00C20D7E">
        <w:t>'</w:t>
      </w:r>
      <w:r w:rsidR="00CC40CC" w:rsidRPr="00C20D7E">
        <w:t xml:space="preserve">industrie, </w:t>
      </w:r>
      <w:r w:rsidR="0093423B" w:rsidRPr="00C20D7E">
        <w:t xml:space="preserve">de </w:t>
      </w:r>
      <w:r w:rsidR="00CC40CC" w:rsidRPr="00C20D7E">
        <w:t>l</w:t>
      </w:r>
      <w:r w:rsidR="00DC04B9" w:rsidRPr="00C20D7E">
        <w:t>'</w:t>
      </w:r>
      <w:r w:rsidR="00CC40CC" w:rsidRPr="00C20D7E">
        <w:t>innovation et</w:t>
      </w:r>
      <w:r w:rsidR="0093423B" w:rsidRPr="00C20D7E">
        <w:t xml:space="preserve"> de</w:t>
      </w:r>
      <w:r w:rsidR="00CC40CC" w:rsidRPr="00C20D7E">
        <w:t xml:space="preserve"> l</w:t>
      </w:r>
      <w:r w:rsidR="00DC04B9" w:rsidRPr="00C20D7E">
        <w:t>'</w:t>
      </w:r>
      <w:r w:rsidR="00CC40CC" w:rsidRPr="00C20D7E">
        <w:t>infrastructure (ODD 9)</w:t>
      </w:r>
      <w:r w:rsidR="0093423B" w:rsidRPr="00C20D7E">
        <w:t>,</w:t>
      </w:r>
      <w:r w:rsidR="00CC40CC" w:rsidRPr="00C20D7E">
        <w:t xml:space="preserve"> ainsi que la consommation et la production durables (ODD 12)</w:t>
      </w:r>
      <w:r w:rsidR="0093423B" w:rsidRPr="00C20D7E">
        <w:t>,</w:t>
      </w:r>
      <w:r w:rsidR="00CC40CC" w:rsidRPr="00C20D7E">
        <w:t xml:space="preserve"> et </w:t>
      </w:r>
      <w:r w:rsidR="00DD42C8" w:rsidRPr="00C20D7E">
        <w:t>en luttant</w:t>
      </w:r>
      <w:r w:rsidR="00CC40CC" w:rsidRPr="00C20D7E">
        <w:t xml:space="preserve"> contre les changements climatiques (ODD 13)</w:t>
      </w:r>
      <w:r w:rsidR="00DD42C8" w:rsidRPr="00C20D7E">
        <w:t>,</w:t>
      </w:r>
      <w:r w:rsidR="00CC40CC" w:rsidRPr="00C20D7E">
        <w:t xml:space="preserve"> </w:t>
      </w:r>
      <w:r w:rsidR="00DD42C8" w:rsidRPr="00C20D7E">
        <w:t>afin de</w:t>
      </w:r>
      <w:r w:rsidR="00CC40CC" w:rsidRPr="00C20D7E">
        <w:t xml:space="preserve"> préserver la vie terrestre (ODD 15).</w:t>
      </w:r>
    </w:p>
    <w:p w14:paraId="10B6B162" w14:textId="77777777" w:rsidR="00A96618" w:rsidRPr="003C1C91" w:rsidRDefault="006B04DE" w:rsidP="003C1C91">
      <w:pPr>
        <w:pStyle w:val="Heading1"/>
        <w:spacing w:before="360"/>
        <w:rPr>
          <w:bCs/>
        </w:rPr>
      </w:pPr>
      <w:r w:rsidRPr="003C1C91">
        <w:rPr>
          <w:bCs/>
        </w:rPr>
        <w:t>3</w:t>
      </w:r>
      <w:r w:rsidRPr="003C1C91">
        <w:rPr>
          <w:bCs/>
        </w:rPr>
        <w:tab/>
      </w:r>
      <w:r w:rsidR="00505B43" w:rsidRPr="003C1C91">
        <w:rPr>
          <w:bCs/>
        </w:rPr>
        <w:t>Tâches spécifiques et produits</w:t>
      </w:r>
    </w:p>
    <w:p w14:paraId="4BBFC43C" w14:textId="70F0BB14" w:rsidR="00DD42C8" w:rsidRPr="00C20D7E" w:rsidRDefault="006B04DE" w:rsidP="00D44185">
      <w:pPr>
        <w:pStyle w:val="enumlev1"/>
      </w:pPr>
      <w:r w:rsidRPr="00C20D7E">
        <w:t>a)</w:t>
      </w:r>
      <w:r w:rsidRPr="00C20D7E">
        <w:tab/>
      </w:r>
      <w:r w:rsidR="00560B3C" w:rsidRPr="00C20D7E">
        <w:t>Mettre au point une terminologie et une taxonomie pour l</w:t>
      </w:r>
      <w:r w:rsidR="00DC04B9" w:rsidRPr="00C20D7E">
        <w:t>'</w:t>
      </w:r>
      <w:r w:rsidR="00560B3C" w:rsidRPr="00C20D7E">
        <w:t>utilisation de l</w:t>
      </w:r>
      <w:r w:rsidR="00DC04B9" w:rsidRPr="00C20D7E">
        <w:t>'</w:t>
      </w:r>
      <w:r w:rsidR="00560B3C" w:rsidRPr="00C20D7E">
        <w:t>IA et de l</w:t>
      </w:r>
      <w:r w:rsidR="00DC04B9" w:rsidRPr="00C20D7E">
        <w:t>'</w:t>
      </w:r>
      <w:r w:rsidR="00560B3C" w:rsidRPr="00C20D7E">
        <w:t xml:space="preserve">IoT </w:t>
      </w:r>
      <w:r w:rsidR="00890B95" w:rsidRPr="00C20D7E">
        <w:t xml:space="preserve">en </w:t>
      </w:r>
      <w:r w:rsidR="00560B3C" w:rsidRPr="00C20D7E">
        <w:t xml:space="preserve">agriculture, </w:t>
      </w:r>
      <w:r w:rsidR="00890B95" w:rsidRPr="00C20D7E">
        <w:t>y compris clarifier</w:t>
      </w:r>
      <w:r w:rsidR="00560B3C" w:rsidRPr="00C20D7E">
        <w:t xml:space="preserve"> </w:t>
      </w:r>
      <w:r w:rsidR="00890B95" w:rsidRPr="00C20D7E">
        <w:t>l</w:t>
      </w:r>
      <w:r w:rsidR="00560B3C" w:rsidRPr="00C20D7E">
        <w:t xml:space="preserve">es termes et </w:t>
      </w:r>
      <w:r w:rsidR="00890B95" w:rsidRPr="00C20D7E">
        <w:t>l</w:t>
      </w:r>
      <w:r w:rsidR="00560B3C" w:rsidRPr="00C20D7E">
        <w:t>es concepts connexes, en tenant compte des travaux existants</w:t>
      </w:r>
      <w:r w:rsidR="003C1C91">
        <w:t>.</w:t>
      </w:r>
    </w:p>
    <w:p w14:paraId="16D7FE27" w14:textId="416176D5" w:rsidR="00A96618" w:rsidRPr="00C20D7E" w:rsidRDefault="006B04DE" w:rsidP="00D44185">
      <w:pPr>
        <w:pStyle w:val="enumlev1"/>
      </w:pPr>
      <w:r w:rsidRPr="00C20D7E">
        <w:t>b)</w:t>
      </w:r>
      <w:r w:rsidRPr="00C20D7E">
        <w:tab/>
      </w:r>
      <w:r w:rsidR="003C1C91">
        <w:t>R</w:t>
      </w:r>
      <w:r w:rsidR="00497A31" w:rsidRPr="00C20D7E">
        <w:t xml:space="preserve">éunir des informations </w:t>
      </w:r>
      <w:r w:rsidR="00890B95" w:rsidRPr="00C20D7E">
        <w:t xml:space="preserve">sur </w:t>
      </w:r>
      <w:r w:rsidR="00497A31" w:rsidRPr="00C20D7E">
        <w:t>les initiatives, les projets et les cas d</w:t>
      </w:r>
      <w:r w:rsidR="00DC04B9" w:rsidRPr="00C20D7E">
        <w:t>'</w:t>
      </w:r>
      <w:r w:rsidR="00497A31" w:rsidRPr="00C20D7E">
        <w:t>utilisation concernant l</w:t>
      </w:r>
      <w:r w:rsidR="00DC04B9" w:rsidRPr="00C20D7E">
        <w:t>'</w:t>
      </w:r>
      <w:r w:rsidR="00497A31" w:rsidRPr="00C20D7E">
        <w:t>utilisation de l</w:t>
      </w:r>
      <w:r w:rsidR="00DC04B9" w:rsidRPr="00C20D7E">
        <w:t>'</w:t>
      </w:r>
      <w:r w:rsidR="00497A31" w:rsidRPr="00C20D7E">
        <w:t>IA et de l</w:t>
      </w:r>
      <w:r w:rsidR="00DC04B9" w:rsidRPr="00C20D7E">
        <w:t>'</w:t>
      </w:r>
      <w:r w:rsidR="00497A31" w:rsidRPr="00C20D7E">
        <w:t xml:space="preserve">IoT </w:t>
      </w:r>
      <w:r w:rsidR="00890B95" w:rsidRPr="00C20D7E">
        <w:t xml:space="preserve">en </w:t>
      </w:r>
      <w:r w:rsidR="00497A31" w:rsidRPr="00C20D7E">
        <w:t>agriculture, afin d</w:t>
      </w:r>
      <w:r w:rsidR="00DC04B9" w:rsidRPr="00C20D7E">
        <w:t>'</w:t>
      </w:r>
      <w:r w:rsidR="00497A31" w:rsidRPr="00C20D7E">
        <w:t>identifier les normes existantes, les bonnes pratiques/</w:t>
      </w:r>
      <w:r w:rsidR="00890B95" w:rsidRPr="00C20D7E">
        <w:t xml:space="preserve">conclusions </w:t>
      </w:r>
      <w:r w:rsidR="00497A31" w:rsidRPr="00C20D7E">
        <w:t>ainsi que les défis relatifs à l</w:t>
      </w:r>
      <w:r w:rsidR="00DC04B9" w:rsidRPr="00C20D7E">
        <w:t>'</w:t>
      </w:r>
      <w:r w:rsidR="00497A31" w:rsidRPr="00C20D7E">
        <w:t>adoption de l</w:t>
      </w:r>
      <w:r w:rsidR="00DC04B9" w:rsidRPr="00C20D7E">
        <w:t>'</w:t>
      </w:r>
      <w:r w:rsidR="00497A31" w:rsidRPr="00C20D7E">
        <w:t>IA et de l</w:t>
      </w:r>
      <w:r w:rsidR="00DC04B9" w:rsidRPr="00C20D7E">
        <w:t>'</w:t>
      </w:r>
      <w:r w:rsidR="00497A31" w:rsidRPr="00C20D7E">
        <w:t>IoT dans les p</w:t>
      </w:r>
      <w:r w:rsidR="003C1C91">
        <w:t>rocessus de production agricole.</w:t>
      </w:r>
    </w:p>
    <w:p w14:paraId="773DD52A" w14:textId="12DA456E" w:rsidR="00A96618" w:rsidRPr="00C20D7E" w:rsidRDefault="006B04DE" w:rsidP="00D44185">
      <w:pPr>
        <w:pStyle w:val="enumlev1"/>
      </w:pPr>
      <w:r w:rsidRPr="00C20D7E">
        <w:t>c)</w:t>
      </w:r>
      <w:r w:rsidRPr="00C20D7E">
        <w:tab/>
      </w:r>
      <w:r w:rsidR="003C1C91">
        <w:t>I</w:t>
      </w:r>
      <w:r w:rsidR="009A0DAD" w:rsidRPr="00C20D7E">
        <w:t>dentifier les domaines dans lesquels l</w:t>
      </w:r>
      <w:r w:rsidR="00DC04B9" w:rsidRPr="00C20D7E">
        <w:t>'</w:t>
      </w:r>
      <w:r w:rsidR="009A0DAD" w:rsidRPr="00C20D7E">
        <w:t>utilisation de l</w:t>
      </w:r>
      <w:r w:rsidR="00DC04B9" w:rsidRPr="00C20D7E">
        <w:t>'</w:t>
      </w:r>
      <w:r w:rsidR="009A0DAD" w:rsidRPr="00C20D7E">
        <w:t>IA et de l</w:t>
      </w:r>
      <w:r w:rsidR="00DC04B9" w:rsidRPr="00C20D7E">
        <w:t>'</w:t>
      </w:r>
      <w:r w:rsidR="009A0DAD" w:rsidRPr="00C20D7E">
        <w:t xml:space="preserve">IoT </w:t>
      </w:r>
      <w:r w:rsidR="00890B95" w:rsidRPr="00C20D7E">
        <w:t xml:space="preserve">en </w:t>
      </w:r>
      <w:r w:rsidR="009A0DAD" w:rsidRPr="00C20D7E">
        <w:t xml:space="preserve">agriculture peut </w:t>
      </w:r>
      <w:r w:rsidR="00890B95" w:rsidRPr="00C20D7E">
        <w:t xml:space="preserve">appuyer la promotion de </w:t>
      </w:r>
      <w:r w:rsidR="009A0DAD" w:rsidRPr="00C20D7E">
        <w:t>l</w:t>
      </w:r>
      <w:r w:rsidR="00DC04B9" w:rsidRPr="00C20D7E">
        <w:t>'</w:t>
      </w:r>
      <w:r w:rsidR="009A0DAD" w:rsidRPr="00C20D7E">
        <w:t>utilisation</w:t>
      </w:r>
      <w:r w:rsidR="001F2F5B" w:rsidRPr="00C20D7E">
        <w:t xml:space="preserve"> </w:t>
      </w:r>
      <w:r w:rsidR="00890B95" w:rsidRPr="00C20D7E">
        <w:t xml:space="preserve">généralisée </w:t>
      </w:r>
      <w:r w:rsidR="009A0DAD" w:rsidRPr="00C20D7E">
        <w:t>des technologies numériques dans les processus de producti</w:t>
      </w:r>
      <w:r w:rsidR="003C1C91">
        <w:t>on agricole.</w:t>
      </w:r>
    </w:p>
    <w:p w14:paraId="1A27928A" w14:textId="22C5BA6A" w:rsidR="00A96618" w:rsidRPr="00C20D7E" w:rsidRDefault="006B04DE" w:rsidP="00D44185">
      <w:pPr>
        <w:pStyle w:val="enumlev1"/>
      </w:pPr>
      <w:r w:rsidRPr="00C20D7E">
        <w:t>d)</w:t>
      </w:r>
      <w:r w:rsidRPr="00C20D7E">
        <w:tab/>
      </w:r>
      <w:r w:rsidR="00F358B7" w:rsidRPr="003C1C91">
        <w:rPr>
          <w:caps/>
        </w:rPr>
        <w:t>é</w:t>
      </w:r>
      <w:r w:rsidR="00F358B7" w:rsidRPr="00C20D7E">
        <w:t>laborer des rapports et des spécifications techniques sur l</w:t>
      </w:r>
      <w:r w:rsidR="00DC04B9" w:rsidRPr="00C20D7E">
        <w:t>'</w:t>
      </w:r>
      <w:r w:rsidR="00F358B7" w:rsidRPr="00C20D7E">
        <w:t>utilisation de l</w:t>
      </w:r>
      <w:r w:rsidR="00DC04B9" w:rsidRPr="00C20D7E">
        <w:t>'</w:t>
      </w:r>
      <w:r w:rsidR="00F358B7" w:rsidRPr="00C20D7E">
        <w:t>IA et de l</w:t>
      </w:r>
      <w:r w:rsidR="00DC04B9" w:rsidRPr="00C20D7E">
        <w:t>'</w:t>
      </w:r>
      <w:r w:rsidR="00F358B7" w:rsidRPr="00C20D7E">
        <w:t>IoT pour faciliter l</w:t>
      </w:r>
      <w:r w:rsidR="00DC04B9" w:rsidRPr="00C20D7E">
        <w:t>'</w:t>
      </w:r>
      <w:r w:rsidR="00F358B7" w:rsidRPr="00C20D7E">
        <w:t>acquisition, le traitement, la modélisation et l</w:t>
      </w:r>
      <w:r w:rsidR="00DC04B9" w:rsidRPr="00C20D7E">
        <w:t>'</w:t>
      </w:r>
      <w:r w:rsidR="003C1C91">
        <w:t>utilisation des données, y </w:t>
      </w:r>
      <w:r w:rsidR="00F358B7" w:rsidRPr="00C20D7E">
        <w:t xml:space="preserve">compris le suivi des données et la télédétection en temps réel, sur la base </w:t>
      </w:r>
      <w:r w:rsidR="001F2F5B" w:rsidRPr="00C20D7E">
        <w:t>de l</w:t>
      </w:r>
      <w:r w:rsidR="00DC04B9" w:rsidRPr="00C20D7E">
        <w:t>'</w:t>
      </w:r>
      <w:r w:rsidR="001F2F5B" w:rsidRPr="00C20D7E">
        <w:t>étude</w:t>
      </w:r>
      <w:r w:rsidR="00F358B7" w:rsidRPr="00C20D7E">
        <w:t xml:space="preserve"> des</w:t>
      </w:r>
      <w:r w:rsidR="001F2F5B" w:rsidRPr="00C20D7E">
        <w:t xml:space="preserve"> cas d</w:t>
      </w:r>
      <w:r w:rsidR="00DC04B9" w:rsidRPr="00C20D7E">
        <w:t>'</w:t>
      </w:r>
      <w:r w:rsidR="001F2F5B" w:rsidRPr="00C20D7E">
        <w:t>utilisation (par exemple</w:t>
      </w:r>
      <w:r w:rsidR="00F358B7" w:rsidRPr="00C20D7E">
        <w:t xml:space="preserve"> le jumelage numérique des processus agricoles, le traitement des données, la </w:t>
      </w:r>
      <w:r w:rsidR="003C1C91">
        <w:t>modélisation des données, etc.).</w:t>
      </w:r>
    </w:p>
    <w:p w14:paraId="7B2D695B" w14:textId="3993D2B8" w:rsidR="00A96618" w:rsidRPr="00C20D7E" w:rsidRDefault="006B04DE" w:rsidP="00D44185">
      <w:pPr>
        <w:pStyle w:val="enumlev1"/>
      </w:pPr>
      <w:r w:rsidRPr="00C20D7E">
        <w:t>e)</w:t>
      </w:r>
      <w:r w:rsidRPr="00C20D7E">
        <w:tab/>
      </w:r>
      <w:r w:rsidR="003C1C91">
        <w:t>A</w:t>
      </w:r>
      <w:r w:rsidR="00745CAC" w:rsidRPr="00C20D7E">
        <w:t>nalyser et identifier les lacunes en matière de normalisation en ce qui concerne l</w:t>
      </w:r>
      <w:r w:rsidR="00DC04B9" w:rsidRPr="00C20D7E">
        <w:t>'</w:t>
      </w:r>
      <w:r w:rsidR="00745CAC" w:rsidRPr="00C20D7E">
        <w:t>utilisation de l</w:t>
      </w:r>
      <w:r w:rsidR="00DC04B9" w:rsidRPr="00C20D7E">
        <w:t>'</w:t>
      </w:r>
      <w:r w:rsidR="00745CAC" w:rsidRPr="00C20D7E">
        <w:t>IA et de l</w:t>
      </w:r>
      <w:r w:rsidR="00DC04B9" w:rsidRPr="00C20D7E">
        <w:t>'</w:t>
      </w:r>
      <w:r w:rsidR="00745CAC" w:rsidRPr="00C20D7E">
        <w:t xml:space="preserve">IoT </w:t>
      </w:r>
      <w:r w:rsidR="00890B95" w:rsidRPr="00C20D7E">
        <w:t xml:space="preserve">en </w:t>
      </w:r>
      <w:r w:rsidR="00745CAC" w:rsidRPr="00C20D7E">
        <w:t xml:space="preserve">agriculture et élaborer une feuille de route </w:t>
      </w:r>
      <w:r w:rsidR="00890B95" w:rsidRPr="00C20D7E">
        <w:t>pour la</w:t>
      </w:r>
      <w:r w:rsidR="00745CAC" w:rsidRPr="00C20D7E">
        <w:t xml:space="preserve"> normalisation</w:t>
      </w:r>
      <w:r w:rsidR="00890B95" w:rsidRPr="00C20D7E">
        <w:t xml:space="preserve"> future</w:t>
      </w:r>
      <w:r w:rsidR="00745CAC" w:rsidRPr="00C20D7E">
        <w:t>, en tenant compte des activités que mènent actuellement les autres groupes de l</w:t>
      </w:r>
      <w:r w:rsidR="00DC04B9" w:rsidRPr="00C20D7E">
        <w:t>'</w:t>
      </w:r>
      <w:r w:rsidR="00745CAC" w:rsidRPr="00C20D7E">
        <w:t xml:space="preserve">UIT et les divers organismes </w:t>
      </w:r>
      <w:r w:rsidR="00890B95" w:rsidRPr="00C20D7E">
        <w:t xml:space="preserve">et forums </w:t>
      </w:r>
      <w:r w:rsidR="003C1C91">
        <w:t>de normalisation.</w:t>
      </w:r>
    </w:p>
    <w:p w14:paraId="182FD53A" w14:textId="6203AB3E" w:rsidR="00A96618" w:rsidRPr="00C20D7E" w:rsidRDefault="006B04DE" w:rsidP="00D44185">
      <w:pPr>
        <w:pStyle w:val="enumlev1"/>
      </w:pPr>
      <w:r w:rsidRPr="00C20D7E">
        <w:t>f)</w:t>
      </w:r>
      <w:r w:rsidRPr="00C20D7E">
        <w:tab/>
      </w:r>
      <w:r w:rsidR="003C1C91">
        <w:t>O</w:t>
      </w:r>
      <w:r w:rsidR="00D31F17" w:rsidRPr="00C20D7E">
        <w:t xml:space="preserve">rganiser des ateliers/webinaires </w:t>
      </w:r>
      <w:r w:rsidR="009F168D" w:rsidRPr="00C20D7E">
        <w:t xml:space="preserve">qui </w:t>
      </w:r>
      <w:r w:rsidR="00D31F17" w:rsidRPr="00C20D7E">
        <w:t>réuniss</w:t>
      </w:r>
      <w:r w:rsidR="009F168D" w:rsidRPr="00C20D7E">
        <w:t>e</w:t>
      </w:r>
      <w:r w:rsidR="00D31F17" w:rsidRPr="00C20D7E">
        <w:t>nt les parties prenantes et les experts, mett</w:t>
      </w:r>
      <w:r w:rsidR="009F168D" w:rsidRPr="00C20D7E">
        <w:t>ent</w:t>
      </w:r>
      <w:r w:rsidR="00D31F17" w:rsidRPr="00C20D7E">
        <w:t xml:space="preserve"> en avant les activités innovantes concernant l</w:t>
      </w:r>
      <w:r w:rsidR="00DC04B9" w:rsidRPr="00C20D7E">
        <w:t>'</w:t>
      </w:r>
      <w:r w:rsidR="00D31F17" w:rsidRPr="00C20D7E">
        <w:t>utilisation de l</w:t>
      </w:r>
      <w:r w:rsidR="00DC04B9" w:rsidRPr="00C20D7E">
        <w:t>'</w:t>
      </w:r>
      <w:r w:rsidR="00D31F17" w:rsidRPr="00C20D7E">
        <w:t>IA et de l</w:t>
      </w:r>
      <w:r w:rsidR="00DC04B9" w:rsidRPr="00C20D7E">
        <w:t>'</w:t>
      </w:r>
      <w:r w:rsidR="00D31F17" w:rsidRPr="00C20D7E">
        <w:t>IoT – et la normalisation – dans les processus de production agricole et facilite</w:t>
      </w:r>
      <w:r w:rsidR="009F168D" w:rsidRPr="00C20D7E">
        <w:t>nt</w:t>
      </w:r>
      <w:r w:rsidR="00D31F17" w:rsidRPr="00C20D7E">
        <w:t xml:space="preserve"> le recrutement de nouveaux membres du </w:t>
      </w:r>
      <w:r w:rsidR="009F168D" w:rsidRPr="00C20D7E">
        <w:t>G</w:t>
      </w:r>
      <w:r w:rsidR="00D31F17" w:rsidRPr="00C20D7E">
        <w:t>roupe spécialisé.</w:t>
      </w:r>
      <w:r w:rsidRPr="00C20D7E">
        <w:t xml:space="preserve"> </w:t>
      </w:r>
      <w:r w:rsidR="00764433" w:rsidRPr="00C20D7E">
        <w:t>En outre, évaluer les propositions de nouveaux cas d</w:t>
      </w:r>
      <w:r w:rsidR="00DC04B9" w:rsidRPr="00C20D7E">
        <w:t>'</w:t>
      </w:r>
      <w:r w:rsidR="00764433" w:rsidRPr="00C20D7E">
        <w:t>utilisation, en vue de le</w:t>
      </w:r>
      <w:r w:rsidR="003C1C91">
        <w:t>s inclure dans les sous-groupes.</w:t>
      </w:r>
    </w:p>
    <w:p w14:paraId="7E13CDA3" w14:textId="37B914D3" w:rsidR="00A96618" w:rsidRPr="00C20D7E" w:rsidRDefault="006B04DE" w:rsidP="00D44185">
      <w:pPr>
        <w:pStyle w:val="enumlev1"/>
      </w:pPr>
      <w:r w:rsidRPr="00C20D7E">
        <w:lastRenderedPageBreak/>
        <w:t>g)</w:t>
      </w:r>
      <w:r w:rsidRPr="00C20D7E">
        <w:tab/>
      </w:r>
      <w:r w:rsidR="007F5A5C" w:rsidRPr="003C1C91">
        <w:rPr>
          <w:caps/>
        </w:rPr>
        <w:t>é</w:t>
      </w:r>
      <w:r w:rsidR="007F5A5C" w:rsidRPr="00C20D7E">
        <w:t>laborer</w:t>
      </w:r>
      <w:r w:rsidR="009F168D" w:rsidRPr="00C20D7E">
        <w:t>,</w:t>
      </w:r>
      <w:r w:rsidR="007F5A5C" w:rsidRPr="00C20D7E">
        <w:t xml:space="preserve"> </w:t>
      </w:r>
      <w:r w:rsidR="009F168D" w:rsidRPr="00C20D7E">
        <w:t>en collaboration avec d</w:t>
      </w:r>
      <w:r w:rsidR="00DC04B9" w:rsidRPr="00C20D7E">
        <w:t>'</w:t>
      </w:r>
      <w:r w:rsidR="009F168D" w:rsidRPr="00C20D7E">
        <w:t xml:space="preserve">autres partenaires, </w:t>
      </w:r>
      <w:r w:rsidR="007F5A5C" w:rsidRPr="00C20D7E">
        <w:t>des sup</w:t>
      </w:r>
      <w:r w:rsidR="001F2F5B" w:rsidRPr="00C20D7E">
        <w:t>ports pédagogiques (par</w:t>
      </w:r>
      <w:r w:rsidR="003C1C91">
        <w:t> </w:t>
      </w:r>
      <w:r w:rsidR="001F2F5B" w:rsidRPr="00C20D7E">
        <w:t>exemple</w:t>
      </w:r>
      <w:r w:rsidR="009F168D" w:rsidRPr="00C20D7E">
        <w:t>,</w:t>
      </w:r>
      <w:r w:rsidR="007F5A5C" w:rsidRPr="00C20D7E">
        <w:t xml:space="preserve"> des cours en ligne et des brochures) </w:t>
      </w:r>
      <w:r w:rsidR="00C50076" w:rsidRPr="00C20D7E">
        <w:t>grâce auxquels</w:t>
      </w:r>
      <w:r w:rsidR="007F5A5C" w:rsidRPr="00C20D7E">
        <w:t xml:space="preserve"> les progrès </w:t>
      </w:r>
      <w:r w:rsidR="00C50076" w:rsidRPr="00C20D7E">
        <w:t xml:space="preserve">accomplis par le </w:t>
      </w:r>
      <w:r w:rsidR="009F168D" w:rsidRPr="00C20D7E">
        <w:t>G</w:t>
      </w:r>
      <w:r w:rsidR="007F5A5C" w:rsidRPr="00C20D7E">
        <w:t xml:space="preserve">roupe spécialisé </w:t>
      </w:r>
      <w:r w:rsidR="00C50076" w:rsidRPr="00C20D7E">
        <w:t xml:space="preserve">sont </w:t>
      </w:r>
      <w:r w:rsidR="007F5A5C" w:rsidRPr="00C20D7E">
        <w:t>accessibles à l</w:t>
      </w:r>
      <w:r w:rsidR="00DC04B9" w:rsidRPr="00C20D7E">
        <w:t>'</w:t>
      </w:r>
      <w:r w:rsidR="007F5A5C" w:rsidRPr="00C20D7E">
        <w:t>ensemble des parties prenantes et des experts, en particulier ceux des pays en développement.</w:t>
      </w:r>
    </w:p>
    <w:p w14:paraId="58C4CF90" w14:textId="77777777" w:rsidR="00A96618" w:rsidRPr="003C1C91" w:rsidRDefault="00505B43" w:rsidP="003C1C91">
      <w:pPr>
        <w:pStyle w:val="Heading1"/>
        <w:spacing w:before="360"/>
        <w:rPr>
          <w:bCs/>
        </w:rPr>
      </w:pPr>
      <w:r w:rsidRPr="003C1C91">
        <w:rPr>
          <w:bCs/>
        </w:rPr>
        <w:t>4</w:t>
      </w:r>
      <w:r w:rsidRPr="003C1C91">
        <w:rPr>
          <w:bCs/>
        </w:rPr>
        <w:tab/>
        <w:t>Relations</w:t>
      </w:r>
    </w:p>
    <w:p w14:paraId="115BB024" w14:textId="665E65D1" w:rsidR="00A96618" w:rsidRPr="00C20D7E" w:rsidRDefault="0058763D" w:rsidP="00D44185">
      <w:r w:rsidRPr="00C20D7E">
        <w:t xml:space="preserve">Ce </w:t>
      </w:r>
      <w:r w:rsidR="000567B1" w:rsidRPr="00C20D7E">
        <w:t>G</w:t>
      </w:r>
      <w:r w:rsidRPr="00C20D7E">
        <w:t>roupe spécialisé travaillera en collaboration avec d</w:t>
      </w:r>
      <w:r w:rsidR="00DC04B9" w:rsidRPr="00C20D7E">
        <w:t>'</w:t>
      </w:r>
      <w:r w:rsidRPr="00C20D7E">
        <w:t>autres ent</w:t>
      </w:r>
      <w:r w:rsidR="003C1C91">
        <w:t>ités concernées, conformément à </w:t>
      </w:r>
      <w:r w:rsidRPr="00C20D7E">
        <w:t xml:space="preserve">la Recommandation UIT-T A.7. Ces entités peuvent être: des organisations du système des Nations Unies, des organisations non gouvernementales (ONG), des municipalités, des décideurs, des organismes de normalisation, des forums et des consortiums du secteur privé, des entreprises, des établissements universitaires, des instituts de recherche </w:t>
      </w:r>
      <w:r w:rsidR="004379CB" w:rsidRPr="00C20D7E">
        <w:t>ainsi que</w:t>
      </w:r>
      <w:r w:rsidRPr="00C20D7E">
        <w:t xml:space="preserve"> d</w:t>
      </w:r>
      <w:r w:rsidR="00DC04B9" w:rsidRPr="00C20D7E">
        <w:t>'</w:t>
      </w:r>
      <w:r w:rsidRPr="00C20D7E">
        <w:t>autres organismes concernés.</w:t>
      </w:r>
    </w:p>
    <w:p w14:paraId="05810CFB" w14:textId="01FC75DB" w:rsidR="00A96618" w:rsidRPr="00C20D7E" w:rsidRDefault="007304FB" w:rsidP="00D44185">
      <w:r w:rsidRPr="00C20D7E">
        <w:t xml:space="preserve">Le </w:t>
      </w:r>
      <w:r w:rsidR="000567B1" w:rsidRPr="00C20D7E">
        <w:t>G</w:t>
      </w:r>
      <w:r w:rsidRPr="00C20D7E">
        <w:t>roupe spécialisé sur l</w:t>
      </w:r>
      <w:r w:rsidR="00DC04B9" w:rsidRPr="00C20D7E">
        <w:t>'</w:t>
      </w:r>
      <w:r w:rsidRPr="00C20D7E">
        <w:t>IA et l</w:t>
      </w:r>
      <w:r w:rsidR="00DC04B9" w:rsidRPr="00C20D7E">
        <w:t>'</w:t>
      </w:r>
      <w:r w:rsidRPr="00C20D7E">
        <w:t>IoT au service de l</w:t>
      </w:r>
      <w:r w:rsidR="00DC04B9" w:rsidRPr="00C20D7E">
        <w:t>'</w:t>
      </w:r>
      <w:r w:rsidRPr="00C20D7E">
        <w:t>agriculture numérique</w:t>
      </w:r>
      <w:r w:rsidR="004379CB" w:rsidRPr="00C20D7E">
        <w:t>,</w:t>
      </w:r>
      <w:r w:rsidRPr="00C20D7E">
        <w:t xml:space="preserve"> dont la création est proposée</w:t>
      </w:r>
      <w:r w:rsidR="004379CB" w:rsidRPr="00C20D7E">
        <w:t>,</w:t>
      </w:r>
      <w:r w:rsidRPr="00C20D7E">
        <w:t xml:space="preserve"> collaborera avec les </w:t>
      </w:r>
      <w:r w:rsidR="000567B1" w:rsidRPr="00C20D7E">
        <w:t>C</w:t>
      </w:r>
      <w:r w:rsidRPr="00C20D7E">
        <w:t>ommissions d</w:t>
      </w:r>
      <w:r w:rsidR="00DC04B9" w:rsidRPr="00C20D7E">
        <w:t>'</w:t>
      </w:r>
      <w:r w:rsidRPr="00C20D7E">
        <w:t>études de l</w:t>
      </w:r>
      <w:r w:rsidR="00DC04B9" w:rsidRPr="00C20D7E">
        <w:t>'</w:t>
      </w:r>
      <w:r w:rsidRPr="00C20D7E">
        <w:t>UIT suivantes:</w:t>
      </w:r>
    </w:p>
    <w:p w14:paraId="42DB99A1" w14:textId="063A231D" w:rsidR="00A96618" w:rsidRPr="00C20D7E" w:rsidRDefault="006B04DE" w:rsidP="00D44185">
      <w:pPr>
        <w:pStyle w:val="enumlev1"/>
      </w:pPr>
      <w:r w:rsidRPr="00C20D7E">
        <w:t>•</w:t>
      </w:r>
      <w:r w:rsidRPr="00C20D7E">
        <w:tab/>
      </w:r>
      <w:r w:rsidR="006038A4" w:rsidRPr="00C20D7E">
        <w:t>CE 5 de l</w:t>
      </w:r>
      <w:r w:rsidR="00DC04B9" w:rsidRPr="00C20D7E">
        <w:t>'</w:t>
      </w:r>
      <w:r w:rsidR="006038A4" w:rsidRPr="00C20D7E">
        <w:t>UIT-T (G</w:t>
      </w:r>
      <w:r w:rsidR="000567B1" w:rsidRPr="00C20D7E">
        <w:t>T</w:t>
      </w:r>
      <w:r w:rsidR="006038A4" w:rsidRPr="00C20D7E">
        <w:t xml:space="preserve"> 2/5 sur l</w:t>
      </w:r>
      <w:r w:rsidR="00DC04B9" w:rsidRPr="00C20D7E">
        <w:t>'</w:t>
      </w:r>
      <w:r w:rsidR="006038A4" w:rsidRPr="00C20D7E">
        <w:t>environnement, l</w:t>
      </w:r>
      <w:r w:rsidR="00DC04B9" w:rsidRPr="00C20D7E">
        <w:t>'</w:t>
      </w:r>
      <w:r w:rsidR="006038A4" w:rsidRPr="00C20D7E">
        <w:t>efficacité énergétique et l</w:t>
      </w:r>
      <w:r w:rsidR="00DC04B9" w:rsidRPr="00C20D7E">
        <w:t>'</w:t>
      </w:r>
      <w:r w:rsidR="006038A4" w:rsidRPr="00C20D7E">
        <w:t>économie circulaire)</w:t>
      </w:r>
    </w:p>
    <w:p w14:paraId="7DA181E9" w14:textId="0A791ADF" w:rsidR="00A96618" w:rsidRPr="00C20D7E" w:rsidRDefault="006B04DE" w:rsidP="00D44185">
      <w:pPr>
        <w:pStyle w:val="enumlev1"/>
      </w:pPr>
      <w:r w:rsidRPr="00C20D7E">
        <w:t>•</w:t>
      </w:r>
      <w:r w:rsidRPr="00C20D7E">
        <w:tab/>
      </w:r>
      <w:r w:rsidR="000C6100" w:rsidRPr="00C20D7E">
        <w:t>CE 12 de l</w:t>
      </w:r>
      <w:r w:rsidR="00DC04B9" w:rsidRPr="00C20D7E">
        <w:t>'</w:t>
      </w:r>
      <w:r w:rsidR="000C6100" w:rsidRPr="00C20D7E">
        <w:t xml:space="preserve">UIT-T pour tirer parti </w:t>
      </w:r>
      <w:r w:rsidR="000567B1" w:rsidRPr="00C20D7E">
        <w:t xml:space="preserve">des Recommandations UIT-T </w:t>
      </w:r>
      <w:r w:rsidR="000C6100" w:rsidRPr="00C20D7E">
        <w:t>de la série P.1100-P.1199 relative aux communications à bord des véhicules</w:t>
      </w:r>
    </w:p>
    <w:p w14:paraId="3801D256" w14:textId="72661FBE" w:rsidR="00A96618" w:rsidRPr="00C20D7E" w:rsidRDefault="006B04DE" w:rsidP="00D44185">
      <w:pPr>
        <w:pStyle w:val="enumlev1"/>
      </w:pPr>
      <w:r w:rsidRPr="00C20D7E">
        <w:t>•</w:t>
      </w:r>
      <w:r w:rsidRPr="00C20D7E">
        <w:tab/>
      </w:r>
      <w:r w:rsidR="00C306C7" w:rsidRPr="00C20D7E">
        <w:t>CE 13 de l</w:t>
      </w:r>
      <w:r w:rsidR="00DC04B9" w:rsidRPr="00C20D7E">
        <w:t>'</w:t>
      </w:r>
      <w:r w:rsidR="00C306C7" w:rsidRPr="00C20D7E">
        <w:t>UIT-T sur les réseaux futurs (et le nuage)</w:t>
      </w:r>
    </w:p>
    <w:p w14:paraId="38EF0F79" w14:textId="06271A93" w:rsidR="00A96618" w:rsidRPr="00C20D7E" w:rsidRDefault="006B04DE" w:rsidP="00D44185">
      <w:pPr>
        <w:pStyle w:val="enumlev1"/>
      </w:pPr>
      <w:r w:rsidRPr="00C20D7E">
        <w:t>•</w:t>
      </w:r>
      <w:r w:rsidRPr="00C20D7E">
        <w:tab/>
      </w:r>
      <w:r w:rsidR="00963853" w:rsidRPr="00C20D7E">
        <w:t>CE 16 de l</w:t>
      </w:r>
      <w:r w:rsidR="00DC04B9" w:rsidRPr="00C20D7E">
        <w:t>'</w:t>
      </w:r>
      <w:r w:rsidR="00963853" w:rsidRPr="00C20D7E">
        <w:t>UIT-T (Question 21/16 sur le cadre, les applications</w:t>
      </w:r>
      <w:r w:rsidR="003C1C91">
        <w:t xml:space="preserve"> et les services multimédias et </w:t>
      </w:r>
      <w:r w:rsidR="00963853" w:rsidRPr="00C20D7E">
        <w:t>Question 27/16 sur la plate-forme de passerelle de véhicule pour les services et applications de télécommunication/ITS)</w:t>
      </w:r>
    </w:p>
    <w:p w14:paraId="463173D1" w14:textId="5900CF93" w:rsidR="00A96618" w:rsidRPr="00C20D7E" w:rsidRDefault="006B04DE" w:rsidP="00D44185">
      <w:pPr>
        <w:pStyle w:val="enumlev1"/>
      </w:pPr>
      <w:r w:rsidRPr="00C20D7E">
        <w:t>•</w:t>
      </w:r>
      <w:r w:rsidRPr="00C20D7E">
        <w:tab/>
      </w:r>
      <w:r w:rsidR="00322789" w:rsidRPr="00C20D7E">
        <w:t>CE 17 de l</w:t>
      </w:r>
      <w:r w:rsidR="00DC04B9" w:rsidRPr="00C20D7E">
        <w:t>'</w:t>
      </w:r>
      <w:r w:rsidR="00322789" w:rsidRPr="00C20D7E">
        <w:t>UIT-T sur la sécurité</w:t>
      </w:r>
    </w:p>
    <w:p w14:paraId="7234F11D" w14:textId="0F2821A8" w:rsidR="00A96618" w:rsidRPr="00C20D7E" w:rsidRDefault="006B04DE" w:rsidP="00D44185">
      <w:pPr>
        <w:pStyle w:val="enumlev1"/>
      </w:pPr>
      <w:r w:rsidRPr="00C20D7E">
        <w:t>•</w:t>
      </w:r>
      <w:r w:rsidRPr="00C20D7E">
        <w:tab/>
      </w:r>
      <w:r w:rsidR="008933AD" w:rsidRPr="00C20D7E">
        <w:t>CE 20 de l</w:t>
      </w:r>
      <w:r w:rsidR="00DC04B9" w:rsidRPr="00C20D7E">
        <w:t>'</w:t>
      </w:r>
      <w:r w:rsidR="008933AD" w:rsidRPr="00C20D7E">
        <w:t xml:space="preserve">UIT-T (Questions 2/20 et 4/20 </w:t>
      </w:r>
      <w:r w:rsidR="004379CB" w:rsidRPr="00C20D7E">
        <w:t>de l</w:t>
      </w:r>
      <w:r w:rsidR="00DC04B9" w:rsidRPr="00C20D7E">
        <w:t>'</w:t>
      </w:r>
      <w:r w:rsidR="004379CB" w:rsidRPr="00C20D7E">
        <w:t xml:space="preserve">UIT-T </w:t>
      </w:r>
      <w:r w:rsidR="008933AD" w:rsidRPr="00C20D7E">
        <w:t>sur les cas d</w:t>
      </w:r>
      <w:r w:rsidR="00DC04B9" w:rsidRPr="00C20D7E">
        <w:t>'</w:t>
      </w:r>
      <w:r w:rsidR="008933AD" w:rsidRPr="00C20D7E">
        <w:t>utilisation de l</w:t>
      </w:r>
      <w:r w:rsidR="00DC04B9" w:rsidRPr="00C20D7E">
        <w:t>'</w:t>
      </w:r>
      <w:r w:rsidR="008933AD" w:rsidRPr="00C20D7E">
        <w:t>IoT, les exigences et les aspects relatifs aux données en ce qui concerne l</w:t>
      </w:r>
      <w:r w:rsidR="00DC04B9" w:rsidRPr="00C20D7E">
        <w:t>'</w:t>
      </w:r>
      <w:r w:rsidR="008933AD" w:rsidRPr="00C20D7E">
        <w:t>agriculture numérique)</w:t>
      </w:r>
    </w:p>
    <w:p w14:paraId="7412DDB8" w14:textId="43DD22A5" w:rsidR="00A96618" w:rsidRPr="00C20D7E" w:rsidRDefault="006B04DE" w:rsidP="00D44185">
      <w:pPr>
        <w:pStyle w:val="enumlev1"/>
      </w:pPr>
      <w:r w:rsidRPr="00C20D7E">
        <w:t>•</w:t>
      </w:r>
      <w:r w:rsidRPr="00C20D7E">
        <w:tab/>
      </w:r>
      <w:r w:rsidR="00935A11" w:rsidRPr="00C20D7E">
        <w:t>CE 4 de l</w:t>
      </w:r>
      <w:r w:rsidR="00DC04B9" w:rsidRPr="00C20D7E">
        <w:t>'</w:t>
      </w:r>
      <w:r w:rsidR="00935A11" w:rsidRPr="00C20D7E">
        <w:t>UIT-R sur les services par satellite et CE 5 de l</w:t>
      </w:r>
      <w:r w:rsidR="00DC04B9" w:rsidRPr="00C20D7E">
        <w:t>'</w:t>
      </w:r>
      <w:r w:rsidR="00935A11" w:rsidRPr="00C20D7E">
        <w:t>UIT-R sur la connectivité pour la navigation de haute précision</w:t>
      </w:r>
    </w:p>
    <w:p w14:paraId="12D0C32C" w14:textId="10806E14" w:rsidR="00A96618" w:rsidRPr="00C20D7E" w:rsidRDefault="006B04DE" w:rsidP="00D44185">
      <w:pPr>
        <w:pStyle w:val="enumlev1"/>
      </w:pPr>
      <w:r w:rsidRPr="00C20D7E">
        <w:t>•</w:t>
      </w:r>
      <w:r w:rsidRPr="00C20D7E">
        <w:tab/>
      </w:r>
      <w:r w:rsidR="009575C3" w:rsidRPr="00C20D7E">
        <w:t>CE</w:t>
      </w:r>
      <w:r w:rsidR="00313E4E" w:rsidRPr="00C20D7E">
        <w:t xml:space="preserve"> </w:t>
      </w:r>
      <w:r w:rsidR="009575C3" w:rsidRPr="00C20D7E">
        <w:t>1 et CE</w:t>
      </w:r>
      <w:r w:rsidR="00313E4E" w:rsidRPr="00C20D7E">
        <w:t xml:space="preserve"> </w:t>
      </w:r>
      <w:r w:rsidR="009575C3" w:rsidRPr="00C20D7E">
        <w:t>2 de l</w:t>
      </w:r>
      <w:r w:rsidR="00DC04B9" w:rsidRPr="00C20D7E">
        <w:t>'</w:t>
      </w:r>
      <w:r w:rsidR="009575C3" w:rsidRPr="00C20D7E">
        <w:t>UIT-D</w:t>
      </w:r>
    </w:p>
    <w:p w14:paraId="6DDC350A" w14:textId="6DCD89AE" w:rsidR="00A96618" w:rsidRPr="00C20D7E" w:rsidRDefault="006B04DE" w:rsidP="00D44185">
      <w:pPr>
        <w:pStyle w:val="enumlev1"/>
      </w:pPr>
      <w:r w:rsidRPr="00C20D7E">
        <w:t>•</w:t>
      </w:r>
      <w:r w:rsidRPr="00C20D7E">
        <w:tab/>
      </w:r>
      <w:r w:rsidR="00A27A69" w:rsidRPr="00C20D7E">
        <w:t>Groupe spécialisé de l</w:t>
      </w:r>
      <w:r w:rsidR="00DC04B9" w:rsidRPr="00C20D7E">
        <w:t>'</w:t>
      </w:r>
      <w:r w:rsidR="00A27A69" w:rsidRPr="00C20D7E">
        <w:t>UIT-T sur l</w:t>
      </w:r>
      <w:r w:rsidR="00DC04B9" w:rsidRPr="00C20D7E">
        <w:t>'</w:t>
      </w:r>
      <w:r w:rsidR="00A27A69" w:rsidRPr="00C20D7E">
        <w:t>efficacité environnementale de l</w:t>
      </w:r>
      <w:r w:rsidR="00DC04B9" w:rsidRPr="00C20D7E">
        <w:t>'</w:t>
      </w:r>
      <w:r w:rsidR="00A27A69" w:rsidRPr="00C20D7E">
        <w:t>intelligence artificielle et d</w:t>
      </w:r>
      <w:r w:rsidR="00DC04B9" w:rsidRPr="00C20D7E">
        <w:t>'</w:t>
      </w:r>
      <w:r w:rsidR="00A27A69" w:rsidRPr="00C20D7E">
        <w:t>autres technologies émergentes (FG-AI4EE)</w:t>
      </w:r>
    </w:p>
    <w:p w14:paraId="33EBBA78" w14:textId="779BF701" w:rsidR="00A96618" w:rsidRPr="00C20D7E" w:rsidRDefault="006B04DE" w:rsidP="00D44185">
      <w:pPr>
        <w:pStyle w:val="enumlev1"/>
      </w:pPr>
      <w:r w:rsidRPr="00C20D7E">
        <w:t>•</w:t>
      </w:r>
      <w:r w:rsidRPr="00C20D7E">
        <w:tab/>
      </w:r>
      <w:r w:rsidR="003C7465" w:rsidRPr="00C20D7E">
        <w:t>Groupe spécialisé de l</w:t>
      </w:r>
      <w:r w:rsidR="00DC04B9" w:rsidRPr="00C20D7E">
        <w:t>'</w:t>
      </w:r>
      <w:r w:rsidR="003C7465" w:rsidRPr="00C20D7E">
        <w:t>UIT-T sur l</w:t>
      </w:r>
      <w:r w:rsidR="00DC04B9" w:rsidRPr="00C20D7E">
        <w:t>'</w:t>
      </w:r>
      <w:r w:rsidR="003C7465" w:rsidRPr="00C20D7E">
        <w:t>intelligence artificielle au service de la gestion des catastrophes naturelles (FG-AI4NDM)</w:t>
      </w:r>
    </w:p>
    <w:p w14:paraId="755D4E8E" w14:textId="77777777" w:rsidR="00A96618" w:rsidRPr="003C1C91" w:rsidRDefault="006B04DE" w:rsidP="003C1C91">
      <w:pPr>
        <w:pStyle w:val="Heading1"/>
        <w:spacing w:before="360"/>
        <w:rPr>
          <w:bCs/>
        </w:rPr>
      </w:pPr>
      <w:r w:rsidRPr="003C1C91">
        <w:rPr>
          <w:bCs/>
        </w:rPr>
        <w:t>5</w:t>
      </w:r>
      <w:r w:rsidRPr="003C1C91">
        <w:rPr>
          <w:bCs/>
        </w:rPr>
        <w:tab/>
        <w:t>Structure</w:t>
      </w:r>
    </w:p>
    <w:p w14:paraId="179B89EF" w14:textId="0A967C23" w:rsidR="00A96618" w:rsidRPr="00C20D7E" w:rsidRDefault="000573CA" w:rsidP="00D44185">
      <w:r w:rsidRPr="00C20D7E">
        <w:t xml:space="preserve">Le </w:t>
      </w:r>
      <w:r w:rsidR="000567B1" w:rsidRPr="00C20D7E">
        <w:t>G</w:t>
      </w:r>
      <w:r w:rsidRPr="00C20D7E">
        <w:t>roupe spécialisé dont la création est proposée peut, si nécessaire, mettre en place des sous</w:t>
      </w:r>
      <w:r w:rsidR="00313E4E" w:rsidRPr="00C20D7E">
        <w:noBreakHyphen/>
      </w:r>
      <w:r w:rsidRPr="00C20D7E">
        <w:t>groupes.</w:t>
      </w:r>
    </w:p>
    <w:p w14:paraId="4507627A" w14:textId="62C0DC56" w:rsidR="00A96618" w:rsidRPr="003C1C91" w:rsidRDefault="006B04DE" w:rsidP="003C1C91">
      <w:pPr>
        <w:pStyle w:val="Heading1"/>
        <w:spacing w:before="360"/>
        <w:rPr>
          <w:bCs/>
        </w:rPr>
      </w:pPr>
      <w:r w:rsidRPr="003C1C91">
        <w:rPr>
          <w:bCs/>
        </w:rPr>
        <w:t>6</w:t>
      </w:r>
      <w:r w:rsidRPr="003C1C91">
        <w:rPr>
          <w:bCs/>
        </w:rPr>
        <w:tab/>
      </w:r>
      <w:r w:rsidR="004D5BAF" w:rsidRPr="003C1C91">
        <w:rPr>
          <w:bCs/>
        </w:rPr>
        <w:t>Entité de rattachement</w:t>
      </w:r>
    </w:p>
    <w:p w14:paraId="4759B531" w14:textId="119FE90D" w:rsidR="00A96618" w:rsidRPr="00C20D7E" w:rsidRDefault="00251942" w:rsidP="00D44185">
      <w:r w:rsidRPr="00C20D7E">
        <w:t>L</w:t>
      </w:r>
      <w:r w:rsidR="00DC04B9" w:rsidRPr="00C20D7E">
        <w:t>'</w:t>
      </w:r>
      <w:r w:rsidRPr="00C20D7E">
        <w:t xml:space="preserve">entité de rattachement du </w:t>
      </w:r>
      <w:r w:rsidR="000567B1" w:rsidRPr="00C20D7E">
        <w:t>G</w:t>
      </w:r>
      <w:r w:rsidRPr="00C20D7E">
        <w:t xml:space="preserve">roupe spécialisé est la </w:t>
      </w:r>
      <w:r w:rsidRPr="00C20D7E">
        <w:rPr>
          <w:b/>
        </w:rPr>
        <w:t>Commission d</w:t>
      </w:r>
      <w:r w:rsidR="00DC04B9" w:rsidRPr="00C20D7E">
        <w:rPr>
          <w:b/>
        </w:rPr>
        <w:t>'</w:t>
      </w:r>
      <w:r w:rsidRPr="00C20D7E">
        <w:rPr>
          <w:b/>
        </w:rPr>
        <w:t>études 20 de l</w:t>
      </w:r>
      <w:r w:rsidR="00DC04B9" w:rsidRPr="00C20D7E">
        <w:rPr>
          <w:b/>
        </w:rPr>
        <w:t>'</w:t>
      </w:r>
      <w:r w:rsidRPr="00C20D7E">
        <w:rPr>
          <w:b/>
        </w:rPr>
        <w:t>UIT-T</w:t>
      </w:r>
      <w:r w:rsidRPr="00C20D7E">
        <w:t>: l</w:t>
      </w:r>
      <w:r w:rsidR="00DC04B9" w:rsidRPr="00C20D7E">
        <w:t>'</w:t>
      </w:r>
      <w:r w:rsidRPr="00C20D7E">
        <w:t>Internet des objets (IoT) et les villes et communautés intelligentes (SC&amp;C).</w:t>
      </w:r>
    </w:p>
    <w:p w14:paraId="5788EE98" w14:textId="77777777" w:rsidR="00505B43" w:rsidRPr="003C1C91" w:rsidRDefault="006B04DE" w:rsidP="003C1C91">
      <w:pPr>
        <w:pStyle w:val="Heading1"/>
        <w:spacing w:before="360"/>
        <w:rPr>
          <w:bCs/>
        </w:rPr>
      </w:pPr>
      <w:r w:rsidRPr="003C1C91">
        <w:rPr>
          <w:bCs/>
        </w:rPr>
        <w:t>7</w:t>
      </w:r>
      <w:r w:rsidRPr="003C1C91">
        <w:rPr>
          <w:bCs/>
        </w:rPr>
        <w:tab/>
        <w:t>Équipe de direction</w:t>
      </w:r>
    </w:p>
    <w:p w14:paraId="3B36163C" w14:textId="77777777" w:rsidR="00505B43" w:rsidRPr="00C20D7E" w:rsidRDefault="006B04DE" w:rsidP="00D44185">
      <w:r w:rsidRPr="00C20D7E">
        <w:t>Voir le § 2.3 de la Recommandation UIT-T A.7.</w:t>
      </w:r>
    </w:p>
    <w:p w14:paraId="24FFCD8C" w14:textId="77777777" w:rsidR="00505B43" w:rsidRPr="003C1C91" w:rsidRDefault="006B04DE" w:rsidP="003C1C91">
      <w:pPr>
        <w:pStyle w:val="Heading1"/>
        <w:spacing w:before="360"/>
        <w:rPr>
          <w:bCs/>
        </w:rPr>
      </w:pPr>
      <w:r w:rsidRPr="003C1C91">
        <w:rPr>
          <w:bCs/>
        </w:rPr>
        <w:lastRenderedPageBreak/>
        <w:t>8</w:t>
      </w:r>
      <w:r w:rsidRPr="003C1C91">
        <w:rPr>
          <w:bCs/>
        </w:rPr>
        <w:tab/>
        <w:t>Participation</w:t>
      </w:r>
    </w:p>
    <w:p w14:paraId="047D2DDC" w14:textId="1A1C116A" w:rsidR="00505B43" w:rsidRPr="00C20D7E" w:rsidRDefault="006B04DE" w:rsidP="00D44185">
      <w:r w:rsidRPr="00C20D7E">
        <w:t>Voir le § 3 de la Recommandation UIT-T A.7. Une liste des participants sera tenue à jour pour référence et transmise à l</w:t>
      </w:r>
      <w:r w:rsidR="00DC04B9" w:rsidRPr="00C20D7E">
        <w:t>'</w:t>
      </w:r>
      <w:r w:rsidRPr="00C20D7E">
        <w:t>entité de rattachement. Il est important de mentionner que l</w:t>
      </w:r>
      <w:r w:rsidR="005B45B9" w:rsidRPr="00C20D7E">
        <w:t xml:space="preserve">es participants aux travaux du </w:t>
      </w:r>
      <w:r w:rsidR="000567B1" w:rsidRPr="00C20D7E">
        <w:t>G</w:t>
      </w:r>
      <w:r w:rsidRPr="00C20D7E">
        <w:t>roupe spécialisé doivent soumettre des contributions et participer activement.</w:t>
      </w:r>
    </w:p>
    <w:p w14:paraId="5154F4A9" w14:textId="77777777" w:rsidR="00505B43" w:rsidRPr="003C1C91" w:rsidRDefault="006B04DE" w:rsidP="003C1C91">
      <w:pPr>
        <w:pStyle w:val="Heading1"/>
        <w:spacing w:before="360"/>
        <w:rPr>
          <w:bCs/>
        </w:rPr>
      </w:pPr>
      <w:r w:rsidRPr="003C1C91">
        <w:rPr>
          <w:bCs/>
        </w:rPr>
        <w:t>9</w:t>
      </w:r>
      <w:r w:rsidRPr="003C1C91">
        <w:rPr>
          <w:bCs/>
        </w:rPr>
        <w:tab/>
        <w:t>Appui administratif</w:t>
      </w:r>
    </w:p>
    <w:p w14:paraId="433AE9E3" w14:textId="77777777" w:rsidR="00505B43" w:rsidRPr="00C20D7E" w:rsidRDefault="006B04DE" w:rsidP="00D44185">
      <w:r w:rsidRPr="00C20D7E">
        <w:t>Voir le § 5 de la Recommandation UIT-T A.7.</w:t>
      </w:r>
    </w:p>
    <w:p w14:paraId="462B71EC" w14:textId="77777777" w:rsidR="00505B43" w:rsidRPr="003C1C91" w:rsidRDefault="006B04DE" w:rsidP="003C1C91">
      <w:pPr>
        <w:pStyle w:val="Heading1"/>
        <w:spacing w:before="360"/>
        <w:rPr>
          <w:bCs/>
        </w:rPr>
      </w:pPr>
      <w:r w:rsidRPr="003C1C91">
        <w:rPr>
          <w:bCs/>
        </w:rPr>
        <w:t>10</w:t>
      </w:r>
      <w:r w:rsidRPr="003C1C91">
        <w:rPr>
          <w:bCs/>
        </w:rPr>
        <w:tab/>
        <w:t>Aspects financiers généraux</w:t>
      </w:r>
    </w:p>
    <w:p w14:paraId="0BBE3704" w14:textId="77777777" w:rsidR="00505B43" w:rsidRPr="00C20D7E" w:rsidRDefault="006B04DE" w:rsidP="00D44185">
      <w:r w:rsidRPr="00C20D7E">
        <w:t>Voir les § 4 et 10.2 de la Recommandation UIT-T A.7.</w:t>
      </w:r>
    </w:p>
    <w:p w14:paraId="1B51447C" w14:textId="77777777" w:rsidR="00505B43" w:rsidRPr="003C1C91" w:rsidRDefault="006B04DE" w:rsidP="003C1C91">
      <w:pPr>
        <w:pStyle w:val="Heading1"/>
        <w:spacing w:before="360"/>
        <w:rPr>
          <w:rFonts w:eastAsia="SimSun"/>
          <w:bCs/>
          <w:lang w:eastAsia="ja-JP"/>
        </w:rPr>
      </w:pPr>
      <w:r w:rsidRPr="003C1C91">
        <w:rPr>
          <w:rFonts w:eastAsia="SimSun"/>
          <w:bCs/>
          <w:lang w:eastAsia="ja-JP"/>
        </w:rPr>
        <w:t>11</w:t>
      </w:r>
      <w:r w:rsidRPr="003C1C91">
        <w:rPr>
          <w:rFonts w:eastAsia="SimSun"/>
          <w:bCs/>
          <w:lang w:eastAsia="ja-JP"/>
        </w:rPr>
        <w:tab/>
        <w:t>Réunions</w:t>
      </w:r>
    </w:p>
    <w:p w14:paraId="17BD0D16" w14:textId="591AF115" w:rsidR="00505B43" w:rsidRPr="00C20D7E" w:rsidRDefault="006B04DE" w:rsidP="00D44185">
      <w:pPr>
        <w:rPr>
          <w:rFonts w:eastAsia="SimSun"/>
          <w:lang w:eastAsia="ja-JP"/>
        </w:rPr>
      </w:pPr>
      <w:r w:rsidRPr="00C20D7E">
        <w:t xml:space="preserve">Le </w:t>
      </w:r>
      <w:r w:rsidR="000567B1" w:rsidRPr="00C20D7E">
        <w:t>G</w:t>
      </w:r>
      <w:r w:rsidR="007106B9" w:rsidRPr="00C20D7E">
        <w:t xml:space="preserve">roupe </w:t>
      </w:r>
      <w:r w:rsidR="00D01B97" w:rsidRPr="00C20D7E">
        <w:t>spécialisé</w:t>
      </w:r>
      <w:r w:rsidRPr="00C20D7E">
        <w:rPr>
          <w:rFonts w:eastAsia="SimSun"/>
          <w:lang w:eastAsia="ja-JP"/>
        </w:rPr>
        <w:t xml:space="preserve"> </w:t>
      </w:r>
      <w:r w:rsidRPr="00C20D7E">
        <w:t xml:space="preserve">tiendra des réunions régulières. </w:t>
      </w:r>
      <w:r w:rsidRPr="00C20D7E">
        <w:rPr>
          <w:rFonts w:eastAsia="SimSun"/>
          <w:lang w:eastAsia="ja-JP"/>
        </w:rPr>
        <w:t>La fréquence et le lieu des réunions seront déterminés par l</w:t>
      </w:r>
      <w:r w:rsidR="00DC04B9" w:rsidRPr="00C20D7E">
        <w:rPr>
          <w:rFonts w:eastAsia="SimSun"/>
          <w:lang w:eastAsia="ja-JP"/>
        </w:rPr>
        <w:t>'</w:t>
      </w:r>
      <w:r w:rsidRPr="00C20D7E">
        <w:rPr>
          <w:rFonts w:eastAsia="SimSun"/>
          <w:lang w:eastAsia="ja-JP"/>
        </w:rPr>
        <w:t>é</w:t>
      </w:r>
      <w:r w:rsidR="00FE3CBF" w:rsidRPr="00C20D7E">
        <w:rPr>
          <w:rFonts w:eastAsia="SimSun"/>
          <w:lang w:eastAsia="ja-JP"/>
        </w:rPr>
        <w:t xml:space="preserve">quipe de direction du </w:t>
      </w:r>
      <w:r w:rsidR="000567B1" w:rsidRPr="00C20D7E">
        <w:rPr>
          <w:rFonts w:eastAsia="SimSun"/>
          <w:lang w:eastAsia="ja-JP"/>
        </w:rPr>
        <w:t>G</w:t>
      </w:r>
      <w:r w:rsidRPr="00C20D7E">
        <w:rPr>
          <w:rFonts w:eastAsia="SimSun"/>
          <w:lang w:eastAsia="ja-JP"/>
        </w:rPr>
        <w:t>roupe spécialisé. Le calendrier général des réunions sera annoncé après l</w:t>
      </w:r>
      <w:r w:rsidR="00DC04B9" w:rsidRPr="00C20D7E">
        <w:rPr>
          <w:rFonts w:eastAsia="SimSun"/>
          <w:lang w:eastAsia="ja-JP"/>
        </w:rPr>
        <w:t>'</w:t>
      </w:r>
      <w:r w:rsidRPr="00C20D7E">
        <w:rPr>
          <w:rFonts w:eastAsia="SimSun"/>
          <w:lang w:eastAsia="ja-JP"/>
        </w:rPr>
        <w:t xml:space="preserve">approbation du mandat. Le </w:t>
      </w:r>
      <w:r w:rsidR="000567B1" w:rsidRPr="00C20D7E">
        <w:rPr>
          <w:rFonts w:eastAsia="SimSun"/>
          <w:lang w:eastAsia="ja-JP"/>
        </w:rPr>
        <w:t>G</w:t>
      </w:r>
      <w:r w:rsidRPr="00C20D7E">
        <w:rPr>
          <w:rFonts w:eastAsia="SimSun"/>
          <w:lang w:eastAsia="ja-JP"/>
        </w:rPr>
        <w:t>roupe spécialisé utilisera les outils de collaboration à distance dans la mesure du possible</w:t>
      </w:r>
      <w:r w:rsidR="00FE3CBF" w:rsidRPr="00C20D7E">
        <w:rPr>
          <w:rFonts w:eastAsia="SimSun"/>
          <w:lang w:eastAsia="ja-JP"/>
        </w:rPr>
        <w:t>.</w:t>
      </w:r>
    </w:p>
    <w:p w14:paraId="4AABB5C5" w14:textId="7CD07BBD" w:rsidR="00505B43" w:rsidRPr="00C20D7E" w:rsidRDefault="006B04DE" w:rsidP="00D44185">
      <w:pPr>
        <w:rPr>
          <w:rFonts w:eastAsia="SimSun"/>
          <w:lang w:eastAsia="ja-JP"/>
        </w:rPr>
      </w:pPr>
      <w:r w:rsidRPr="00C20D7E">
        <w:rPr>
          <w:rFonts w:eastAsia="SimSun"/>
          <w:lang w:eastAsia="ja-JP"/>
        </w:rPr>
        <w:t>Les dates des réunions seront annoncées par voie électronique (courrier électronique, site web, etc.) au moins quatre semaines à l</w:t>
      </w:r>
      <w:r w:rsidR="00DC04B9" w:rsidRPr="00C20D7E">
        <w:rPr>
          <w:rFonts w:eastAsia="SimSun"/>
          <w:lang w:eastAsia="ja-JP"/>
        </w:rPr>
        <w:t>'</w:t>
      </w:r>
      <w:r w:rsidRPr="00C20D7E">
        <w:rPr>
          <w:rFonts w:eastAsia="SimSun"/>
          <w:lang w:eastAsia="ja-JP"/>
        </w:rPr>
        <w:t>avance.</w:t>
      </w:r>
    </w:p>
    <w:p w14:paraId="386929EC" w14:textId="77777777" w:rsidR="00505B43" w:rsidRPr="00C20D7E" w:rsidRDefault="006B04DE" w:rsidP="00D44185">
      <w:pPr>
        <w:pStyle w:val="Heading1"/>
        <w:keepNext w:val="0"/>
        <w:keepLines w:val="0"/>
        <w:spacing w:before="360"/>
        <w:rPr>
          <w:rFonts w:eastAsia="SimSun"/>
          <w:lang w:eastAsia="ja-JP"/>
        </w:rPr>
      </w:pPr>
      <w:r w:rsidRPr="00C20D7E">
        <w:rPr>
          <w:rFonts w:eastAsia="SimSun"/>
          <w:lang w:eastAsia="ja-JP"/>
        </w:rPr>
        <w:t>12</w:t>
      </w:r>
      <w:r w:rsidRPr="00C20D7E">
        <w:rPr>
          <w:rFonts w:eastAsia="SimSun"/>
          <w:lang w:eastAsia="ja-JP"/>
        </w:rPr>
        <w:tab/>
        <w:t>Contributions techniques</w:t>
      </w:r>
    </w:p>
    <w:p w14:paraId="357A1708" w14:textId="77777777" w:rsidR="00505B43" w:rsidRPr="00C20D7E" w:rsidRDefault="006B04DE" w:rsidP="00D44185">
      <w:pPr>
        <w:rPr>
          <w:rFonts w:eastAsia="SimSun"/>
          <w:lang w:eastAsia="ja-JP"/>
        </w:rPr>
      </w:pPr>
      <w:r w:rsidRPr="00C20D7E">
        <w:rPr>
          <w:rFonts w:eastAsia="SimSun"/>
          <w:lang w:eastAsia="ja-JP"/>
        </w:rPr>
        <w:t>Voir le § 8 de la Recommandation UIT-T A.7.</w:t>
      </w:r>
    </w:p>
    <w:p w14:paraId="27D24EA5" w14:textId="77777777" w:rsidR="00505B43" w:rsidRPr="00C20D7E" w:rsidRDefault="006B04DE" w:rsidP="00D44185">
      <w:pPr>
        <w:pStyle w:val="Heading1"/>
        <w:keepNext w:val="0"/>
        <w:keepLines w:val="0"/>
        <w:spacing w:before="360"/>
        <w:rPr>
          <w:rFonts w:eastAsia="SimSun"/>
          <w:lang w:eastAsia="ja-JP"/>
        </w:rPr>
      </w:pPr>
      <w:r w:rsidRPr="00C20D7E">
        <w:rPr>
          <w:rFonts w:eastAsia="SimSun"/>
          <w:lang w:eastAsia="ja-JP"/>
        </w:rPr>
        <w:t>13</w:t>
      </w:r>
      <w:r w:rsidRPr="00C20D7E">
        <w:rPr>
          <w:rFonts w:eastAsia="SimSun"/>
          <w:lang w:eastAsia="ja-JP"/>
        </w:rPr>
        <w:tab/>
        <w:t>Langue de travail</w:t>
      </w:r>
    </w:p>
    <w:p w14:paraId="4A1FE762" w14:textId="4BE4C122" w:rsidR="00505B43" w:rsidRPr="00C20D7E" w:rsidRDefault="006B04DE" w:rsidP="00D44185">
      <w:pPr>
        <w:rPr>
          <w:rFonts w:eastAsia="SimSun"/>
          <w:lang w:eastAsia="ja-JP"/>
        </w:rPr>
      </w:pPr>
      <w:r w:rsidRPr="00C20D7E">
        <w:rPr>
          <w:rFonts w:eastAsia="SimSun"/>
          <w:lang w:eastAsia="ja-JP"/>
        </w:rPr>
        <w:t>La langue de travail est l</w:t>
      </w:r>
      <w:r w:rsidR="00DC04B9" w:rsidRPr="00C20D7E">
        <w:rPr>
          <w:rFonts w:eastAsia="SimSun"/>
          <w:lang w:eastAsia="ja-JP"/>
        </w:rPr>
        <w:t>'</w:t>
      </w:r>
      <w:r w:rsidRPr="00C20D7E">
        <w:rPr>
          <w:rFonts w:eastAsia="SimSun"/>
          <w:lang w:eastAsia="ja-JP"/>
        </w:rPr>
        <w:t>anglais.</w:t>
      </w:r>
    </w:p>
    <w:p w14:paraId="44FC7377" w14:textId="1BD1C209" w:rsidR="00505B43" w:rsidRPr="00C20D7E" w:rsidRDefault="006B04DE" w:rsidP="00D44185">
      <w:pPr>
        <w:pStyle w:val="Heading1"/>
        <w:keepNext w:val="0"/>
        <w:keepLines w:val="0"/>
        <w:spacing w:before="360"/>
        <w:rPr>
          <w:rFonts w:eastAsia="SimSun"/>
          <w:lang w:eastAsia="ja-JP"/>
        </w:rPr>
      </w:pPr>
      <w:r w:rsidRPr="00C20D7E">
        <w:rPr>
          <w:rFonts w:eastAsia="SimSun"/>
          <w:lang w:eastAsia="ja-JP"/>
        </w:rPr>
        <w:t>14</w:t>
      </w:r>
      <w:r w:rsidRPr="00C20D7E">
        <w:rPr>
          <w:rFonts w:eastAsia="SimSun"/>
          <w:lang w:eastAsia="ja-JP"/>
        </w:rPr>
        <w:tab/>
        <w:t>Approbation des produits</w:t>
      </w:r>
    </w:p>
    <w:p w14:paraId="23E68668" w14:textId="77777777" w:rsidR="00505B43" w:rsidRPr="00C20D7E" w:rsidRDefault="006B04DE" w:rsidP="00D44185">
      <w:pPr>
        <w:rPr>
          <w:rFonts w:eastAsia="SimSun"/>
          <w:lang w:eastAsia="ja-JP"/>
        </w:rPr>
      </w:pPr>
      <w:r w:rsidRPr="00C20D7E">
        <w:rPr>
          <w:rFonts w:eastAsia="SimSun"/>
          <w:lang w:eastAsia="ja-JP"/>
        </w:rPr>
        <w:t>Les produits doivent être approuvés par consensus.</w:t>
      </w:r>
    </w:p>
    <w:p w14:paraId="5DBF0604" w14:textId="71A4A7A6" w:rsidR="00505B43" w:rsidRPr="00C20D7E" w:rsidRDefault="006B04DE" w:rsidP="00F075DE">
      <w:pPr>
        <w:pStyle w:val="Heading1"/>
        <w:keepNext w:val="0"/>
        <w:keepLines w:val="0"/>
        <w:tabs>
          <w:tab w:val="center" w:pos="4864"/>
        </w:tabs>
        <w:spacing w:before="360"/>
        <w:rPr>
          <w:rFonts w:eastAsia="SimSun"/>
          <w:lang w:eastAsia="ja-JP"/>
        </w:rPr>
      </w:pPr>
      <w:r w:rsidRPr="00C20D7E">
        <w:rPr>
          <w:rFonts w:eastAsia="SimSun"/>
          <w:lang w:eastAsia="ja-JP"/>
        </w:rPr>
        <w:t>15</w:t>
      </w:r>
      <w:r w:rsidRPr="00C20D7E">
        <w:rPr>
          <w:rFonts w:eastAsia="SimSun"/>
          <w:lang w:eastAsia="ja-JP"/>
        </w:rPr>
        <w:tab/>
        <w:t>Lignes directrices de travail</w:t>
      </w:r>
    </w:p>
    <w:p w14:paraId="0456B72D" w14:textId="14442977" w:rsidR="00505B43" w:rsidRPr="00C20D7E" w:rsidRDefault="006B04DE" w:rsidP="00D44185">
      <w:pPr>
        <w:rPr>
          <w:rFonts w:eastAsia="SimSun"/>
          <w:lang w:eastAsia="ja-JP"/>
        </w:rPr>
      </w:pPr>
      <w:r w:rsidRPr="00C20D7E">
        <w:rPr>
          <w:rFonts w:eastAsia="SimSun"/>
          <w:lang w:eastAsia="ja-JP"/>
        </w:rPr>
        <w:t>Les méthodes de travail seront conformes à celles des réunions des Groupes du Rapporteur.</w:t>
      </w:r>
      <w:r w:rsidR="00FE3CBF" w:rsidRPr="00C20D7E">
        <w:rPr>
          <w:rFonts w:eastAsia="SimSun"/>
          <w:lang w:eastAsia="ja-JP"/>
        </w:rPr>
        <w:t xml:space="preserve"> </w:t>
      </w:r>
      <w:r w:rsidRPr="00C20D7E">
        <w:rPr>
          <w:rFonts w:eastAsia="SimSun"/>
          <w:lang w:eastAsia="ja-JP"/>
        </w:rPr>
        <w:t>Aucune ligne directrice de travail supplémentaire n</w:t>
      </w:r>
      <w:r w:rsidR="00DC04B9" w:rsidRPr="00C20D7E">
        <w:rPr>
          <w:rFonts w:eastAsia="SimSun"/>
          <w:lang w:eastAsia="ja-JP"/>
        </w:rPr>
        <w:t>'</w:t>
      </w:r>
      <w:r w:rsidRPr="00C20D7E">
        <w:rPr>
          <w:rFonts w:eastAsia="SimSun"/>
          <w:lang w:eastAsia="ja-JP"/>
        </w:rPr>
        <w:t>est définie.</w:t>
      </w:r>
    </w:p>
    <w:p w14:paraId="0DBDE628" w14:textId="515ADD5D" w:rsidR="00AF5D86" w:rsidRPr="003C1C91" w:rsidRDefault="006B04DE" w:rsidP="003C1C91">
      <w:pPr>
        <w:pStyle w:val="Heading1"/>
        <w:spacing w:before="360"/>
        <w:rPr>
          <w:bCs/>
        </w:rPr>
      </w:pPr>
      <w:r w:rsidRPr="003C1C91">
        <w:rPr>
          <w:bCs/>
        </w:rPr>
        <w:t>16</w:t>
      </w:r>
      <w:r w:rsidRPr="003C1C91">
        <w:rPr>
          <w:bCs/>
        </w:rPr>
        <w:tab/>
        <w:t>Rapports d</w:t>
      </w:r>
      <w:r w:rsidR="00DC04B9" w:rsidRPr="003C1C91">
        <w:rPr>
          <w:bCs/>
        </w:rPr>
        <w:t>'</w:t>
      </w:r>
      <w:r w:rsidRPr="003C1C91">
        <w:rPr>
          <w:bCs/>
        </w:rPr>
        <w:t>activité</w:t>
      </w:r>
    </w:p>
    <w:p w14:paraId="493357D5" w14:textId="77777777" w:rsidR="00AF5D86" w:rsidRPr="00C20D7E" w:rsidRDefault="006B04DE" w:rsidP="00D44185">
      <w:r w:rsidRPr="00C20D7E">
        <w:t>Voir le § 11 de la Recommandation UIT-T A.7.</w:t>
      </w:r>
    </w:p>
    <w:p w14:paraId="51BD7546" w14:textId="368D3091" w:rsidR="00AF5D86" w:rsidRPr="003C1C91" w:rsidRDefault="006B04DE" w:rsidP="003C1C91">
      <w:pPr>
        <w:pStyle w:val="Heading1"/>
        <w:spacing w:before="360"/>
        <w:rPr>
          <w:bCs/>
        </w:rPr>
      </w:pPr>
      <w:r w:rsidRPr="003C1C91">
        <w:rPr>
          <w:bCs/>
        </w:rPr>
        <w:t>17</w:t>
      </w:r>
      <w:r w:rsidRPr="003C1C91">
        <w:rPr>
          <w:bCs/>
        </w:rPr>
        <w:tab/>
        <w:t xml:space="preserve">Annonce de la création du </w:t>
      </w:r>
      <w:r w:rsidR="000567B1" w:rsidRPr="003C1C91">
        <w:rPr>
          <w:bCs/>
        </w:rPr>
        <w:t>G</w:t>
      </w:r>
      <w:r w:rsidRPr="003C1C91">
        <w:rPr>
          <w:bCs/>
        </w:rPr>
        <w:t>roupe spécialisé</w:t>
      </w:r>
    </w:p>
    <w:p w14:paraId="6C48D1AC" w14:textId="700D4F31" w:rsidR="00AF5D86" w:rsidRPr="00C20D7E" w:rsidRDefault="006B04DE" w:rsidP="00D44185">
      <w:r w:rsidRPr="00C20D7E">
        <w:t>La création du Groupe spécialisé sera annoncée par l</w:t>
      </w:r>
      <w:r w:rsidR="00DC04B9" w:rsidRPr="00C20D7E">
        <w:t>'</w:t>
      </w:r>
      <w:r w:rsidRPr="00C20D7E">
        <w:t>intermédiaire d</w:t>
      </w:r>
      <w:r w:rsidR="00DC04B9" w:rsidRPr="00C20D7E">
        <w:t>'</w:t>
      </w:r>
      <w:r w:rsidRPr="00C20D7E">
        <w:t>une Circulaire du TSB adressée à l</w:t>
      </w:r>
      <w:r w:rsidR="00DC04B9" w:rsidRPr="00C20D7E">
        <w:t>'</w:t>
      </w:r>
      <w:r w:rsidRPr="00C20D7E">
        <w:t>ensemble des membres de l</w:t>
      </w:r>
      <w:r w:rsidR="00DC04B9" w:rsidRPr="00C20D7E">
        <w:t>'</w:t>
      </w:r>
      <w:r w:rsidRPr="00C20D7E">
        <w:t>UIT, dans le bulletin d</w:t>
      </w:r>
      <w:r w:rsidR="00DC04B9" w:rsidRPr="00C20D7E">
        <w:t>'</w:t>
      </w:r>
      <w:r w:rsidRPr="00C20D7E">
        <w:t>actualités de l</w:t>
      </w:r>
      <w:r w:rsidR="00DC04B9" w:rsidRPr="00C20D7E">
        <w:t>'</w:t>
      </w:r>
      <w:r w:rsidRPr="00C20D7E">
        <w:t>UIT-T, dans des communiqués de presse et par d</w:t>
      </w:r>
      <w:r w:rsidR="00DC04B9" w:rsidRPr="00C20D7E">
        <w:t>'</w:t>
      </w:r>
      <w:r w:rsidRPr="00C20D7E">
        <w:t>autres moyens, y compris la communication avec les autres organisations concernées.</w:t>
      </w:r>
    </w:p>
    <w:p w14:paraId="40A0AC1F" w14:textId="618D04BD" w:rsidR="00AF5D86" w:rsidRPr="003C1C91" w:rsidRDefault="006B04DE" w:rsidP="003C1C91">
      <w:pPr>
        <w:pStyle w:val="Heading1"/>
        <w:spacing w:before="360"/>
        <w:rPr>
          <w:bCs/>
        </w:rPr>
      </w:pPr>
      <w:r w:rsidRPr="003C1C91">
        <w:rPr>
          <w:bCs/>
        </w:rPr>
        <w:lastRenderedPageBreak/>
        <w:t>18</w:t>
      </w:r>
      <w:r w:rsidRPr="003C1C91">
        <w:rPr>
          <w:bCs/>
        </w:rPr>
        <w:tab/>
        <w:t>É</w:t>
      </w:r>
      <w:r w:rsidR="00FE3CBF" w:rsidRPr="003C1C91">
        <w:rPr>
          <w:bCs/>
        </w:rPr>
        <w:t xml:space="preserve">chéances et durée du mandat du </w:t>
      </w:r>
      <w:r w:rsidR="000567B1" w:rsidRPr="003C1C91">
        <w:rPr>
          <w:bCs/>
        </w:rPr>
        <w:t>G</w:t>
      </w:r>
      <w:r w:rsidRPr="003C1C91">
        <w:rPr>
          <w:bCs/>
        </w:rPr>
        <w:t>roupe spécialisé</w:t>
      </w:r>
    </w:p>
    <w:p w14:paraId="6EF7E5D2" w14:textId="35A8B2B7" w:rsidR="00AF5D86" w:rsidRPr="00C20D7E" w:rsidRDefault="006B04DE" w:rsidP="00D44185">
      <w:r w:rsidRPr="00C20D7E">
        <w:t xml:space="preserve">La durée du mandat du </w:t>
      </w:r>
      <w:r w:rsidR="000567B1" w:rsidRPr="00C20D7E">
        <w:t>G</w:t>
      </w:r>
      <w:r w:rsidRPr="00C20D7E">
        <w:t>roupe spécialisé est d</w:t>
      </w:r>
      <w:r w:rsidR="00DC04B9" w:rsidRPr="00C20D7E">
        <w:t>'</w:t>
      </w:r>
      <w:r w:rsidRPr="00C20D7E">
        <w:t>un an à compter de la première réunion du Groupe,</w:t>
      </w:r>
      <w:r w:rsidR="00FE3CBF" w:rsidRPr="00C20D7E">
        <w:t xml:space="preserve"> avec possibilité de prolongation.</w:t>
      </w:r>
    </w:p>
    <w:p w14:paraId="37388AD9" w14:textId="77777777" w:rsidR="00AF5D86" w:rsidRPr="003C1C91" w:rsidRDefault="006B04DE" w:rsidP="003C1C91">
      <w:pPr>
        <w:pStyle w:val="Heading1"/>
        <w:spacing w:before="360"/>
        <w:rPr>
          <w:bCs/>
        </w:rPr>
      </w:pPr>
      <w:r w:rsidRPr="003C1C91">
        <w:rPr>
          <w:bCs/>
        </w:rPr>
        <w:t>19</w:t>
      </w:r>
      <w:r w:rsidRPr="003C1C91">
        <w:rPr>
          <w:bCs/>
        </w:rPr>
        <w:tab/>
        <w:t>Politique en matière de brevets</w:t>
      </w:r>
    </w:p>
    <w:p w14:paraId="0F336D7E" w14:textId="59A759FA" w:rsidR="00AF5D86" w:rsidRDefault="006B04DE" w:rsidP="00D44185">
      <w:r w:rsidRPr="00C20D7E">
        <w:t>Voir le § 9 de la Recommandation UIT-T A.7.</w:t>
      </w:r>
    </w:p>
    <w:p w14:paraId="0433B8C5" w14:textId="77777777" w:rsidR="003C1C91" w:rsidRPr="00C20D7E" w:rsidRDefault="003C1C91" w:rsidP="003C1C91"/>
    <w:p w14:paraId="42FC3944" w14:textId="77777777" w:rsidR="00AF5D86" w:rsidRPr="00C20D7E" w:rsidRDefault="006B04DE" w:rsidP="00D44185">
      <w:pPr>
        <w:spacing w:before="360"/>
        <w:jc w:val="center"/>
      </w:pPr>
      <w:r w:rsidRPr="00C20D7E">
        <w:t>______________</w:t>
      </w:r>
    </w:p>
    <w:sectPr w:rsidR="00AF5D86" w:rsidRPr="00C20D7E" w:rsidSect="00A15179">
      <w:headerReference w:type="default" r:id="rId23"/>
      <w:footerReference w:type="first" r:id="rId2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F725" w14:textId="77777777" w:rsidR="00E41C53" w:rsidRDefault="006B04DE">
      <w:pPr>
        <w:spacing w:before="0"/>
      </w:pPr>
      <w:r>
        <w:separator/>
      </w:r>
    </w:p>
  </w:endnote>
  <w:endnote w:type="continuationSeparator" w:id="0">
    <w:p w14:paraId="72C02A3D" w14:textId="77777777" w:rsidR="00E41C53" w:rsidRDefault="006B04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BE9" w14:textId="77777777" w:rsidR="005120A2" w:rsidRPr="003E66AD" w:rsidRDefault="006B04DE"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CA0FB4">
      <w:rPr>
        <w:color w:val="0070C0"/>
        <w:sz w:val="18"/>
        <w:szCs w:val="18"/>
        <w:lang w:val="fr-CH"/>
      </w:rPr>
      <w:t>Union internationale des télécommunications</w:t>
    </w:r>
    <w:r w:rsidRPr="003E66AD">
      <w:rPr>
        <w:color w:val="0070C0"/>
        <w:sz w:val="18"/>
        <w:szCs w:val="18"/>
        <w:lang w:val="fr-CH"/>
      </w:rPr>
      <w:t xml:space="preserve"> • </w:t>
    </w:r>
    <w:r w:rsidRPr="00CA0FB4">
      <w:rPr>
        <w:color w:val="0070C0"/>
        <w:sz w:val="18"/>
        <w:szCs w:val="18"/>
        <w:lang w:val="fr-CH"/>
      </w:rPr>
      <w:t>Place des Nations</w:t>
    </w:r>
    <w:r w:rsidRPr="003E66AD">
      <w:rPr>
        <w:color w:val="0070C0"/>
        <w:sz w:val="18"/>
        <w:szCs w:val="18"/>
        <w:lang w:val="fr-CH"/>
      </w:rPr>
      <w:t xml:space="preserve"> • </w:t>
    </w:r>
    <w:r w:rsidRPr="00CA0FB4">
      <w:rPr>
        <w:color w:val="0070C0"/>
        <w:sz w:val="18"/>
        <w:szCs w:val="18"/>
        <w:lang w:val="fr-CH"/>
      </w:rPr>
      <w:t>CH</w:t>
    </w:r>
    <w:r w:rsidRPr="00CA0FB4">
      <w:rPr>
        <w:color w:val="0070C0"/>
        <w:sz w:val="18"/>
        <w:szCs w:val="18"/>
        <w:lang w:val="fr-CH"/>
      </w:rPr>
      <w:noBreakHyphen/>
      <w:t>1211 Genève 20</w:t>
    </w:r>
    <w:r w:rsidRPr="003E66AD">
      <w:rPr>
        <w:color w:val="0070C0"/>
        <w:sz w:val="18"/>
        <w:szCs w:val="18"/>
        <w:lang w:val="fr-CH"/>
      </w:rPr>
      <w:t xml:space="preserve"> • </w:t>
    </w:r>
    <w:r w:rsidRPr="00CA0FB4">
      <w:rPr>
        <w:color w:val="0070C0"/>
        <w:sz w:val="18"/>
        <w:szCs w:val="18"/>
        <w:lang w:val="fr-CH"/>
      </w:rPr>
      <w:t>Suisse</w:t>
    </w:r>
    <w:r w:rsidRPr="003E66AD">
      <w:rPr>
        <w:color w:val="0070C0"/>
        <w:sz w:val="18"/>
        <w:szCs w:val="18"/>
        <w:lang w:val="fr-CH"/>
      </w:rPr>
      <w:t xml:space="preserve"> </w:t>
    </w:r>
    <w:r w:rsidRPr="003E66AD">
      <w:rPr>
        <w:color w:val="0070C0"/>
        <w:sz w:val="18"/>
        <w:szCs w:val="18"/>
        <w:lang w:val="fr-CH"/>
      </w:rPr>
      <w:br/>
    </w:r>
    <w:r w:rsidRPr="00CA0FB4">
      <w:rPr>
        <w:color w:val="0070C0"/>
        <w:sz w:val="18"/>
        <w:szCs w:val="18"/>
        <w:lang w:val="fr-CH"/>
      </w:rPr>
      <w:t>Tél.: +41 22 730 5111</w:t>
    </w:r>
    <w:r w:rsidRPr="003E66AD">
      <w:rPr>
        <w:color w:val="0070C0"/>
        <w:sz w:val="18"/>
        <w:szCs w:val="18"/>
        <w:lang w:val="fr-CH"/>
      </w:rPr>
      <w:t xml:space="preserve"> • </w:t>
    </w:r>
    <w:r w:rsidRPr="00CA0FB4">
      <w:rPr>
        <w:color w:val="0070C0"/>
        <w:sz w:val="18"/>
        <w:szCs w:val="18"/>
        <w:lang w:val="fr-CH"/>
      </w:rPr>
      <w:t>Fax: +41 22 733 7256</w:t>
    </w:r>
    <w:r w:rsidRPr="003E66AD">
      <w:rPr>
        <w:color w:val="0070C0"/>
        <w:sz w:val="18"/>
        <w:szCs w:val="18"/>
        <w:lang w:val="fr-CH"/>
      </w:rPr>
      <w:t xml:space="preserve">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CA0FB4">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E43A" w14:textId="77777777" w:rsidR="00C0699C" w:rsidRDefault="006B04DE">
      <w:r>
        <w:t>____________________</w:t>
      </w:r>
    </w:p>
  </w:footnote>
  <w:footnote w:type="continuationSeparator" w:id="0">
    <w:p w14:paraId="25F9A404" w14:textId="77777777" w:rsidR="00C0699C" w:rsidRDefault="006B04DE">
      <w:r>
        <w:continuationSeparator/>
      </w:r>
    </w:p>
  </w:footnote>
  <w:footnote w:id="1">
    <w:p w14:paraId="27FC1D94" w14:textId="56923C60" w:rsidR="00EC5236" w:rsidRPr="00673ABF" w:rsidRDefault="00EC5236" w:rsidP="00EC5236">
      <w:pPr>
        <w:pStyle w:val="FootnoteText"/>
        <w:spacing w:before="0"/>
        <w:rPr>
          <w:sz w:val="20"/>
          <w:lang w:val="en-CA"/>
        </w:rPr>
      </w:pPr>
      <w:r w:rsidRPr="00673ABF">
        <w:rPr>
          <w:rStyle w:val="FootnoteReference"/>
          <w:sz w:val="18"/>
          <w:szCs w:val="18"/>
        </w:rPr>
        <w:footnoteRef/>
      </w:r>
      <w:r w:rsidRPr="00A96618">
        <w:rPr>
          <w:sz w:val="16"/>
          <w:szCs w:val="16"/>
          <w:lang w:val="en-US"/>
        </w:rPr>
        <w:tab/>
      </w:r>
      <w:r w:rsidRPr="00673ABF">
        <w:rPr>
          <w:sz w:val="20"/>
          <w:lang w:val="en-US"/>
        </w:rPr>
        <w:t xml:space="preserve">FAO. </w:t>
      </w:r>
      <w:r w:rsidR="00BF52C7" w:rsidRPr="00673ABF">
        <w:rPr>
          <w:sz w:val="20"/>
          <w:lang w:val="en-US"/>
        </w:rPr>
        <w:t>"</w:t>
      </w:r>
      <w:r w:rsidRPr="00673ABF">
        <w:rPr>
          <w:sz w:val="20"/>
          <w:lang w:val="en-US"/>
        </w:rPr>
        <w:t>The state of food security and nutrition in the world.</w:t>
      </w:r>
      <w:r w:rsidR="00BF52C7" w:rsidRPr="00673ABF">
        <w:rPr>
          <w:sz w:val="20"/>
          <w:lang w:val="en-US"/>
        </w:rPr>
        <w:t>"</w:t>
      </w:r>
      <w:r w:rsidRPr="00673ABF">
        <w:rPr>
          <w:sz w:val="20"/>
          <w:lang w:val="en-US"/>
        </w:rPr>
        <w:t xml:space="preserve"> 2020, www.fao.org/3/ca9692en/online/ca9692en.html#chapter-Key_message.</w:t>
      </w:r>
    </w:p>
  </w:footnote>
  <w:footnote w:id="2">
    <w:p w14:paraId="005B6755" w14:textId="65CF68E8" w:rsidR="00EC5236" w:rsidRPr="00673ABF" w:rsidRDefault="00EC5236" w:rsidP="00EC5236">
      <w:pPr>
        <w:pStyle w:val="FootnoteText"/>
        <w:spacing w:before="0"/>
        <w:rPr>
          <w:sz w:val="20"/>
          <w:lang w:val="en-CA"/>
        </w:rPr>
      </w:pPr>
      <w:r w:rsidRPr="00673ABF">
        <w:rPr>
          <w:rStyle w:val="FootnoteReference"/>
          <w:sz w:val="18"/>
          <w:szCs w:val="18"/>
        </w:rPr>
        <w:footnoteRef/>
      </w:r>
      <w:r w:rsidRPr="00A96618">
        <w:rPr>
          <w:sz w:val="16"/>
          <w:szCs w:val="16"/>
          <w:lang w:val="en-US"/>
        </w:rPr>
        <w:tab/>
      </w:r>
      <w:r w:rsidRPr="00673ABF">
        <w:rPr>
          <w:sz w:val="20"/>
          <w:lang w:val="en-US"/>
        </w:rPr>
        <w:t xml:space="preserve">FAO. </w:t>
      </w:r>
      <w:r w:rsidR="00BF52C7" w:rsidRPr="00673ABF">
        <w:rPr>
          <w:sz w:val="20"/>
          <w:lang w:val="en-US"/>
        </w:rPr>
        <w:t>"</w:t>
      </w:r>
      <w:r w:rsidRPr="00673ABF">
        <w:rPr>
          <w:sz w:val="20"/>
          <w:lang w:val="en-US"/>
        </w:rPr>
        <w:t>The state of food security and nutrition in the world.</w:t>
      </w:r>
      <w:r w:rsidR="00BF52C7" w:rsidRPr="00673ABF">
        <w:rPr>
          <w:sz w:val="20"/>
          <w:lang w:val="en-US"/>
        </w:rPr>
        <w:t>"</w:t>
      </w:r>
      <w:r w:rsidRPr="00673ABF">
        <w:rPr>
          <w:sz w:val="20"/>
          <w:lang w:val="en-US"/>
        </w:rPr>
        <w:t xml:space="preserve"> 2020, www.fao.org/3/ca9692en/online/ca9692en.html#chapter-Key_message.</w:t>
      </w:r>
    </w:p>
  </w:footnote>
  <w:footnote w:id="3">
    <w:p w14:paraId="224161B6" w14:textId="3416671F" w:rsidR="00C01165" w:rsidRPr="00673ABF" w:rsidRDefault="00C01165" w:rsidP="00C01165">
      <w:pPr>
        <w:pStyle w:val="FootnoteText"/>
        <w:spacing w:before="0"/>
        <w:rPr>
          <w:sz w:val="20"/>
          <w:lang w:val="en-CA"/>
        </w:rPr>
      </w:pPr>
      <w:r w:rsidRPr="00673ABF">
        <w:rPr>
          <w:rStyle w:val="FootnoteReference"/>
          <w:sz w:val="18"/>
          <w:szCs w:val="18"/>
        </w:rPr>
        <w:footnoteRef/>
      </w:r>
      <w:r w:rsidRPr="00A96618">
        <w:rPr>
          <w:sz w:val="16"/>
          <w:szCs w:val="16"/>
          <w:lang w:val="en-US"/>
        </w:rPr>
        <w:tab/>
      </w:r>
      <w:r w:rsidRPr="00673ABF">
        <w:rPr>
          <w:sz w:val="20"/>
          <w:lang w:val="en-US"/>
        </w:rPr>
        <w:t xml:space="preserve">Deloitte. </w:t>
      </w:r>
      <w:r w:rsidR="00BF52C7" w:rsidRPr="00673ABF">
        <w:rPr>
          <w:sz w:val="20"/>
          <w:lang w:val="en-US"/>
        </w:rPr>
        <w:t>"</w:t>
      </w:r>
      <w:r w:rsidRPr="00673ABF">
        <w:rPr>
          <w:sz w:val="20"/>
          <w:lang w:val="en-US"/>
        </w:rPr>
        <w:t>Transforming Agriculture through Digital Technologies</w:t>
      </w:r>
      <w:r w:rsidR="00BF52C7" w:rsidRPr="00673ABF">
        <w:rPr>
          <w:sz w:val="20"/>
          <w:lang w:val="en-US"/>
        </w:rPr>
        <w:t>"</w:t>
      </w:r>
      <w:r w:rsidR="00673ABF" w:rsidRPr="00673ABF">
        <w:rPr>
          <w:sz w:val="20"/>
          <w:lang w:val="en-US"/>
        </w:rPr>
        <w:t>.</w:t>
      </w:r>
      <w:r w:rsidRPr="00673ABF">
        <w:rPr>
          <w:sz w:val="20"/>
          <w:lang w:val="en-US"/>
        </w:rPr>
        <w:t xml:space="preserve"> </w:t>
      </w:r>
      <w:r w:rsidR="00351B12" w:rsidRPr="00673ABF">
        <w:rPr>
          <w:sz w:val="20"/>
          <w:lang w:val="en-US"/>
        </w:rPr>
        <w:t>J</w:t>
      </w:r>
      <w:r w:rsidRPr="00673ABF">
        <w:rPr>
          <w:sz w:val="20"/>
          <w:lang w:val="en-US"/>
        </w:rPr>
        <w:t>an</w:t>
      </w:r>
      <w:r w:rsidR="00351B12" w:rsidRPr="00673ABF">
        <w:rPr>
          <w:sz w:val="20"/>
          <w:lang w:val="en-US"/>
        </w:rPr>
        <w:t>vier</w:t>
      </w:r>
      <w:r w:rsidRPr="00673ABF">
        <w:rPr>
          <w:sz w:val="20"/>
          <w:lang w:val="en-US"/>
        </w:rPr>
        <w:t xml:space="preserve"> 2020, www2.deloitte.com/content/dam/Deloitte/gr/Documents/consumer-business/gr_Transforming_Agriculture_through_Digital_Technologies_noexp.pdf.</w:t>
      </w:r>
    </w:p>
  </w:footnote>
  <w:footnote w:id="4">
    <w:p w14:paraId="6802A4F2" w14:textId="77777777" w:rsidR="00BF52C7" w:rsidRPr="00673ABF" w:rsidRDefault="00BF52C7" w:rsidP="00BF52C7">
      <w:pPr>
        <w:pStyle w:val="FootnoteText"/>
        <w:spacing w:before="0"/>
        <w:rPr>
          <w:sz w:val="20"/>
          <w:lang w:val="en-CA"/>
        </w:rPr>
      </w:pPr>
      <w:r w:rsidRPr="00673ABF">
        <w:rPr>
          <w:rStyle w:val="FootnoteReference"/>
          <w:sz w:val="18"/>
          <w:szCs w:val="18"/>
        </w:rPr>
        <w:footnoteRef/>
      </w:r>
      <w:r w:rsidRPr="00A96618">
        <w:rPr>
          <w:sz w:val="16"/>
          <w:szCs w:val="16"/>
          <w:lang w:val="en-US"/>
        </w:rPr>
        <w:tab/>
      </w:r>
      <w:r w:rsidRPr="00673ABF">
        <w:rPr>
          <w:sz w:val="20"/>
          <w:lang w:val="en-US"/>
        </w:rPr>
        <w:t>Farming First. Rising Food Insecurity Linked to Economic Decline, Says New SOFI Report. 16 juillet 2019, farmingfirst.org/2019/07/rising-food-insecurity-linked-to-economic-decline-says-new-sofi-report/.</w:t>
      </w:r>
    </w:p>
  </w:footnote>
  <w:footnote w:id="5">
    <w:p w14:paraId="24AA8410" w14:textId="7F7439C4" w:rsidR="00BF52C7" w:rsidRPr="0078477D" w:rsidRDefault="00BF52C7" w:rsidP="00BF52C7">
      <w:pPr>
        <w:pStyle w:val="FootnoteText"/>
        <w:spacing w:before="0"/>
        <w:rPr>
          <w:sz w:val="16"/>
          <w:szCs w:val="16"/>
          <w:lang w:val="en-CA"/>
        </w:rPr>
      </w:pPr>
      <w:r w:rsidRPr="00673ABF">
        <w:rPr>
          <w:rStyle w:val="FootnoteReference"/>
          <w:sz w:val="18"/>
          <w:szCs w:val="18"/>
        </w:rPr>
        <w:footnoteRef/>
      </w:r>
      <w:r w:rsidRPr="00A96618">
        <w:rPr>
          <w:sz w:val="16"/>
          <w:szCs w:val="16"/>
          <w:lang w:val="en-US"/>
        </w:rPr>
        <w:tab/>
      </w:r>
      <w:r w:rsidRPr="00673ABF">
        <w:rPr>
          <w:sz w:val="20"/>
          <w:lang w:val="en-US"/>
        </w:rPr>
        <w:t>FAO. "The state of food security and nutrition in the world." 2020, www.fao.org/3/ca9692en/online/ca9692en.html#chapter-Key_message.</w:t>
      </w:r>
    </w:p>
  </w:footnote>
  <w:footnote w:id="6">
    <w:p w14:paraId="4CB34217" w14:textId="62335BBE" w:rsidR="00BF52C7" w:rsidRPr="00673ABF" w:rsidRDefault="00BF52C7" w:rsidP="00BF52C7">
      <w:pPr>
        <w:pStyle w:val="FootnoteText"/>
        <w:spacing w:before="0"/>
        <w:rPr>
          <w:sz w:val="20"/>
          <w:lang w:val="en-CA"/>
        </w:rPr>
      </w:pPr>
      <w:r w:rsidRPr="00673ABF">
        <w:rPr>
          <w:rStyle w:val="FootnoteReference"/>
          <w:sz w:val="18"/>
          <w:szCs w:val="18"/>
        </w:rPr>
        <w:footnoteRef/>
      </w:r>
      <w:r w:rsidRPr="00A96618">
        <w:rPr>
          <w:sz w:val="16"/>
          <w:szCs w:val="16"/>
          <w:lang w:val="en-US"/>
        </w:rPr>
        <w:tab/>
      </w:r>
      <w:r w:rsidRPr="00673ABF">
        <w:rPr>
          <w:sz w:val="20"/>
          <w:lang w:val="en-US"/>
        </w:rPr>
        <w:t>Scott, Dan. "Smart Farming &amp; FoodTech Revolutionizes the Future of Food." Vontobel Holding AG, 2 mai 2018, www.vontobel.com/en-ch/impact/smart-farming-the-future-of-agriculture-9097/.</w:t>
      </w:r>
    </w:p>
  </w:footnote>
  <w:footnote w:id="7">
    <w:p w14:paraId="648FECAA" w14:textId="7D05BBF0" w:rsidR="00BF52C7" w:rsidRPr="00673ABF" w:rsidRDefault="00BF52C7" w:rsidP="00BF52C7">
      <w:pPr>
        <w:pStyle w:val="FootnoteText"/>
        <w:spacing w:before="0"/>
        <w:rPr>
          <w:sz w:val="20"/>
          <w:lang w:val="en-CA"/>
        </w:rPr>
      </w:pPr>
      <w:r w:rsidRPr="00673ABF">
        <w:rPr>
          <w:rStyle w:val="FootnoteReference"/>
          <w:sz w:val="18"/>
          <w:szCs w:val="18"/>
        </w:rPr>
        <w:footnoteRef/>
      </w:r>
      <w:r w:rsidRPr="00A96618">
        <w:rPr>
          <w:sz w:val="16"/>
          <w:szCs w:val="16"/>
          <w:lang w:val="en-US"/>
        </w:rPr>
        <w:tab/>
      </w:r>
      <w:r w:rsidRPr="00673ABF">
        <w:rPr>
          <w:sz w:val="20"/>
          <w:lang w:val="en-US"/>
        </w:rPr>
        <w:t>Scott, Dan. "Smart Farming &amp; FoodTech Revolutionizes the Future of Food." Vontobel Holding AG, 2 mai 2018, www.vontobel.com/en-ch/impact/smart-farming-the-future-of-agriculture-9097/.</w:t>
      </w:r>
    </w:p>
  </w:footnote>
  <w:footnote w:id="8">
    <w:p w14:paraId="25571404" w14:textId="3ED8C0C5" w:rsidR="00BF52C7" w:rsidRPr="00A247A4" w:rsidRDefault="00BF52C7" w:rsidP="00BF52C7">
      <w:pPr>
        <w:pStyle w:val="FootnoteText"/>
        <w:spacing w:before="0"/>
      </w:pPr>
      <w:r w:rsidRPr="00673ABF">
        <w:rPr>
          <w:rStyle w:val="FootnoteReference"/>
          <w:sz w:val="18"/>
          <w:szCs w:val="18"/>
        </w:rPr>
        <w:footnoteRef/>
      </w:r>
      <w:r w:rsidRPr="00A247A4">
        <w:rPr>
          <w:sz w:val="16"/>
          <w:szCs w:val="16"/>
        </w:rPr>
        <w:tab/>
      </w:r>
      <w:r w:rsidRPr="00673ABF">
        <w:rPr>
          <w:sz w:val="20"/>
        </w:rPr>
        <w:fldChar w:fldCharType="begin"/>
      </w:r>
      <w:r w:rsidRPr="00673ABF">
        <w:rPr>
          <w:sz w:val="20"/>
        </w:rPr>
        <w:instrText xml:space="preserve"> ADDIN ZOTERO_ITEM CSL_CITATION {"citationID":"jNrfWF2d","properties":{"formattedCitation":"\\uc0\\u8220{}Water for Agriculture \\uc0\\u8212{} European Environment Agency,\\uc0\\u8221{} accessed September 21, 2021, https://www.eea.europa.eu/articles/water-for-agriculture.","plainCitation":"“Water for Agriculture — European Environment Agency,” accessed September 21, 2021, https://www.eea.europa.eu/articles/water-for-agriculture.","noteIndex":11},"citationItems":[{"id":4474,"uris":["http://zotero.org/groups/590943/items/Y84VERIX"],"uri":["http://zotero.org/groups/590943/items/Y84VERIX"],"itemData":{"id":4474,"type":"article-journal","abstract":"We need food and we need clean freshwater to produce our food. With growing demand from human activities on the one hand and climate change on the other, many regions especially in the south struggle to find enough freshwater to meet their needs. How can we continue growing food without letting nature go thirsty for clean water? A more efficient use of water in agriculture would certainly help.","language":"en","source":"www.eea.europa.eu","title":"Water for agriculture — European Environment Agency","URL":"https://www.eea.europa.eu/articles/water-for-agriculture","accessed":{"date-parts":[["2021",9,21]]}}}],"schema":"https://github.com/citation-style-language/schema/raw/master/csl-citation.json"} </w:instrText>
      </w:r>
      <w:r w:rsidRPr="00673ABF">
        <w:rPr>
          <w:sz w:val="20"/>
        </w:rPr>
        <w:fldChar w:fldCharType="separate"/>
      </w:r>
      <w:r w:rsidRPr="00673ABF">
        <w:rPr>
          <w:sz w:val="20"/>
        </w:rPr>
        <w:t xml:space="preserve">"De l'eau pour l'agriculture — Agence européenne pour l'environnement," consulté le 21 septembre 2021, </w:t>
      </w:r>
      <w:bookmarkStart w:id="3" w:name="_Hlk96355625"/>
      <w:r w:rsidRPr="00673ABF">
        <w:rPr>
          <w:sz w:val="20"/>
        </w:rPr>
        <w:t>https://www.eea.europa.eu/articles/water-for-agriculture</w:t>
      </w:r>
      <w:bookmarkEnd w:id="3"/>
      <w:r w:rsidRPr="00673ABF">
        <w:rPr>
          <w:sz w:val="20"/>
        </w:rPr>
        <w:t>.</w:t>
      </w:r>
      <w:r w:rsidRPr="00673ABF">
        <w:rPr>
          <w:sz w:val="20"/>
        </w:rPr>
        <w:fldChar w:fldCharType="end"/>
      </w:r>
    </w:p>
  </w:footnote>
  <w:footnote w:id="9">
    <w:p w14:paraId="7A659074" w14:textId="269510EC" w:rsidR="006B04DE" w:rsidRPr="00673ABF" w:rsidRDefault="006B04DE" w:rsidP="006B04DE">
      <w:pPr>
        <w:pStyle w:val="FootnoteText"/>
        <w:spacing w:before="0"/>
        <w:rPr>
          <w:sz w:val="20"/>
          <w:lang w:val="en-CA"/>
        </w:rPr>
      </w:pPr>
      <w:r w:rsidRPr="00673ABF">
        <w:rPr>
          <w:rStyle w:val="FootnoteReference"/>
          <w:sz w:val="18"/>
          <w:szCs w:val="18"/>
        </w:rPr>
        <w:footnoteRef/>
      </w:r>
      <w:r w:rsidRPr="00A96618">
        <w:rPr>
          <w:sz w:val="16"/>
          <w:szCs w:val="16"/>
          <w:lang w:val="en-US"/>
        </w:rPr>
        <w:tab/>
      </w:r>
      <w:r w:rsidRPr="00673ABF">
        <w:rPr>
          <w:sz w:val="20"/>
          <w:lang w:val="en-US"/>
        </w:rPr>
        <w:t xml:space="preserve">Pomeroy, Robin, and Ross Chainey. </w:t>
      </w:r>
      <w:r w:rsidR="00BF52C7" w:rsidRPr="00673ABF">
        <w:rPr>
          <w:sz w:val="20"/>
          <w:lang w:val="en-US"/>
        </w:rPr>
        <w:t>"</w:t>
      </w:r>
      <w:r w:rsidRPr="00673ABF">
        <w:rPr>
          <w:sz w:val="20"/>
          <w:lang w:val="en-US"/>
        </w:rPr>
        <w:t>Has COVID Killed Cities - or Can They Bounce Back?</w:t>
      </w:r>
      <w:r w:rsidR="00BF52C7" w:rsidRPr="00673ABF">
        <w:rPr>
          <w:sz w:val="20"/>
          <w:lang w:val="en-US"/>
        </w:rPr>
        <w:t>"</w:t>
      </w:r>
      <w:r w:rsidRPr="00673ABF">
        <w:rPr>
          <w:sz w:val="20"/>
          <w:lang w:val="en-US"/>
        </w:rPr>
        <w:t xml:space="preserve"> World Economic Forum, 12</w:t>
      </w:r>
      <w:r w:rsidR="008E44E6">
        <w:rPr>
          <w:sz w:val="20"/>
          <w:lang w:val="en-US"/>
        </w:rPr>
        <w:t> </w:t>
      </w:r>
      <w:r w:rsidR="00A247A4" w:rsidRPr="00673ABF">
        <w:rPr>
          <w:sz w:val="20"/>
          <w:lang w:val="en-US"/>
        </w:rPr>
        <w:t>novembre</w:t>
      </w:r>
      <w:r w:rsidRPr="00673ABF">
        <w:rPr>
          <w:sz w:val="20"/>
          <w:lang w:val="en-US"/>
        </w:rPr>
        <w:t xml:space="preserve"> 2020, www.weforum.org/agenda/2020/11/cities-podcast-new-york-dead/.</w:t>
      </w:r>
    </w:p>
  </w:footnote>
  <w:footnote w:id="10">
    <w:p w14:paraId="2563B9EA" w14:textId="710063B9" w:rsidR="00A96618" w:rsidRPr="00A247A4" w:rsidRDefault="006B04DE" w:rsidP="00505B43">
      <w:pPr>
        <w:pStyle w:val="FootnoteText"/>
        <w:spacing w:before="0"/>
        <w:rPr>
          <w:sz w:val="16"/>
          <w:szCs w:val="16"/>
        </w:rPr>
      </w:pPr>
      <w:r w:rsidRPr="008E44E6">
        <w:rPr>
          <w:rStyle w:val="FootnoteReference"/>
          <w:sz w:val="18"/>
          <w:szCs w:val="18"/>
        </w:rPr>
        <w:footnoteRef/>
      </w:r>
      <w:r w:rsidRPr="00A96618">
        <w:rPr>
          <w:sz w:val="16"/>
          <w:szCs w:val="16"/>
          <w:lang w:val="en-US"/>
        </w:rPr>
        <w:tab/>
      </w:r>
      <w:r w:rsidRPr="008E44E6">
        <w:rPr>
          <w:sz w:val="20"/>
          <w:lang w:val="en-US"/>
        </w:rPr>
        <w:t xml:space="preserve">Sciforce. </w:t>
      </w:r>
      <w:r w:rsidR="00BF52C7" w:rsidRPr="008E44E6">
        <w:rPr>
          <w:sz w:val="20"/>
          <w:lang w:val="en-US"/>
        </w:rPr>
        <w:t>"</w:t>
      </w:r>
      <w:r w:rsidRPr="008E44E6">
        <w:rPr>
          <w:sz w:val="20"/>
          <w:lang w:val="en-US"/>
        </w:rPr>
        <w:t>Smart Farming: The Future of Agriculture.</w:t>
      </w:r>
      <w:r w:rsidR="00BF52C7" w:rsidRPr="008E44E6">
        <w:rPr>
          <w:sz w:val="20"/>
          <w:lang w:val="en-US"/>
        </w:rPr>
        <w:t>"</w:t>
      </w:r>
      <w:r w:rsidRPr="008E44E6">
        <w:rPr>
          <w:sz w:val="20"/>
          <w:lang w:val="en-US"/>
        </w:rPr>
        <w:t xml:space="preserve"> </w:t>
      </w:r>
      <w:r w:rsidRPr="008E44E6">
        <w:rPr>
          <w:sz w:val="20"/>
        </w:rPr>
        <w:t xml:space="preserve">22 </w:t>
      </w:r>
      <w:r w:rsidR="00A247A4" w:rsidRPr="008E44E6">
        <w:rPr>
          <w:sz w:val="20"/>
        </w:rPr>
        <w:t>juin</w:t>
      </w:r>
      <w:r w:rsidRPr="008E44E6">
        <w:rPr>
          <w:sz w:val="20"/>
        </w:rPr>
        <w:t xml:space="preserve"> 2020, www.iotforall.com/smart-farming-future-of-agriculture.</w:t>
      </w:r>
    </w:p>
  </w:footnote>
  <w:footnote w:id="11">
    <w:p w14:paraId="7DDFFE93" w14:textId="70752F7E" w:rsidR="00A96618" w:rsidRPr="00A247A4" w:rsidRDefault="006B04DE" w:rsidP="00505B43">
      <w:pPr>
        <w:pStyle w:val="FootnoteText"/>
        <w:spacing w:before="0"/>
      </w:pPr>
      <w:r w:rsidRPr="008E44E6">
        <w:rPr>
          <w:rStyle w:val="FootnoteReference"/>
          <w:sz w:val="18"/>
          <w:szCs w:val="18"/>
        </w:rPr>
        <w:footnoteRef/>
      </w:r>
      <w:r w:rsidRPr="00A96618">
        <w:rPr>
          <w:sz w:val="16"/>
          <w:szCs w:val="16"/>
          <w:lang w:val="en-US"/>
        </w:rPr>
        <w:tab/>
      </w:r>
      <w:r w:rsidRPr="008E44E6">
        <w:rPr>
          <w:sz w:val="20"/>
          <w:lang w:val="en-US"/>
        </w:rPr>
        <w:t xml:space="preserve">Sciforce. </w:t>
      </w:r>
      <w:r w:rsidR="00BF52C7" w:rsidRPr="008E44E6">
        <w:rPr>
          <w:sz w:val="20"/>
          <w:lang w:val="en-US"/>
        </w:rPr>
        <w:t>"</w:t>
      </w:r>
      <w:r w:rsidRPr="008E44E6">
        <w:rPr>
          <w:sz w:val="20"/>
          <w:lang w:val="en-US"/>
        </w:rPr>
        <w:t>Smart Farming: The Future of Agriculture.</w:t>
      </w:r>
      <w:r w:rsidR="00BF52C7" w:rsidRPr="008E44E6">
        <w:rPr>
          <w:sz w:val="20"/>
          <w:lang w:val="en-US"/>
        </w:rPr>
        <w:t>"</w:t>
      </w:r>
      <w:r w:rsidRPr="008E44E6">
        <w:rPr>
          <w:sz w:val="20"/>
          <w:lang w:val="en-US"/>
        </w:rPr>
        <w:t xml:space="preserve"> </w:t>
      </w:r>
      <w:r w:rsidRPr="008E44E6">
        <w:rPr>
          <w:sz w:val="20"/>
        </w:rPr>
        <w:t xml:space="preserve">22 </w:t>
      </w:r>
      <w:r w:rsidR="00A247A4" w:rsidRPr="008E44E6">
        <w:rPr>
          <w:sz w:val="20"/>
        </w:rPr>
        <w:t>juin</w:t>
      </w:r>
      <w:r w:rsidRPr="008E44E6">
        <w:rPr>
          <w:sz w:val="20"/>
        </w:rPr>
        <w:t xml:space="preserve"> 2020, www.iotforall.com/smart-farming-future-of-agriculture.</w:t>
      </w:r>
    </w:p>
  </w:footnote>
  <w:footnote w:id="12">
    <w:p w14:paraId="153652ED" w14:textId="12EE7419" w:rsidR="00A96618" w:rsidRPr="00B04B33" w:rsidRDefault="006B04DE" w:rsidP="00505B43">
      <w:pPr>
        <w:pStyle w:val="FootnoteText"/>
        <w:spacing w:before="0"/>
        <w:rPr>
          <w:sz w:val="16"/>
          <w:szCs w:val="16"/>
          <w:lang w:val="en-CA"/>
        </w:rPr>
      </w:pPr>
      <w:r w:rsidRPr="008E44E6">
        <w:rPr>
          <w:rStyle w:val="FootnoteReference"/>
          <w:sz w:val="18"/>
          <w:szCs w:val="18"/>
        </w:rPr>
        <w:footnoteRef/>
      </w:r>
      <w:r w:rsidRPr="00A96618">
        <w:rPr>
          <w:sz w:val="16"/>
          <w:szCs w:val="16"/>
          <w:lang w:val="en-US"/>
        </w:rPr>
        <w:tab/>
      </w:r>
      <w:r w:rsidRPr="008E44E6">
        <w:rPr>
          <w:sz w:val="20"/>
          <w:lang w:val="en-US"/>
        </w:rPr>
        <w:t xml:space="preserve">Scott, Dan. </w:t>
      </w:r>
      <w:r w:rsidR="00BF52C7" w:rsidRPr="008E44E6">
        <w:rPr>
          <w:sz w:val="20"/>
          <w:lang w:val="en-US"/>
        </w:rPr>
        <w:t>"</w:t>
      </w:r>
      <w:r w:rsidRPr="008E44E6">
        <w:rPr>
          <w:sz w:val="20"/>
          <w:lang w:val="en-US"/>
        </w:rPr>
        <w:t>Smart Farming &amp; FoodTech Revolutionizes the Future of Food.</w:t>
      </w:r>
      <w:r w:rsidR="00BF52C7" w:rsidRPr="008E44E6">
        <w:rPr>
          <w:sz w:val="20"/>
          <w:lang w:val="en-US"/>
        </w:rPr>
        <w:t>"</w:t>
      </w:r>
      <w:r w:rsidRPr="008E44E6">
        <w:rPr>
          <w:sz w:val="20"/>
          <w:lang w:val="en-US"/>
        </w:rPr>
        <w:t xml:space="preserve"> Vontobel Holding AG, 2 </w:t>
      </w:r>
      <w:r w:rsidR="00A247A4" w:rsidRPr="008E44E6">
        <w:rPr>
          <w:sz w:val="20"/>
          <w:lang w:val="en-US"/>
        </w:rPr>
        <w:t>mai</w:t>
      </w:r>
      <w:r w:rsidRPr="008E44E6">
        <w:rPr>
          <w:sz w:val="20"/>
          <w:lang w:val="en-US"/>
        </w:rPr>
        <w:t xml:space="preserve"> 2018, www.vontobel.com/en-ch/impact/smart-farming-the-future-of-agriculture-9097/.</w:t>
      </w:r>
    </w:p>
  </w:footnote>
  <w:footnote w:id="13">
    <w:p w14:paraId="60181BF2" w14:textId="755B6EFD" w:rsidR="00A96618" w:rsidRPr="00A247A4" w:rsidRDefault="006B04DE" w:rsidP="00505B43">
      <w:pPr>
        <w:pStyle w:val="FootnoteText"/>
        <w:spacing w:before="0"/>
      </w:pPr>
      <w:r w:rsidRPr="008E44E6">
        <w:rPr>
          <w:rStyle w:val="FootnoteReference"/>
          <w:sz w:val="18"/>
          <w:szCs w:val="18"/>
        </w:rPr>
        <w:footnoteRef/>
      </w:r>
      <w:r w:rsidRPr="00A96618">
        <w:rPr>
          <w:sz w:val="16"/>
          <w:szCs w:val="16"/>
          <w:lang w:val="en-US"/>
        </w:rPr>
        <w:tab/>
      </w:r>
      <w:r w:rsidRPr="008E44E6">
        <w:rPr>
          <w:sz w:val="20"/>
          <w:lang w:val="en-US"/>
        </w:rPr>
        <w:t xml:space="preserve">Sciforce. </w:t>
      </w:r>
      <w:r w:rsidR="00BF52C7" w:rsidRPr="008E44E6">
        <w:rPr>
          <w:sz w:val="20"/>
          <w:lang w:val="en-US"/>
        </w:rPr>
        <w:t>"</w:t>
      </w:r>
      <w:r w:rsidRPr="008E44E6">
        <w:rPr>
          <w:sz w:val="20"/>
          <w:lang w:val="en-US"/>
        </w:rPr>
        <w:t>Smart Farming: The Future of Agriculture.</w:t>
      </w:r>
      <w:r w:rsidR="00BF52C7" w:rsidRPr="008E44E6">
        <w:rPr>
          <w:sz w:val="20"/>
          <w:lang w:val="en-US"/>
        </w:rPr>
        <w:t>"</w:t>
      </w:r>
      <w:r w:rsidRPr="008E44E6">
        <w:rPr>
          <w:sz w:val="20"/>
          <w:lang w:val="en-US"/>
        </w:rPr>
        <w:t xml:space="preserve"> </w:t>
      </w:r>
      <w:r w:rsidRPr="008E44E6">
        <w:rPr>
          <w:sz w:val="20"/>
        </w:rPr>
        <w:t xml:space="preserve">22 </w:t>
      </w:r>
      <w:r w:rsidR="00A247A4" w:rsidRPr="008E44E6">
        <w:rPr>
          <w:sz w:val="20"/>
        </w:rPr>
        <w:t>juin</w:t>
      </w:r>
      <w:r w:rsidRPr="008E44E6">
        <w:rPr>
          <w:sz w:val="20"/>
        </w:rPr>
        <w:t xml:space="preserve"> 2020, www.iotforall.com/smart-farming-future-of-agriculture.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ACD5" w14:textId="16C3DA68" w:rsidR="00697BC1" w:rsidRPr="00697BC1" w:rsidRDefault="004A3763" w:rsidP="00887E1E">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B04DE" w:rsidRPr="00697BC1">
          <w:rPr>
            <w:sz w:val="18"/>
            <w:szCs w:val="16"/>
          </w:rPr>
          <w:t xml:space="preserve"> </w:t>
        </w:r>
        <w:r w:rsidR="006B04DE" w:rsidRPr="00697BC1">
          <w:rPr>
            <w:sz w:val="18"/>
            <w:szCs w:val="16"/>
          </w:rPr>
          <w:fldChar w:fldCharType="begin"/>
        </w:r>
        <w:r w:rsidR="006B04DE" w:rsidRPr="00697BC1">
          <w:rPr>
            <w:sz w:val="18"/>
            <w:szCs w:val="16"/>
          </w:rPr>
          <w:instrText xml:space="preserve"> PAGE   \* MERGEFORMAT </w:instrText>
        </w:r>
        <w:r w:rsidR="006B04DE" w:rsidRPr="00697BC1">
          <w:rPr>
            <w:sz w:val="18"/>
            <w:szCs w:val="16"/>
          </w:rPr>
          <w:fldChar w:fldCharType="separate"/>
        </w:r>
        <w:r w:rsidR="00063505">
          <w:rPr>
            <w:noProof/>
            <w:sz w:val="18"/>
            <w:szCs w:val="16"/>
          </w:rPr>
          <w:t>11</w:t>
        </w:r>
        <w:r w:rsidR="006B04DE" w:rsidRPr="00697BC1">
          <w:rPr>
            <w:noProof/>
            <w:sz w:val="18"/>
            <w:szCs w:val="16"/>
          </w:rPr>
          <w:fldChar w:fldCharType="end"/>
        </w:r>
      </w:sdtContent>
    </w:sdt>
    <w:r w:rsidR="00A96618">
      <w:rPr>
        <w:noProof/>
        <w:sz w:val="18"/>
        <w:szCs w:val="16"/>
      </w:rPr>
      <w:t xml:space="preserve"> -</w:t>
    </w:r>
    <w:r w:rsidR="00A96618">
      <w:rPr>
        <w:noProof/>
        <w:sz w:val="18"/>
        <w:szCs w:val="16"/>
      </w:rPr>
      <w:br/>
    </w:r>
    <w:r w:rsidR="00A96618" w:rsidRPr="00CA0FB4">
      <w:rPr>
        <w:noProof/>
        <w:sz w:val="18"/>
        <w:szCs w:val="16"/>
      </w:rPr>
      <w:t>Circulaire TSB 380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ECF6246E">
      <w:numFmt w:val="bullet"/>
      <w:lvlText w:val="-"/>
      <w:lvlJc w:val="left"/>
      <w:pPr>
        <w:tabs>
          <w:tab w:val="num" w:pos="417"/>
        </w:tabs>
        <w:ind w:left="417" w:hanging="360"/>
      </w:pPr>
      <w:rPr>
        <w:rFonts w:ascii="Times New Roman" w:eastAsia="Times New Roman" w:hAnsi="Times New Roman" w:cs="Times New Roman" w:hint="default"/>
      </w:rPr>
    </w:lvl>
    <w:lvl w:ilvl="1" w:tplc="FE20A9C8" w:tentative="1">
      <w:start w:val="1"/>
      <w:numFmt w:val="bullet"/>
      <w:lvlText w:val="o"/>
      <w:lvlJc w:val="left"/>
      <w:pPr>
        <w:tabs>
          <w:tab w:val="num" w:pos="1137"/>
        </w:tabs>
        <w:ind w:left="1137" w:hanging="360"/>
      </w:pPr>
      <w:rPr>
        <w:rFonts w:ascii="Courier New" w:hAnsi="Courier New" w:hint="default"/>
      </w:rPr>
    </w:lvl>
    <w:lvl w:ilvl="2" w:tplc="C6BEF35E" w:tentative="1">
      <w:start w:val="1"/>
      <w:numFmt w:val="bullet"/>
      <w:lvlText w:val=""/>
      <w:lvlJc w:val="left"/>
      <w:pPr>
        <w:tabs>
          <w:tab w:val="num" w:pos="1857"/>
        </w:tabs>
        <w:ind w:left="1857" w:hanging="360"/>
      </w:pPr>
      <w:rPr>
        <w:rFonts w:ascii="Wingdings" w:hAnsi="Wingdings" w:hint="default"/>
      </w:rPr>
    </w:lvl>
    <w:lvl w:ilvl="3" w:tplc="F912B88C" w:tentative="1">
      <w:start w:val="1"/>
      <w:numFmt w:val="bullet"/>
      <w:lvlText w:val=""/>
      <w:lvlJc w:val="left"/>
      <w:pPr>
        <w:tabs>
          <w:tab w:val="num" w:pos="2577"/>
        </w:tabs>
        <w:ind w:left="2577" w:hanging="360"/>
      </w:pPr>
      <w:rPr>
        <w:rFonts w:ascii="Symbol" w:hAnsi="Symbol" w:hint="default"/>
      </w:rPr>
    </w:lvl>
    <w:lvl w:ilvl="4" w:tplc="4FA03700" w:tentative="1">
      <w:start w:val="1"/>
      <w:numFmt w:val="bullet"/>
      <w:lvlText w:val="o"/>
      <w:lvlJc w:val="left"/>
      <w:pPr>
        <w:tabs>
          <w:tab w:val="num" w:pos="3297"/>
        </w:tabs>
        <w:ind w:left="3297" w:hanging="360"/>
      </w:pPr>
      <w:rPr>
        <w:rFonts w:ascii="Courier New" w:hAnsi="Courier New" w:hint="default"/>
      </w:rPr>
    </w:lvl>
    <w:lvl w:ilvl="5" w:tplc="4C002180" w:tentative="1">
      <w:start w:val="1"/>
      <w:numFmt w:val="bullet"/>
      <w:lvlText w:val=""/>
      <w:lvlJc w:val="left"/>
      <w:pPr>
        <w:tabs>
          <w:tab w:val="num" w:pos="4017"/>
        </w:tabs>
        <w:ind w:left="4017" w:hanging="360"/>
      </w:pPr>
      <w:rPr>
        <w:rFonts w:ascii="Wingdings" w:hAnsi="Wingdings" w:hint="default"/>
      </w:rPr>
    </w:lvl>
    <w:lvl w:ilvl="6" w:tplc="72DA7634" w:tentative="1">
      <w:start w:val="1"/>
      <w:numFmt w:val="bullet"/>
      <w:lvlText w:val=""/>
      <w:lvlJc w:val="left"/>
      <w:pPr>
        <w:tabs>
          <w:tab w:val="num" w:pos="4737"/>
        </w:tabs>
        <w:ind w:left="4737" w:hanging="360"/>
      </w:pPr>
      <w:rPr>
        <w:rFonts w:ascii="Symbol" w:hAnsi="Symbol" w:hint="default"/>
      </w:rPr>
    </w:lvl>
    <w:lvl w:ilvl="7" w:tplc="4A64338A" w:tentative="1">
      <w:start w:val="1"/>
      <w:numFmt w:val="bullet"/>
      <w:lvlText w:val="o"/>
      <w:lvlJc w:val="left"/>
      <w:pPr>
        <w:tabs>
          <w:tab w:val="num" w:pos="5457"/>
        </w:tabs>
        <w:ind w:left="5457" w:hanging="360"/>
      </w:pPr>
      <w:rPr>
        <w:rFonts w:ascii="Courier New" w:hAnsi="Courier New" w:hint="default"/>
      </w:rPr>
    </w:lvl>
    <w:lvl w:ilvl="8" w:tplc="C3DE9178"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437EF1"/>
    <w:multiLevelType w:val="hybridMultilevel"/>
    <w:tmpl w:val="45C875A2"/>
    <w:lvl w:ilvl="0" w:tplc="38E0432C">
      <w:start w:val="2"/>
      <w:numFmt w:val="bullet"/>
      <w:lvlText w:val="-"/>
      <w:lvlJc w:val="left"/>
      <w:pPr>
        <w:tabs>
          <w:tab w:val="num" w:pos="417"/>
        </w:tabs>
        <w:ind w:left="417" w:hanging="360"/>
      </w:pPr>
      <w:rPr>
        <w:rFonts w:ascii="Times New Roman" w:eastAsia="Times New Roman" w:hAnsi="Times New Roman" w:cs="Times New Roman" w:hint="default"/>
      </w:rPr>
    </w:lvl>
    <w:lvl w:ilvl="1" w:tplc="473A0A2E" w:tentative="1">
      <w:start w:val="1"/>
      <w:numFmt w:val="bullet"/>
      <w:lvlText w:val="o"/>
      <w:lvlJc w:val="left"/>
      <w:pPr>
        <w:tabs>
          <w:tab w:val="num" w:pos="1137"/>
        </w:tabs>
        <w:ind w:left="1137" w:hanging="360"/>
      </w:pPr>
      <w:rPr>
        <w:rFonts w:ascii="Courier New" w:hAnsi="Courier New" w:hint="default"/>
      </w:rPr>
    </w:lvl>
    <w:lvl w:ilvl="2" w:tplc="E5BC04F0" w:tentative="1">
      <w:start w:val="1"/>
      <w:numFmt w:val="bullet"/>
      <w:lvlText w:val=""/>
      <w:lvlJc w:val="left"/>
      <w:pPr>
        <w:tabs>
          <w:tab w:val="num" w:pos="1857"/>
        </w:tabs>
        <w:ind w:left="1857" w:hanging="360"/>
      </w:pPr>
      <w:rPr>
        <w:rFonts w:ascii="Wingdings" w:hAnsi="Wingdings" w:hint="default"/>
      </w:rPr>
    </w:lvl>
    <w:lvl w:ilvl="3" w:tplc="CB1CA664" w:tentative="1">
      <w:start w:val="1"/>
      <w:numFmt w:val="bullet"/>
      <w:lvlText w:val=""/>
      <w:lvlJc w:val="left"/>
      <w:pPr>
        <w:tabs>
          <w:tab w:val="num" w:pos="2577"/>
        </w:tabs>
        <w:ind w:left="2577" w:hanging="360"/>
      </w:pPr>
      <w:rPr>
        <w:rFonts w:ascii="Symbol" w:hAnsi="Symbol" w:hint="default"/>
      </w:rPr>
    </w:lvl>
    <w:lvl w:ilvl="4" w:tplc="F386E3C4" w:tentative="1">
      <w:start w:val="1"/>
      <w:numFmt w:val="bullet"/>
      <w:lvlText w:val="o"/>
      <w:lvlJc w:val="left"/>
      <w:pPr>
        <w:tabs>
          <w:tab w:val="num" w:pos="3297"/>
        </w:tabs>
        <w:ind w:left="3297" w:hanging="360"/>
      </w:pPr>
      <w:rPr>
        <w:rFonts w:ascii="Courier New" w:hAnsi="Courier New" w:hint="default"/>
      </w:rPr>
    </w:lvl>
    <w:lvl w:ilvl="5" w:tplc="94E493D4" w:tentative="1">
      <w:start w:val="1"/>
      <w:numFmt w:val="bullet"/>
      <w:lvlText w:val=""/>
      <w:lvlJc w:val="left"/>
      <w:pPr>
        <w:tabs>
          <w:tab w:val="num" w:pos="4017"/>
        </w:tabs>
        <w:ind w:left="4017" w:hanging="360"/>
      </w:pPr>
      <w:rPr>
        <w:rFonts w:ascii="Wingdings" w:hAnsi="Wingdings" w:hint="default"/>
      </w:rPr>
    </w:lvl>
    <w:lvl w:ilvl="6" w:tplc="D86E72C6" w:tentative="1">
      <w:start w:val="1"/>
      <w:numFmt w:val="bullet"/>
      <w:lvlText w:val=""/>
      <w:lvlJc w:val="left"/>
      <w:pPr>
        <w:tabs>
          <w:tab w:val="num" w:pos="4737"/>
        </w:tabs>
        <w:ind w:left="4737" w:hanging="360"/>
      </w:pPr>
      <w:rPr>
        <w:rFonts w:ascii="Symbol" w:hAnsi="Symbol" w:hint="default"/>
      </w:rPr>
    </w:lvl>
    <w:lvl w:ilvl="7" w:tplc="7C4AA106" w:tentative="1">
      <w:start w:val="1"/>
      <w:numFmt w:val="bullet"/>
      <w:lvlText w:val="o"/>
      <w:lvlJc w:val="left"/>
      <w:pPr>
        <w:tabs>
          <w:tab w:val="num" w:pos="5457"/>
        </w:tabs>
        <w:ind w:left="5457" w:hanging="360"/>
      </w:pPr>
      <w:rPr>
        <w:rFonts w:ascii="Courier New" w:hAnsi="Courier New" w:hint="default"/>
      </w:rPr>
    </w:lvl>
    <w:lvl w:ilvl="8" w:tplc="FAA406B0"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692232F"/>
    <w:multiLevelType w:val="hybridMultilevel"/>
    <w:tmpl w:val="FFF864C4"/>
    <w:lvl w:ilvl="0" w:tplc="16786F0E">
      <w:start w:val="1"/>
      <w:numFmt w:val="bullet"/>
      <w:lvlText w:val=""/>
      <w:lvlJc w:val="left"/>
      <w:pPr>
        <w:ind w:left="1440" w:hanging="360"/>
      </w:pPr>
      <w:rPr>
        <w:rFonts w:ascii="Symbol" w:hAnsi="Symbol" w:hint="default"/>
      </w:rPr>
    </w:lvl>
    <w:lvl w:ilvl="1" w:tplc="FE721EB4" w:tentative="1">
      <w:start w:val="1"/>
      <w:numFmt w:val="bullet"/>
      <w:lvlText w:val="o"/>
      <w:lvlJc w:val="left"/>
      <w:pPr>
        <w:ind w:left="2160" w:hanging="360"/>
      </w:pPr>
      <w:rPr>
        <w:rFonts w:ascii="Courier New" w:hAnsi="Courier New" w:cs="Courier New" w:hint="default"/>
      </w:rPr>
    </w:lvl>
    <w:lvl w:ilvl="2" w:tplc="34CCD9F2" w:tentative="1">
      <w:start w:val="1"/>
      <w:numFmt w:val="bullet"/>
      <w:lvlText w:val=""/>
      <w:lvlJc w:val="left"/>
      <w:pPr>
        <w:ind w:left="2880" w:hanging="360"/>
      </w:pPr>
      <w:rPr>
        <w:rFonts w:ascii="Wingdings" w:hAnsi="Wingdings" w:hint="default"/>
      </w:rPr>
    </w:lvl>
    <w:lvl w:ilvl="3" w:tplc="C3AC512A" w:tentative="1">
      <w:start w:val="1"/>
      <w:numFmt w:val="bullet"/>
      <w:lvlText w:val=""/>
      <w:lvlJc w:val="left"/>
      <w:pPr>
        <w:ind w:left="3600" w:hanging="360"/>
      </w:pPr>
      <w:rPr>
        <w:rFonts w:ascii="Symbol" w:hAnsi="Symbol" w:hint="default"/>
      </w:rPr>
    </w:lvl>
    <w:lvl w:ilvl="4" w:tplc="393E5E40" w:tentative="1">
      <w:start w:val="1"/>
      <w:numFmt w:val="bullet"/>
      <w:lvlText w:val="o"/>
      <w:lvlJc w:val="left"/>
      <w:pPr>
        <w:ind w:left="4320" w:hanging="360"/>
      </w:pPr>
      <w:rPr>
        <w:rFonts w:ascii="Courier New" w:hAnsi="Courier New" w:cs="Courier New" w:hint="default"/>
      </w:rPr>
    </w:lvl>
    <w:lvl w:ilvl="5" w:tplc="3912E04A" w:tentative="1">
      <w:start w:val="1"/>
      <w:numFmt w:val="bullet"/>
      <w:lvlText w:val=""/>
      <w:lvlJc w:val="left"/>
      <w:pPr>
        <w:ind w:left="5040" w:hanging="360"/>
      </w:pPr>
      <w:rPr>
        <w:rFonts w:ascii="Wingdings" w:hAnsi="Wingdings" w:hint="default"/>
      </w:rPr>
    </w:lvl>
    <w:lvl w:ilvl="6" w:tplc="F65823B2" w:tentative="1">
      <w:start w:val="1"/>
      <w:numFmt w:val="bullet"/>
      <w:lvlText w:val=""/>
      <w:lvlJc w:val="left"/>
      <w:pPr>
        <w:ind w:left="5760" w:hanging="360"/>
      </w:pPr>
      <w:rPr>
        <w:rFonts w:ascii="Symbol" w:hAnsi="Symbol" w:hint="default"/>
      </w:rPr>
    </w:lvl>
    <w:lvl w:ilvl="7" w:tplc="D2942CA2" w:tentative="1">
      <w:start w:val="1"/>
      <w:numFmt w:val="bullet"/>
      <w:lvlText w:val="o"/>
      <w:lvlJc w:val="left"/>
      <w:pPr>
        <w:ind w:left="6480" w:hanging="360"/>
      </w:pPr>
      <w:rPr>
        <w:rFonts w:ascii="Courier New" w:hAnsi="Courier New" w:cs="Courier New" w:hint="default"/>
      </w:rPr>
    </w:lvl>
    <w:lvl w:ilvl="8" w:tplc="91C0DD04" w:tentative="1">
      <w:start w:val="1"/>
      <w:numFmt w:val="bullet"/>
      <w:lvlText w:val=""/>
      <w:lvlJc w:val="left"/>
      <w:pPr>
        <w:ind w:left="7200" w:hanging="360"/>
      </w:pPr>
      <w:rPr>
        <w:rFonts w:ascii="Wingdings" w:hAnsi="Wingdings" w:hint="default"/>
      </w:rPr>
    </w:lvl>
  </w:abstractNum>
  <w:abstractNum w:abstractNumId="7" w15:restartNumberingAfterBreak="0">
    <w:nsid w:val="64E200A3"/>
    <w:multiLevelType w:val="hybridMultilevel"/>
    <w:tmpl w:val="CCE286F0"/>
    <w:lvl w:ilvl="0" w:tplc="75525356">
      <w:start w:val="10"/>
      <w:numFmt w:val="bullet"/>
      <w:lvlText w:val="-"/>
      <w:lvlJc w:val="left"/>
      <w:pPr>
        <w:ind w:left="720" w:hanging="360"/>
      </w:pPr>
      <w:rPr>
        <w:rFonts w:ascii="Calibri" w:eastAsia="Times New Roman" w:hAnsi="Calibri" w:cs="Calibri" w:hint="default"/>
      </w:rPr>
    </w:lvl>
    <w:lvl w:ilvl="1" w:tplc="84C4E124" w:tentative="1">
      <w:start w:val="1"/>
      <w:numFmt w:val="bullet"/>
      <w:lvlText w:val="o"/>
      <w:lvlJc w:val="left"/>
      <w:pPr>
        <w:ind w:left="1440" w:hanging="360"/>
      </w:pPr>
      <w:rPr>
        <w:rFonts w:ascii="Courier New" w:hAnsi="Courier New" w:cs="Courier New" w:hint="default"/>
      </w:rPr>
    </w:lvl>
    <w:lvl w:ilvl="2" w:tplc="CADCD66C" w:tentative="1">
      <w:start w:val="1"/>
      <w:numFmt w:val="bullet"/>
      <w:lvlText w:val=""/>
      <w:lvlJc w:val="left"/>
      <w:pPr>
        <w:ind w:left="2160" w:hanging="360"/>
      </w:pPr>
      <w:rPr>
        <w:rFonts w:ascii="Wingdings" w:hAnsi="Wingdings" w:hint="default"/>
      </w:rPr>
    </w:lvl>
    <w:lvl w:ilvl="3" w:tplc="7180B776" w:tentative="1">
      <w:start w:val="1"/>
      <w:numFmt w:val="bullet"/>
      <w:lvlText w:val=""/>
      <w:lvlJc w:val="left"/>
      <w:pPr>
        <w:ind w:left="2880" w:hanging="360"/>
      </w:pPr>
      <w:rPr>
        <w:rFonts w:ascii="Symbol" w:hAnsi="Symbol" w:hint="default"/>
      </w:rPr>
    </w:lvl>
    <w:lvl w:ilvl="4" w:tplc="B31A8D60" w:tentative="1">
      <w:start w:val="1"/>
      <w:numFmt w:val="bullet"/>
      <w:lvlText w:val="o"/>
      <w:lvlJc w:val="left"/>
      <w:pPr>
        <w:ind w:left="3600" w:hanging="360"/>
      </w:pPr>
      <w:rPr>
        <w:rFonts w:ascii="Courier New" w:hAnsi="Courier New" w:cs="Courier New" w:hint="default"/>
      </w:rPr>
    </w:lvl>
    <w:lvl w:ilvl="5" w:tplc="201C491E" w:tentative="1">
      <w:start w:val="1"/>
      <w:numFmt w:val="bullet"/>
      <w:lvlText w:val=""/>
      <w:lvlJc w:val="left"/>
      <w:pPr>
        <w:ind w:left="4320" w:hanging="360"/>
      </w:pPr>
      <w:rPr>
        <w:rFonts w:ascii="Wingdings" w:hAnsi="Wingdings" w:hint="default"/>
      </w:rPr>
    </w:lvl>
    <w:lvl w:ilvl="6" w:tplc="54D8784C" w:tentative="1">
      <w:start w:val="1"/>
      <w:numFmt w:val="bullet"/>
      <w:lvlText w:val=""/>
      <w:lvlJc w:val="left"/>
      <w:pPr>
        <w:ind w:left="5040" w:hanging="360"/>
      </w:pPr>
      <w:rPr>
        <w:rFonts w:ascii="Symbol" w:hAnsi="Symbol" w:hint="default"/>
      </w:rPr>
    </w:lvl>
    <w:lvl w:ilvl="7" w:tplc="5D04D378" w:tentative="1">
      <w:start w:val="1"/>
      <w:numFmt w:val="bullet"/>
      <w:lvlText w:val="o"/>
      <w:lvlJc w:val="left"/>
      <w:pPr>
        <w:ind w:left="5760" w:hanging="360"/>
      </w:pPr>
      <w:rPr>
        <w:rFonts w:ascii="Courier New" w:hAnsi="Courier New" w:cs="Courier New" w:hint="default"/>
      </w:rPr>
    </w:lvl>
    <w:lvl w:ilvl="8" w:tplc="49802A64" w:tentative="1">
      <w:start w:val="1"/>
      <w:numFmt w:val="bullet"/>
      <w:lvlText w:val=""/>
      <w:lvlJc w:val="left"/>
      <w:pPr>
        <w:ind w:left="6480" w:hanging="360"/>
      </w:pPr>
      <w:rPr>
        <w:rFonts w:ascii="Wingdings" w:hAnsi="Wingdings" w:hint="default"/>
      </w:rPr>
    </w:lvl>
  </w:abstractNum>
  <w:abstractNum w:abstractNumId="8" w15:restartNumberingAfterBreak="0">
    <w:nsid w:val="68ED2616"/>
    <w:multiLevelType w:val="hybridMultilevel"/>
    <w:tmpl w:val="1B5E38B0"/>
    <w:lvl w:ilvl="0" w:tplc="274E5BBC">
      <w:start w:val="1"/>
      <w:numFmt w:val="decimal"/>
      <w:lvlText w:val="%1."/>
      <w:lvlJc w:val="left"/>
      <w:pPr>
        <w:tabs>
          <w:tab w:val="num" w:pos="720"/>
        </w:tabs>
        <w:ind w:left="720" w:hanging="360"/>
      </w:pPr>
      <w:rPr>
        <w:rFonts w:hint="default"/>
        <w:sz w:val="16"/>
        <w:szCs w:val="16"/>
      </w:rPr>
    </w:lvl>
    <w:lvl w:ilvl="1" w:tplc="D85CF0D2">
      <w:start w:val="1"/>
      <w:numFmt w:val="lowerLetter"/>
      <w:lvlText w:val="%2."/>
      <w:lvlJc w:val="left"/>
      <w:pPr>
        <w:tabs>
          <w:tab w:val="num" w:pos="1440"/>
        </w:tabs>
        <w:ind w:left="1440" w:hanging="360"/>
      </w:pPr>
    </w:lvl>
    <w:lvl w:ilvl="2" w:tplc="34122384" w:tentative="1">
      <w:start w:val="1"/>
      <w:numFmt w:val="lowerRoman"/>
      <w:lvlText w:val="%3."/>
      <w:lvlJc w:val="right"/>
      <w:pPr>
        <w:tabs>
          <w:tab w:val="num" w:pos="2160"/>
        </w:tabs>
        <w:ind w:left="2160" w:hanging="180"/>
      </w:pPr>
    </w:lvl>
    <w:lvl w:ilvl="3" w:tplc="D52201CA" w:tentative="1">
      <w:start w:val="1"/>
      <w:numFmt w:val="decimal"/>
      <w:lvlText w:val="%4."/>
      <w:lvlJc w:val="left"/>
      <w:pPr>
        <w:tabs>
          <w:tab w:val="num" w:pos="2880"/>
        </w:tabs>
        <w:ind w:left="2880" w:hanging="360"/>
      </w:pPr>
    </w:lvl>
    <w:lvl w:ilvl="4" w:tplc="0E1A3C72" w:tentative="1">
      <w:start w:val="1"/>
      <w:numFmt w:val="lowerLetter"/>
      <w:lvlText w:val="%5."/>
      <w:lvlJc w:val="left"/>
      <w:pPr>
        <w:tabs>
          <w:tab w:val="num" w:pos="3600"/>
        </w:tabs>
        <w:ind w:left="3600" w:hanging="360"/>
      </w:pPr>
    </w:lvl>
    <w:lvl w:ilvl="5" w:tplc="3CDC37B8" w:tentative="1">
      <w:start w:val="1"/>
      <w:numFmt w:val="lowerRoman"/>
      <w:lvlText w:val="%6."/>
      <w:lvlJc w:val="right"/>
      <w:pPr>
        <w:tabs>
          <w:tab w:val="num" w:pos="4320"/>
        </w:tabs>
        <w:ind w:left="4320" w:hanging="180"/>
      </w:pPr>
    </w:lvl>
    <w:lvl w:ilvl="6" w:tplc="F62CBACE" w:tentative="1">
      <w:start w:val="1"/>
      <w:numFmt w:val="decimal"/>
      <w:lvlText w:val="%7."/>
      <w:lvlJc w:val="left"/>
      <w:pPr>
        <w:tabs>
          <w:tab w:val="num" w:pos="5040"/>
        </w:tabs>
        <w:ind w:left="5040" w:hanging="360"/>
      </w:pPr>
    </w:lvl>
    <w:lvl w:ilvl="7" w:tplc="ED3235D0" w:tentative="1">
      <w:start w:val="1"/>
      <w:numFmt w:val="lowerLetter"/>
      <w:lvlText w:val="%8."/>
      <w:lvlJc w:val="left"/>
      <w:pPr>
        <w:tabs>
          <w:tab w:val="num" w:pos="5760"/>
        </w:tabs>
        <w:ind w:left="5760" w:hanging="360"/>
      </w:pPr>
    </w:lvl>
    <w:lvl w:ilvl="8" w:tplc="E690A0A6" w:tentative="1">
      <w:start w:val="1"/>
      <w:numFmt w:val="lowerRoman"/>
      <w:lvlText w:val="%9."/>
      <w:lvlJc w:val="right"/>
      <w:pPr>
        <w:tabs>
          <w:tab w:val="num" w:pos="6480"/>
        </w:tabs>
        <w:ind w:left="6480" w:hanging="180"/>
      </w:pPr>
    </w:lvl>
  </w:abstractNum>
  <w:abstractNum w:abstractNumId="9" w15:restartNumberingAfterBreak="0">
    <w:nsid w:val="72DA6F36"/>
    <w:multiLevelType w:val="hybridMultilevel"/>
    <w:tmpl w:val="3C96AC4C"/>
    <w:lvl w:ilvl="0" w:tplc="93B285AC">
      <w:start w:val="1"/>
      <w:numFmt w:val="decimal"/>
      <w:lvlText w:val="%1."/>
      <w:lvlJc w:val="left"/>
      <w:pPr>
        <w:ind w:left="360" w:hanging="360"/>
      </w:pPr>
      <w:rPr>
        <w:rFonts w:asciiTheme="minorHAnsi" w:hAnsiTheme="minorHAnsi" w:cstheme="minorHAnsi" w:hint="default"/>
      </w:rPr>
    </w:lvl>
    <w:lvl w:ilvl="1" w:tplc="A70C23DA">
      <w:start w:val="1"/>
      <w:numFmt w:val="lowerLetter"/>
      <w:lvlText w:val="%2."/>
      <w:lvlJc w:val="left"/>
      <w:pPr>
        <w:ind w:left="1080" w:hanging="360"/>
      </w:pPr>
    </w:lvl>
    <w:lvl w:ilvl="2" w:tplc="C492BEE2" w:tentative="1">
      <w:start w:val="1"/>
      <w:numFmt w:val="lowerRoman"/>
      <w:lvlText w:val="%3."/>
      <w:lvlJc w:val="right"/>
      <w:pPr>
        <w:ind w:left="1800" w:hanging="180"/>
      </w:pPr>
    </w:lvl>
    <w:lvl w:ilvl="3" w:tplc="90A0B62C" w:tentative="1">
      <w:start w:val="1"/>
      <w:numFmt w:val="decimal"/>
      <w:lvlText w:val="%4."/>
      <w:lvlJc w:val="left"/>
      <w:pPr>
        <w:ind w:left="2520" w:hanging="360"/>
      </w:pPr>
    </w:lvl>
    <w:lvl w:ilvl="4" w:tplc="4CEC5AEE" w:tentative="1">
      <w:start w:val="1"/>
      <w:numFmt w:val="lowerLetter"/>
      <w:lvlText w:val="%5."/>
      <w:lvlJc w:val="left"/>
      <w:pPr>
        <w:ind w:left="3240" w:hanging="360"/>
      </w:pPr>
    </w:lvl>
    <w:lvl w:ilvl="5" w:tplc="ED300F26" w:tentative="1">
      <w:start w:val="1"/>
      <w:numFmt w:val="lowerRoman"/>
      <w:lvlText w:val="%6."/>
      <w:lvlJc w:val="right"/>
      <w:pPr>
        <w:ind w:left="3960" w:hanging="180"/>
      </w:pPr>
    </w:lvl>
    <w:lvl w:ilvl="6" w:tplc="9CCE2F36" w:tentative="1">
      <w:start w:val="1"/>
      <w:numFmt w:val="decimal"/>
      <w:lvlText w:val="%7."/>
      <w:lvlJc w:val="left"/>
      <w:pPr>
        <w:ind w:left="4680" w:hanging="360"/>
      </w:pPr>
    </w:lvl>
    <w:lvl w:ilvl="7" w:tplc="A2D2C7D4" w:tentative="1">
      <w:start w:val="1"/>
      <w:numFmt w:val="lowerLetter"/>
      <w:lvlText w:val="%8."/>
      <w:lvlJc w:val="left"/>
      <w:pPr>
        <w:ind w:left="5400" w:hanging="360"/>
      </w:pPr>
    </w:lvl>
    <w:lvl w:ilvl="8" w:tplc="82AC86A6" w:tentative="1">
      <w:start w:val="1"/>
      <w:numFmt w:val="lowerRoman"/>
      <w:lvlText w:val="%9."/>
      <w:lvlJc w:val="right"/>
      <w:pPr>
        <w:ind w:left="6120" w:hanging="180"/>
      </w:pPr>
    </w:lvl>
  </w:abstractNum>
  <w:num w:numId="1">
    <w:abstractNumId w:val="1"/>
  </w:num>
  <w:num w:numId="2">
    <w:abstractNumId w:val="8"/>
  </w:num>
  <w:num w:numId="3">
    <w:abstractNumId w:val="5"/>
  </w:num>
  <w:num w:numId="4">
    <w:abstractNumId w:val="0"/>
  </w:num>
  <w:num w:numId="5">
    <w:abstractNumId w:val="7"/>
  </w:num>
  <w:num w:numId="6">
    <w:abstractNumId w:val="4"/>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9C"/>
    <w:rsid w:val="000039EE"/>
    <w:rsid w:val="00005622"/>
    <w:rsid w:val="000155ED"/>
    <w:rsid w:val="0002519E"/>
    <w:rsid w:val="00035B43"/>
    <w:rsid w:val="00036F4F"/>
    <w:rsid w:val="00037799"/>
    <w:rsid w:val="000456C4"/>
    <w:rsid w:val="000567B1"/>
    <w:rsid w:val="000573CA"/>
    <w:rsid w:val="00063505"/>
    <w:rsid w:val="000758B3"/>
    <w:rsid w:val="00085F5A"/>
    <w:rsid w:val="00092DDB"/>
    <w:rsid w:val="0009544C"/>
    <w:rsid w:val="000B0D96"/>
    <w:rsid w:val="000B59D8"/>
    <w:rsid w:val="000C1F6B"/>
    <w:rsid w:val="000C25CC"/>
    <w:rsid w:val="000C56BE"/>
    <w:rsid w:val="000C6100"/>
    <w:rsid w:val="001026FD"/>
    <w:rsid w:val="001077FD"/>
    <w:rsid w:val="00115DD7"/>
    <w:rsid w:val="001173DD"/>
    <w:rsid w:val="00124404"/>
    <w:rsid w:val="00134E6B"/>
    <w:rsid w:val="0014534A"/>
    <w:rsid w:val="001575A2"/>
    <w:rsid w:val="00165731"/>
    <w:rsid w:val="00167472"/>
    <w:rsid w:val="00167F92"/>
    <w:rsid w:val="00170D27"/>
    <w:rsid w:val="00173738"/>
    <w:rsid w:val="001853B4"/>
    <w:rsid w:val="00186E8A"/>
    <w:rsid w:val="00196791"/>
    <w:rsid w:val="001A17BB"/>
    <w:rsid w:val="001B79A3"/>
    <w:rsid w:val="001C6586"/>
    <w:rsid w:val="001D53B5"/>
    <w:rsid w:val="001E2C58"/>
    <w:rsid w:val="001E432D"/>
    <w:rsid w:val="001F2F5B"/>
    <w:rsid w:val="001F3B1F"/>
    <w:rsid w:val="0020600D"/>
    <w:rsid w:val="00213E39"/>
    <w:rsid w:val="002152A3"/>
    <w:rsid w:val="00217E84"/>
    <w:rsid w:val="00244BFD"/>
    <w:rsid w:val="00251942"/>
    <w:rsid w:val="00260056"/>
    <w:rsid w:val="0027486D"/>
    <w:rsid w:val="00283112"/>
    <w:rsid w:val="002957F0"/>
    <w:rsid w:val="002B377A"/>
    <w:rsid w:val="002E395D"/>
    <w:rsid w:val="002E6376"/>
    <w:rsid w:val="003008D3"/>
    <w:rsid w:val="003131F0"/>
    <w:rsid w:val="00313E4E"/>
    <w:rsid w:val="00322789"/>
    <w:rsid w:val="00332656"/>
    <w:rsid w:val="00333A80"/>
    <w:rsid w:val="00333B95"/>
    <w:rsid w:val="00341117"/>
    <w:rsid w:val="00351B12"/>
    <w:rsid w:val="00364E95"/>
    <w:rsid w:val="00372875"/>
    <w:rsid w:val="0039416D"/>
    <w:rsid w:val="00396807"/>
    <w:rsid w:val="003B0323"/>
    <w:rsid w:val="003B1E80"/>
    <w:rsid w:val="003B413E"/>
    <w:rsid w:val="003B66E8"/>
    <w:rsid w:val="003C1C91"/>
    <w:rsid w:val="003C7465"/>
    <w:rsid w:val="003D418B"/>
    <w:rsid w:val="003E66AD"/>
    <w:rsid w:val="004033F1"/>
    <w:rsid w:val="004120C0"/>
    <w:rsid w:val="00414B0C"/>
    <w:rsid w:val="00417E6B"/>
    <w:rsid w:val="00420330"/>
    <w:rsid w:val="00423C21"/>
    <w:rsid w:val="00424C8C"/>
    <w:rsid w:val="00424F0C"/>
    <w:rsid w:val="004257AC"/>
    <w:rsid w:val="0043711B"/>
    <w:rsid w:val="004379CB"/>
    <w:rsid w:val="00452526"/>
    <w:rsid w:val="004977C9"/>
    <w:rsid w:val="00497A31"/>
    <w:rsid w:val="004A3763"/>
    <w:rsid w:val="004B0C60"/>
    <w:rsid w:val="004B732E"/>
    <w:rsid w:val="004D51C9"/>
    <w:rsid w:val="004D51F4"/>
    <w:rsid w:val="004D5BAF"/>
    <w:rsid w:val="004D64E0"/>
    <w:rsid w:val="004E77E9"/>
    <w:rsid w:val="004F3E70"/>
    <w:rsid w:val="00500B05"/>
    <w:rsid w:val="00505B43"/>
    <w:rsid w:val="005120A2"/>
    <w:rsid w:val="0051210D"/>
    <w:rsid w:val="005136D2"/>
    <w:rsid w:val="00517A03"/>
    <w:rsid w:val="00521B40"/>
    <w:rsid w:val="00560B3C"/>
    <w:rsid w:val="00572C98"/>
    <w:rsid w:val="005749D6"/>
    <w:rsid w:val="0058763D"/>
    <w:rsid w:val="00592193"/>
    <w:rsid w:val="005A3DD9"/>
    <w:rsid w:val="005B180D"/>
    <w:rsid w:val="005B1DFC"/>
    <w:rsid w:val="005B26B4"/>
    <w:rsid w:val="005B3287"/>
    <w:rsid w:val="005B45B9"/>
    <w:rsid w:val="005D032B"/>
    <w:rsid w:val="005E1BDE"/>
    <w:rsid w:val="005E7C7C"/>
    <w:rsid w:val="00601682"/>
    <w:rsid w:val="00603470"/>
    <w:rsid w:val="006038A4"/>
    <w:rsid w:val="00625E79"/>
    <w:rsid w:val="00630A6D"/>
    <w:rsid w:val="006331D4"/>
    <w:rsid w:val="00633292"/>
    <w:rsid w:val="006333F7"/>
    <w:rsid w:val="0063636B"/>
    <w:rsid w:val="0064220B"/>
    <w:rsid w:val="006427A1"/>
    <w:rsid w:val="00644741"/>
    <w:rsid w:val="00650670"/>
    <w:rsid w:val="0065538C"/>
    <w:rsid w:val="00673ABF"/>
    <w:rsid w:val="006773F8"/>
    <w:rsid w:val="00681F14"/>
    <w:rsid w:val="0068635B"/>
    <w:rsid w:val="00693C47"/>
    <w:rsid w:val="00697BC1"/>
    <w:rsid w:val="006A4206"/>
    <w:rsid w:val="006A6FFE"/>
    <w:rsid w:val="006B04DE"/>
    <w:rsid w:val="006C01C0"/>
    <w:rsid w:val="006C5A91"/>
    <w:rsid w:val="006D45DA"/>
    <w:rsid w:val="006D7BA2"/>
    <w:rsid w:val="006F4490"/>
    <w:rsid w:val="006F580F"/>
    <w:rsid w:val="006F5921"/>
    <w:rsid w:val="00703A4A"/>
    <w:rsid w:val="007106B9"/>
    <w:rsid w:val="00716257"/>
    <w:rsid w:val="00716BBC"/>
    <w:rsid w:val="00720BDD"/>
    <w:rsid w:val="00727381"/>
    <w:rsid w:val="007304FB"/>
    <w:rsid w:val="007321BC"/>
    <w:rsid w:val="00745CAC"/>
    <w:rsid w:val="007546D0"/>
    <w:rsid w:val="00760063"/>
    <w:rsid w:val="00764433"/>
    <w:rsid w:val="0077254B"/>
    <w:rsid w:val="00775E4B"/>
    <w:rsid w:val="0078477D"/>
    <w:rsid w:val="0079553B"/>
    <w:rsid w:val="00795679"/>
    <w:rsid w:val="007A40FE"/>
    <w:rsid w:val="007C3C7D"/>
    <w:rsid w:val="007E42FE"/>
    <w:rsid w:val="007F5A5C"/>
    <w:rsid w:val="007F5B21"/>
    <w:rsid w:val="00810105"/>
    <w:rsid w:val="008157E0"/>
    <w:rsid w:val="00850477"/>
    <w:rsid w:val="0085212B"/>
    <w:rsid w:val="00853452"/>
    <w:rsid w:val="00854E1D"/>
    <w:rsid w:val="008642A4"/>
    <w:rsid w:val="00880E69"/>
    <w:rsid w:val="00887E1E"/>
    <w:rsid w:val="00887FA6"/>
    <w:rsid w:val="00890B95"/>
    <w:rsid w:val="008933AD"/>
    <w:rsid w:val="00895513"/>
    <w:rsid w:val="008A3719"/>
    <w:rsid w:val="008C01F1"/>
    <w:rsid w:val="008C187F"/>
    <w:rsid w:val="008C3A5A"/>
    <w:rsid w:val="008C4397"/>
    <w:rsid w:val="008C465A"/>
    <w:rsid w:val="008C5D99"/>
    <w:rsid w:val="008D4DC3"/>
    <w:rsid w:val="008E44E6"/>
    <w:rsid w:val="008F2C9B"/>
    <w:rsid w:val="00913307"/>
    <w:rsid w:val="00915648"/>
    <w:rsid w:val="00923CD6"/>
    <w:rsid w:val="0092524D"/>
    <w:rsid w:val="00925BFC"/>
    <w:rsid w:val="0093423B"/>
    <w:rsid w:val="00935A11"/>
    <w:rsid w:val="00935AA8"/>
    <w:rsid w:val="0093729A"/>
    <w:rsid w:val="00944F6A"/>
    <w:rsid w:val="009575C3"/>
    <w:rsid w:val="00957EAB"/>
    <w:rsid w:val="00963853"/>
    <w:rsid w:val="00965B7C"/>
    <w:rsid w:val="009719F5"/>
    <w:rsid w:val="00971C9A"/>
    <w:rsid w:val="00982181"/>
    <w:rsid w:val="00987C89"/>
    <w:rsid w:val="00992DE9"/>
    <w:rsid w:val="00993872"/>
    <w:rsid w:val="009A08F4"/>
    <w:rsid w:val="009A0DAD"/>
    <w:rsid w:val="009B0D7D"/>
    <w:rsid w:val="009B4654"/>
    <w:rsid w:val="009D51FA"/>
    <w:rsid w:val="009E4A84"/>
    <w:rsid w:val="009E6757"/>
    <w:rsid w:val="009E747E"/>
    <w:rsid w:val="009F168D"/>
    <w:rsid w:val="009F1E23"/>
    <w:rsid w:val="00A02261"/>
    <w:rsid w:val="00A12667"/>
    <w:rsid w:val="00A15179"/>
    <w:rsid w:val="00A247A4"/>
    <w:rsid w:val="00A27A69"/>
    <w:rsid w:val="00A308C7"/>
    <w:rsid w:val="00A36CC0"/>
    <w:rsid w:val="00A51537"/>
    <w:rsid w:val="00A5187E"/>
    <w:rsid w:val="00A5280F"/>
    <w:rsid w:val="00A54991"/>
    <w:rsid w:val="00A5645A"/>
    <w:rsid w:val="00A60FC1"/>
    <w:rsid w:val="00A63BD3"/>
    <w:rsid w:val="00A67D89"/>
    <w:rsid w:val="00A74B03"/>
    <w:rsid w:val="00A82FA6"/>
    <w:rsid w:val="00A8523D"/>
    <w:rsid w:val="00A87650"/>
    <w:rsid w:val="00A96618"/>
    <w:rsid w:val="00A97C37"/>
    <w:rsid w:val="00AA0029"/>
    <w:rsid w:val="00AA131B"/>
    <w:rsid w:val="00AB12A9"/>
    <w:rsid w:val="00AB1BA2"/>
    <w:rsid w:val="00AC37B5"/>
    <w:rsid w:val="00AD752F"/>
    <w:rsid w:val="00AF08A4"/>
    <w:rsid w:val="00AF5D7D"/>
    <w:rsid w:val="00AF5D86"/>
    <w:rsid w:val="00B00E80"/>
    <w:rsid w:val="00B04B33"/>
    <w:rsid w:val="00B06E34"/>
    <w:rsid w:val="00B136F8"/>
    <w:rsid w:val="00B23B4D"/>
    <w:rsid w:val="00B27B41"/>
    <w:rsid w:val="00B31A76"/>
    <w:rsid w:val="00B3654A"/>
    <w:rsid w:val="00B4181C"/>
    <w:rsid w:val="00B42659"/>
    <w:rsid w:val="00B73766"/>
    <w:rsid w:val="00B73BED"/>
    <w:rsid w:val="00B8573E"/>
    <w:rsid w:val="00BA390B"/>
    <w:rsid w:val="00BB24C0"/>
    <w:rsid w:val="00BD3BC5"/>
    <w:rsid w:val="00BD6B00"/>
    <w:rsid w:val="00BD6ECF"/>
    <w:rsid w:val="00BF52C7"/>
    <w:rsid w:val="00C00AD3"/>
    <w:rsid w:val="00C01165"/>
    <w:rsid w:val="00C01BE7"/>
    <w:rsid w:val="00C02E8F"/>
    <w:rsid w:val="00C0699C"/>
    <w:rsid w:val="00C1005E"/>
    <w:rsid w:val="00C20D7E"/>
    <w:rsid w:val="00C26F2E"/>
    <w:rsid w:val="00C27397"/>
    <w:rsid w:val="00C302E3"/>
    <w:rsid w:val="00C306C7"/>
    <w:rsid w:val="00C30B80"/>
    <w:rsid w:val="00C45376"/>
    <w:rsid w:val="00C50076"/>
    <w:rsid w:val="00C510B0"/>
    <w:rsid w:val="00C548FC"/>
    <w:rsid w:val="00C6408C"/>
    <w:rsid w:val="00C80196"/>
    <w:rsid w:val="00C83A51"/>
    <w:rsid w:val="00C9028F"/>
    <w:rsid w:val="00C9170C"/>
    <w:rsid w:val="00CA0416"/>
    <w:rsid w:val="00CA0FB4"/>
    <w:rsid w:val="00CB1125"/>
    <w:rsid w:val="00CB1901"/>
    <w:rsid w:val="00CC40CC"/>
    <w:rsid w:val="00CD042E"/>
    <w:rsid w:val="00CD2AB5"/>
    <w:rsid w:val="00CD4F1C"/>
    <w:rsid w:val="00CF2560"/>
    <w:rsid w:val="00CF4C16"/>
    <w:rsid w:val="00CF5B46"/>
    <w:rsid w:val="00D01B97"/>
    <w:rsid w:val="00D14F31"/>
    <w:rsid w:val="00D17044"/>
    <w:rsid w:val="00D20CE2"/>
    <w:rsid w:val="00D25A7F"/>
    <w:rsid w:val="00D319F3"/>
    <w:rsid w:val="00D31F17"/>
    <w:rsid w:val="00D32E3B"/>
    <w:rsid w:val="00D35C6B"/>
    <w:rsid w:val="00D44185"/>
    <w:rsid w:val="00D46B68"/>
    <w:rsid w:val="00D46C93"/>
    <w:rsid w:val="00D53781"/>
    <w:rsid w:val="00D542A5"/>
    <w:rsid w:val="00D64763"/>
    <w:rsid w:val="00D75521"/>
    <w:rsid w:val="00D75BA8"/>
    <w:rsid w:val="00D763C9"/>
    <w:rsid w:val="00D8430A"/>
    <w:rsid w:val="00D86AB7"/>
    <w:rsid w:val="00DA6BBC"/>
    <w:rsid w:val="00DC04B9"/>
    <w:rsid w:val="00DC2657"/>
    <w:rsid w:val="00DC3D47"/>
    <w:rsid w:val="00DD1B68"/>
    <w:rsid w:val="00DD42C8"/>
    <w:rsid w:val="00DD77DA"/>
    <w:rsid w:val="00DE3080"/>
    <w:rsid w:val="00DE3F4F"/>
    <w:rsid w:val="00DF0D49"/>
    <w:rsid w:val="00E06C61"/>
    <w:rsid w:val="00E13DB3"/>
    <w:rsid w:val="00E17CF4"/>
    <w:rsid w:val="00E2023F"/>
    <w:rsid w:val="00E23EB7"/>
    <w:rsid w:val="00E2408B"/>
    <w:rsid w:val="00E41C53"/>
    <w:rsid w:val="00E534E7"/>
    <w:rsid w:val="00E62CEA"/>
    <w:rsid w:val="00E70DA1"/>
    <w:rsid w:val="00E72AE1"/>
    <w:rsid w:val="00E819EC"/>
    <w:rsid w:val="00E93D85"/>
    <w:rsid w:val="00EB15A4"/>
    <w:rsid w:val="00EB615F"/>
    <w:rsid w:val="00EC5236"/>
    <w:rsid w:val="00ED6A7A"/>
    <w:rsid w:val="00EE30E1"/>
    <w:rsid w:val="00EE4C36"/>
    <w:rsid w:val="00F029FD"/>
    <w:rsid w:val="00F075DE"/>
    <w:rsid w:val="00F12176"/>
    <w:rsid w:val="00F21E25"/>
    <w:rsid w:val="00F346CE"/>
    <w:rsid w:val="00F34F98"/>
    <w:rsid w:val="00F358B7"/>
    <w:rsid w:val="00F40540"/>
    <w:rsid w:val="00F4090B"/>
    <w:rsid w:val="00F439A4"/>
    <w:rsid w:val="00F538C9"/>
    <w:rsid w:val="00F57118"/>
    <w:rsid w:val="00F67402"/>
    <w:rsid w:val="00F67ED3"/>
    <w:rsid w:val="00F74DDD"/>
    <w:rsid w:val="00F766A2"/>
    <w:rsid w:val="00F9451D"/>
    <w:rsid w:val="00FB2785"/>
    <w:rsid w:val="00FE2419"/>
    <w:rsid w:val="00FE3CBF"/>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F762D9"/>
  <w15:docId w15:val="{B5FD5404-92B3-499D-898A-4BCBF89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Style 58,超????,超?级链,超级链接,超链接1,하이퍼링크2"/>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C0699C"/>
    <w:rPr>
      <w:color w:val="605E5C"/>
      <w:shd w:val="clear" w:color="auto" w:fill="E1DFDD"/>
    </w:rPr>
  </w:style>
  <w:style w:type="table" w:styleId="TableGrid">
    <w:name w:val="Table Grid"/>
    <w:basedOn w:val="TableNormal"/>
    <w:rsid w:val="00A96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6618"/>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A96618"/>
    <w:rPr>
      <w:rFonts w:ascii="Times New Roman" w:eastAsiaTheme="minorEastAsia" w:hAnsi="Times New Roman"/>
      <w:sz w:val="24"/>
      <w:szCs w:val="24"/>
      <w:lang w:val="en-GB" w:eastAsia="ja-JP"/>
    </w:rPr>
  </w:style>
  <w:style w:type="character" w:customStyle="1" w:styleId="enumlev1Char">
    <w:name w:val="enumlev1 Char"/>
    <w:link w:val="enumlev1"/>
    <w:locked/>
    <w:rsid w:val="00A96618"/>
    <w:rPr>
      <w:rFonts w:asciiTheme="minorHAnsi" w:hAnsiTheme="minorHAnsi"/>
      <w:sz w:val="24"/>
      <w:lang w:val="fr-FR" w:eastAsia="en-US"/>
    </w:rPr>
  </w:style>
  <w:style w:type="character" w:customStyle="1" w:styleId="FootnoteTextChar">
    <w:name w:val="Footnote Text Char"/>
    <w:basedOn w:val="DefaultParagraphFont"/>
    <w:link w:val="FootnoteText"/>
    <w:uiPriority w:val="99"/>
    <w:rsid w:val="00505B43"/>
    <w:rPr>
      <w:rFonts w:asciiTheme="minorHAnsi" w:hAnsiTheme="minorHAnsi"/>
      <w:sz w:val="24"/>
      <w:lang w:val="fr-FR" w:eastAsia="en-US"/>
    </w:rPr>
  </w:style>
  <w:style w:type="paragraph" w:customStyle="1" w:styleId="Reasons">
    <w:name w:val="Reasons"/>
    <w:basedOn w:val="Normal"/>
    <w:qFormat/>
    <w:rsid w:val="00AF5D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D44185"/>
    <w:rPr>
      <w:rFonts w:asciiTheme="minorHAnsi" w:hAnsiTheme="minorHAnsi"/>
      <w:sz w:val="24"/>
      <w:lang w:val="fr-FR" w:eastAsia="en-US"/>
    </w:rPr>
  </w:style>
  <w:style w:type="character" w:styleId="CommentReference">
    <w:name w:val="annotation reference"/>
    <w:basedOn w:val="DefaultParagraphFont"/>
    <w:semiHidden/>
    <w:unhideWhenUsed/>
    <w:rsid w:val="00CF4C16"/>
    <w:rPr>
      <w:sz w:val="16"/>
      <w:szCs w:val="16"/>
    </w:rPr>
  </w:style>
  <w:style w:type="paragraph" w:styleId="CommentText">
    <w:name w:val="annotation text"/>
    <w:basedOn w:val="Normal"/>
    <w:link w:val="CommentTextChar"/>
    <w:semiHidden/>
    <w:unhideWhenUsed/>
    <w:rsid w:val="00CF4C16"/>
    <w:rPr>
      <w:sz w:val="20"/>
    </w:rPr>
  </w:style>
  <w:style w:type="character" w:customStyle="1" w:styleId="CommentTextChar">
    <w:name w:val="Comment Text Char"/>
    <w:basedOn w:val="DefaultParagraphFont"/>
    <w:link w:val="CommentText"/>
    <w:semiHidden/>
    <w:rsid w:val="00CF4C16"/>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CF4C16"/>
    <w:rPr>
      <w:b/>
      <w:bCs/>
    </w:rPr>
  </w:style>
  <w:style w:type="character" w:customStyle="1" w:styleId="CommentSubjectChar">
    <w:name w:val="Comment Subject Char"/>
    <w:basedOn w:val="CommentTextChar"/>
    <w:link w:val="CommentSubject"/>
    <w:semiHidden/>
    <w:rsid w:val="00CF4C16"/>
    <w:rPr>
      <w:rFonts w:asciiTheme="minorHAnsi" w:hAnsiTheme="minorHAnsi"/>
      <w:b/>
      <w:bCs/>
      <w:lang w:val="fr-FR" w:eastAsia="en-US"/>
    </w:rPr>
  </w:style>
  <w:style w:type="character" w:styleId="FollowedHyperlink">
    <w:name w:val="FollowedHyperlink"/>
    <w:basedOn w:val="DefaultParagraphFont"/>
    <w:semiHidden/>
    <w:unhideWhenUsed/>
    <w:rsid w:val="00D35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dt4cc.aspx" TargetMode="External"/><Relationship Id="rId18" Type="http://schemas.openxmlformats.org/officeDocument/2006/relationships/hyperlink" Target="http://www.itu.int/go/fgai4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tu.int/rec/T-REC-A.7/fr" TargetMode="External"/><Relationship Id="rId17" Type="http://schemas.openxmlformats.org/officeDocument/2006/relationships/hyperlink" Target="https://www.itu.int/myworkspa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fgai4a" TargetMode="External"/><Relationship Id="rId20" Type="http://schemas.openxmlformats.org/officeDocument/2006/relationships/hyperlink" Target="mailto:tsbfgai4a@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quicksteps.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go/fgai4a" TargetMode="External"/><Relationship Id="rId23" Type="http://schemas.openxmlformats.org/officeDocument/2006/relationships/header" Target="header1.xml"/><Relationship Id="rId10" Type="http://schemas.openxmlformats.org/officeDocument/2006/relationships/hyperlink" Target="http://www.itu.int/go/fgai4a" TargetMode="External"/><Relationship Id="rId19" Type="http://schemas.openxmlformats.org/officeDocument/2006/relationships/hyperlink" Target="http://www.itu.int/go/fgai4a" TargetMode="External"/><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mailto:tsbfgai4a@itu.int"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097B-F7FE-4899-87D9-F2EF7AB7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204</TotalTime>
  <Pages>11</Pages>
  <Words>3783</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31</cp:revision>
  <cp:lastPrinted>2022-03-02T09:21:00Z</cp:lastPrinted>
  <dcterms:created xsi:type="dcterms:W3CDTF">2022-02-23T13:42:00Z</dcterms:created>
  <dcterms:modified xsi:type="dcterms:W3CDTF">2022-03-02T09:21:00Z</dcterms:modified>
</cp:coreProperties>
</file>