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1" w:type="dxa"/>
        <w:jc w:val="center"/>
        <w:tblLayout w:type="fixed"/>
        <w:tblCellMar>
          <w:left w:w="0" w:type="dxa"/>
          <w:right w:w="0" w:type="dxa"/>
        </w:tblCellMar>
        <w:tblLook w:val="0000" w:firstRow="0" w:lastRow="0" w:firstColumn="0" w:lastColumn="0" w:noHBand="0" w:noVBand="0"/>
      </w:tblPr>
      <w:tblGrid>
        <w:gridCol w:w="8"/>
        <w:gridCol w:w="985"/>
        <w:gridCol w:w="425"/>
        <w:gridCol w:w="567"/>
        <w:gridCol w:w="2835"/>
        <w:gridCol w:w="2977"/>
        <w:gridCol w:w="2126"/>
        <w:gridCol w:w="8"/>
      </w:tblGrid>
      <w:tr w:rsidR="00036F4F" w:rsidRPr="00582161" w14:paraId="584779E3" w14:textId="77777777" w:rsidTr="00F4329D">
        <w:trPr>
          <w:gridAfter w:val="1"/>
          <w:wAfter w:w="8" w:type="dxa"/>
          <w:cantSplit/>
          <w:jc w:val="center"/>
        </w:trPr>
        <w:tc>
          <w:tcPr>
            <w:tcW w:w="1418" w:type="dxa"/>
            <w:gridSpan w:val="3"/>
            <w:vAlign w:val="center"/>
          </w:tcPr>
          <w:p w14:paraId="2CF02321" w14:textId="77777777" w:rsidR="00036F4F" w:rsidRPr="00582161" w:rsidRDefault="00036F4F" w:rsidP="00FF7B12">
            <w:pPr>
              <w:tabs>
                <w:tab w:val="right" w:pos="8732"/>
              </w:tabs>
              <w:spacing w:before="0"/>
              <w:rPr>
                <w:b/>
                <w:bCs/>
                <w:iCs/>
                <w:color w:val="FFFFFF"/>
                <w:sz w:val="30"/>
                <w:szCs w:val="30"/>
              </w:rPr>
            </w:pPr>
            <w:r w:rsidRPr="00582161">
              <w:rPr>
                <w:noProof/>
                <w:lang w:val="en-US"/>
              </w:rPr>
              <w:drawing>
                <wp:inline distT="0" distB="0" distL="0" distR="0" wp14:anchorId="2F4A3D13" wp14:editId="4E15D466">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3807126" w14:textId="77777777" w:rsidR="00036F4F" w:rsidRPr="00582161" w:rsidRDefault="00036F4F" w:rsidP="00FF7B12">
            <w:pPr>
              <w:spacing w:before="0"/>
              <w:rPr>
                <w:rFonts w:cs="Times New Roman Bold"/>
                <w:b/>
                <w:bCs/>
                <w:iCs/>
                <w:smallCaps/>
                <w:sz w:val="34"/>
                <w:szCs w:val="34"/>
              </w:rPr>
            </w:pPr>
            <w:r w:rsidRPr="00582161">
              <w:rPr>
                <w:rFonts w:cs="Times New Roman Bold"/>
                <w:b/>
                <w:bCs/>
                <w:iCs/>
                <w:smallCaps/>
                <w:sz w:val="34"/>
                <w:szCs w:val="34"/>
              </w:rPr>
              <w:t>Union internationale des télécommunications</w:t>
            </w:r>
          </w:p>
          <w:p w14:paraId="41816F35" w14:textId="77777777" w:rsidR="00036F4F" w:rsidRPr="00582161" w:rsidRDefault="00036F4F" w:rsidP="00FF7B12">
            <w:pPr>
              <w:tabs>
                <w:tab w:val="right" w:pos="8732"/>
              </w:tabs>
              <w:spacing w:before="0"/>
              <w:rPr>
                <w:b/>
                <w:bCs/>
                <w:iCs/>
                <w:color w:val="FFFFFF"/>
                <w:sz w:val="30"/>
                <w:szCs w:val="30"/>
              </w:rPr>
            </w:pPr>
            <w:r w:rsidRPr="00582161">
              <w:rPr>
                <w:rFonts w:cs="Times New Roman Bold"/>
                <w:b/>
                <w:bCs/>
                <w:iCs/>
                <w:smallCaps/>
                <w:sz w:val="28"/>
                <w:szCs w:val="28"/>
              </w:rPr>
              <w:t>B</w:t>
            </w:r>
            <w:r w:rsidRPr="00582161">
              <w:rPr>
                <w:b/>
                <w:bCs/>
                <w:iCs/>
                <w:smallCaps/>
                <w:sz w:val="28"/>
                <w:szCs w:val="28"/>
              </w:rPr>
              <w:t>ureau de la Normalisation des Télécommunications</w:t>
            </w:r>
          </w:p>
        </w:tc>
        <w:tc>
          <w:tcPr>
            <w:tcW w:w="2126" w:type="dxa"/>
            <w:vAlign w:val="center"/>
          </w:tcPr>
          <w:p w14:paraId="1D942B22" w14:textId="77777777" w:rsidR="00036F4F" w:rsidRPr="00582161" w:rsidRDefault="00036F4F" w:rsidP="00FF7B12">
            <w:pPr>
              <w:spacing w:before="0"/>
              <w:jc w:val="right"/>
              <w:rPr>
                <w:color w:val="FFFFFF"/>
                <w:sz w:val="26"/>
                <w:szCs w:val="26"/>
              </w:rPr>
            </w:pPr>
          </w:p>
        </w:tc>
      </w:tr>
      <w:tr w:rsidR="00036F4F" w:rsidRPr="00E506D0" w14:paraId="4766EAF2" w14:textId="77777777" w:rsidTr="00F4329D">
        <w:trPr>
          <w:gridBefore w:val="1"/>
          <w:wBefore w:w="8" w:type="dxa"/>
          <w:cantSplit/>
          <w:jc w:val="center"/>
        </w:trPr>
        <w:tc>
          <w:tcPr>
            <w:tcW w:w="1977" w:type="dxa"/>
            <w:gridSpan w:val="3"/>
          </w:tcPr>
          <w:p w14:paraId="491BDEB1" w14:textId="77777777" w:rsidR="00036F4F" w:rsidRPr="00E506D0" w:rsidRDefault="00036F4F" w:rsidP="00FF7B12">
            <w:pPr>
              <w:tabs>
                <w:tab w:val="left" w:pos="4111"/>
              </w:tabs>
              <w:spacing w:before="10"/>
              <w:ind w:left="57"/>
              <w:rPr>
                <w:rFonts w:cstheme="minorHAnsi"/>
                <w:sz w:val="22"/>
                <w:szCs w:val="22"/>
              </w:rPr>
            </w:pPr>
          </w:p>
        </w:tc>
        <w:tc>
          <w:tcPr>
            <w:tcW w:w="2835" w:type="dxa"/>
          </w:tcPr>
          <w:p w14:paraId="4D3B155A" w14:textId="77777777" w:rsidR="00036F4F" w:rsidRPr="00E506D0" w:rsidRDefault="00036F4F" w:rsidP="00FF7B12">
            <w:pPr>
              <w:tabs>
                <w:tab w:val="left" w:pos="4111"/>
              </w:tabs>
              <w:spacing w:before="10"/>
              <w:ind w:left="57"/>
              <w:rPr>
                <w:rFonts w:cstheme="minorHAnsi"/>
                <w:b/>
                <w:sz w:val="22"/>
                <w:szCs w:val="22"/>
              </w:rPr>
            </w:pPr>
          </w:p>
        </w:tc>
        <w:tc>
          <w:tcPr>
            <w:tcW w:w="5111" w:type="dxa"/>
            <w:gridSpan w:val="3"/>
          </w:tcPr>
          <w:p w14:paraId="6EAEEA7F" w14:textId="6B011EB0" w:rsidR="00036F4F" w:rsidRPr="00E506D0" w:rsidRDefault="00036F4F" w:rsidP="00FF7B12">
            <w:pPr>
              <w:tabs>
                <w:tab w:val="clear" w:pos="794"/>
                <w:tab w:val="clear" w:pos="1191"/>
                <w:tab w:val="clear" w:pos="1588"/>
                <w:tab w:val="clear" w:pos="1985"/>
                <w:tab w:val="left" w:pos="284"/>
              </w:tabs>
              <w:spacing w:after="120"/>
              <w:ind w:left="284" w:hanging="227"/>
              <w:rPr>
                <w:rFonts w:cstheme="minorHAnsi"/>
                <w:sz w:val="22"/>
                <w:szCs w:val="22"/>
              </w:rPr>
            </w:pPr>
            <w:r w:rsidRPr="00E506D0">
              <w:rPr>
                <w:rFonts w:cstheme="minorHAnsi"/>
                <w:sz w:val="22"/>
                <w:szCs w:val="22"/>
              </w:rPr>
              <w:t>Genève, le</w:t>
            </w:r>
            <w:r w:rsidR="00035251" w:rsidRPr="00E506D0">
              <w:rPr>
                <w:rFonts w:cstheme="minorHAnsi"/>
                <w:sz w:val="22"/>
                <w:szCs w:val="22"/>
              </w:rPr>
              <w:t xml:space="preserve"> </w:t>
            </w:r>
            <w:r w:rsidR="00513DC5" w:rsidRPr="00E506D0">
              <w:rPr>
                <w:rFonts w:cstheme="minorHAnsi"/>
                <w:sz w:val="22"/>
                <w:szCs w:val="22"/>
              </w:rPr>
              <w:t>16</w:t>
            </w:r>
            <w:r w:rsidR="00386BFF" w:rsidRPr="00E506D0">
              <w:rPr>
                <w:rFonts w:cstheme="minorHAnsi"/>
                <w:sz w:val="22"/>
                <w:szCs w:val="22"/>
              </w:rPr>
              <w:t> </w:t>
            </w:r>
            <w:r w:rsidR="00513DC5" w:rsidRPr="00E506D0">
              <w:rPr>
                <w:rFonts w:cstheme="minorHAnsi"/>
                <w:sz w:val="22"/>
                <w:szCs w:val="22"/>
              </w:rPr>
              <w:t>février</w:t>
            </w:r>
            <w:r w:rsidR="00386BFF" w:rsidRPr="00E506D0">
              <w:rPr>
                <w:rFonts w:cstheme="minorHAnsi"/>
                <w:sz w:val="22"/>
                <w:szCs w:val="22"/>
              </w:rPr>
              <w:t> </w:t>
            </w:r>
            <w:r w:rsidR="00513DC5" w:rsidRPr="00E506D0">
              <w:rPr>
                <w:rFonts w:cstheme="minorHAnsi"/>
                <w:sz w:val="22"/>
                <w:szCs w:val="22"/>
              </w:rPr>
              <w:t>2022</w:t>
            </w:r>
          </w:p>
        </w:tc>
      </w:tr>
      <w:tr w:rsidR="00036F4F" w:rsidRPr="00E506D0" w14:paraId="416CD8C3" w14:textId="77777777" w:rsidTr="00F4329D">
        <w:trPr>
          <w:gridBefore w:val="1"/>
          <w:wBefore w:w="8" w:type="dxa"/>
          <w:cantSplit/>
          <w:trHeight w:val="340"/>
          <w:jc w:val="center"/>
        </w:trPr>
        <w:tc>
          <w:tcPr>
            <w:tcW w:w="985" w:type="dxa"/>
          </w:tcPr>
          <w:p w14:paraId="52501377" w14:textId="77777777" w:rsidR="00036F4F" w:rsidRPr="00E506D0" w:rsidRDefault="00036F4F" w:rsidP="00FF7B12">
            <w:pPr>
              <w:tabs>
                <w:tab w:val="left" w:pos="4111"/>
              </w:tabs>
              <w:spacing w:before="10"/>
              <w:ind w:left="57"/>
              <w:rPr>
                <w:rFonts w:cstheme="minorHAnsi"/>
                <w:b/>
                <w:bCs/>
                <w:sz w:val="22"/>
                <w:szCs w:val="22"/>
              </w:rPr>
            </w:pPr>
            <w:proofErr w:type="gramStart"/>
            <w:r w:rsidRPr="00E506D0">
              <w:rPr>
                <w:rFonts w:cstheme="minorHAnsi"/>
                <w:b/>
                <w:bCs/>
                <w:sz w:val="22"/>
                <w:szCs w:val="22"/>
              </w:rPr>
              <w:t>Réf.:</w:t>
            </w:r>
            <w:proofErr w:type="gramEnd"/>
          </w:p>
          <w:p w14:paraId="650795FE" w14:textId="77777777" w:rsidR="00036F4F" w:rsidRPr="00E506D0" w:rsidRDefault="00036F4F" w:rsidP="00FF7B12">
            <w:pPr>
              <w:tabs>
                <w:tab w:val="left" w:pos="4111"/>
              </w:tabs>
              <w:spacing w:before="10"/>
              <w:ind w:left="57"/>
              <w:rPr>
                <w:rFonts w:cstheme="minorHAnsi"/>
                <w:b/>
                <w:bCs/>
                <w:sz w:val="22"/>
                <w:szCs w:val="22"/>
              </w:rPr>
            </w:pPr>
          </w:p>
        </w:tc>
        <w:tc>
          <w:tcPr>
            <w:tcW w:w="3827" w:type="dxa"/>
            <w:gridSpan w:val="3"/>
          </w:tcPr>
          <w:p w14:paraId="25BC411E" w14:textId="7545E629" w:rsidR="00036F4F" w:rsidRPr="00E506D0" w:rsidRDefault="00036F4F" w:rsidP="00FF7B12">
            <w:pPr>
              <w:tabs>
                <w:tab w:val="left" w:pos="4111"/>
              </w:tabs>
              <w:spacing w:before="10"/>
              <w:ind w:left="57"/>
              <w:rPr>
                <w:rFonts w:cstheme="minorHAnsi"/>
                <w:b/>
                <w:sz w:val="22"/>
                <w:szCs w:val="22"/>
              </w:rPr>
            </w:pPr>
            <w:r w:rsidRPr="00E506D0">
              <w:rPr>
                <w:rFonts w:cstheme="minorHAnsi"/>
                <w:b/>
                <w:sz w:val="22"/>
                <w:szCs w:val="22"/>
              </w:rPr>
              <w:t>Circulaire TSB</w:t>
            </w:r>
            <w:r w:rsidR="00386BFF" w:rsidRPr="00E506D0">
              <w:rPr>
                <w:rFonts w:cstheme="minorHAnsi"/>
                <w:b/>
                <w:sz w:val="22"/>
                <w:szCs w:val="22"/>
              </w:rPr>
              <w:t> </w:t>
            </w:r>
            <w:r w:rsidR="00513DC5" w:rsidRPr="00E506D0">
              <w:rPr>
                <w:rFonts w:cstheme="minorHAnsi"/>
                <w:b/>
                <w:sz w:val="22"/>
                <w:szCs w:val="22"/>
              </w:rPr>
              <w:t>379</w:t>
            </w:r>
          </w:p>
        </w:tc>
        <w:tc>
          <w:tcPr>
            <w:tcW w:w="5111" w:type="dxa"/>
            <w:gridSpan w:val="3"/>
            <w:vMerge w:val="restart"/>
          </w:tcPr>
          <w:p w14:paraId="6AD7586A" w14:textId="77777777" w:rsidR="00035251" w:rsidRPr="00E506D0" w:rsidRDefault="00035251" w:rsidP="00FF7B12">
            <w:pPr>
              <w:tabs>
                <w:tab w:val="clear" w:pos="794"/>
                <w:tab w:val="clear" w:pos="1191"/>
                <w:tab w:val="clear" w:pos="1588"/>
                <w:tab w:val="clear" w:pos="1985"/>
                <w:tab w:val="left" w:pos="284"/>
              </w:tabs>
              <w:spacing w:before="0"/>
              <w:ind w:left="284" w:hanging="227"/>
              <w:rPr>
                <w:rFonts w:cstheme="minorHAnsi"/>
                <w:sz w:val="22"/>
                <w:szCs w:val="22"/>
              </w:rPr>
            </w:pPr>
            <w:bookmarkStart w:id="0" w:name="Addressee_F"/>
            <w:bookmarkEnd w:id="0"/>
            <w:r w:rsidRPr="00E506D0">
              <w:rPr>
                <w:rFonts w:cstheme="minorHAnsi"/>
                <w:sz w:val="22"/>
                <w:szCs w:val="22"/>
              </w:rPr>
              <w:t>-</w:t>
            </w:r>
            <w:r w:rsidRPr="00E506D0">
              <w:rPr>
                <w:rFonts w:cstheme="minorHAnsi"/>
                <w:sz w:val="22"/>
                <w:szCs w:val="22"/>
              </w:rPr>
              <w:tab/>
              <w:t xml:space="preserve">Aux Administrations des États Membres de </w:t>
            </w:r>
            <w:proofErr w:type="gramStart"/>
            <w:r w:rsidRPr="00E506D0">
              <w:rPr>
                <w:rFonts w:cstheme="minorHAnsi"/>
                <w:sz w:val="22"/>
                <w:szCs w:val="22"/>
              </w:rPr>
              <w:t>l'Union;</w:t>
            </w:r>
            <w:proofErr w:type="gramEnd"/>
          </w:p>
          <w:p w14:paraId="6267C62E" w14:textId="47A288E6" w:rsidR="00035251" w:rsidRPr="00E506D0" w:rsidRDefault="00035251" w:rsidP="00FF7B12">
            <w:pPr>
              <w:tabs>
                <w:tab w:val="clear" w:pos="794"/>
                <w:tab w:val="clear" w:pos="1191"/>
                <w:tab w:val="clear" w:pos="1588"/>
                <w:tab w:val="clear" w:pos="1985"/>
                <w:tab w:val="left" w:pos="284"/>
              </w:tabs>
              <w:spacing w:before="0"/>
              <w:ind w:left="284" w:hanging="227"/>
              <w:rPr>
                <w:rFonts w:cstheme="minorHAnsi"/>
                <w:sz w:val="22"/>
                <w:szCs w:val="22"/>
              </w:rPr>
            </w:pPr>
            <w:r w:rsidRPr="00E506D0">
              <w:rPr>
                <w:rFonts w:cstheme="minorHAnsi"/>
                <w:sz w:val="22"/>
                <w:szCs w:val="22"/>
              </w:rPr>
              <w:t>-</w:t>
            </w:r>
            <w:r w:rsidRPr="00E506D0">
              <w:rPr>
                <w:rFonts w:cstheme="minorHAnsi"/>
                <w:sz w:val="22"/>
                <w:szCs w:val="22"/>
              </w:rPr>
              <w:tab/>
              <w:t xml:space="preserve">aux Membres du Secteur </w:t>
            </w:r>
            <w:r w:rsidR="00FD7D3F" w:rsidRPr="00E506D0">
              <w:rPr>
                <w:rFonts w:cstheme="minorHAnsi"/>
                <w:sz w:val="22"/>
                <w:szCs w:val="22"/>
              </w:rPr>
              <w:t>de l'</w:t>
            </w:r>
            <w:r w:rsidRPr="00E506D0">
              <w:rPr>
                <w:rFonts w:cstheme="minorHAnsi"/>
                <w:sz w:val="22"/>
                <w:szCs w:val="22"/>
              </w:rPr>
              <w:t>UIT-</w:t>
            </w:r>
            <w:proofErr w:type="gramStart"/>
            <w:r w:rsidRPr="00E506D0">
              <w:rPr>
                <w:rFonts w:cstheme="minorHAnsi"/>
                <w:sz w:val="22"/>
                <w:szCs w:val="22"/>
              </w:rPr>
              <w:t>T;</w:t>
            </w:r>
            <w:proofErr w:type="gramEnd"/>
          </w:p>
          <w:p w14:paraId="422AAD4D" w14:textId="77777777" w:rsidR="00035251" w:rsidRPr="00E506D0" w:rsidRDefault="00035251" w:rsidP="00FF7B12">
            <w:pPr>
              <w:tabs>
                <w:tab w:val="clear" w:pos="794"/>
                <w:tab w:val="clear" w:pos="1191"/>
                <w:tab w:val="clear" w:pos="1588"/>
                <w:tab w:val="clear" w:pos="1985"/>
                <w:tab w:val="left" w:pos="284"/>
              </w:tabs>
              <w:spacing w:before="0"/>
              <w:ind w:left="284" w:hanging="227"/>
              <w:rPr>
                <w:rFonts w:cstheme="minorHAnsi"/>
                <w:sz w:val="22"/>
                <w:szCs w:val="22"/>
              </w:rPr>
            </w:pPr>
            <w:r w:rsidRPr="00E506D0">
              <w:rPr>
                <w:rFonts w:cstheme="minorHAnsi"/>
                <w:sz w:val="22"/>
                <w:szCs w:val="22"/>
              </w:rPr>
              <w:t>-</w:t>
            </w:r>
            <w:r w:rsidRPr="00E506D0">
              <w:rPr>
                <w:rFonts w:cstheme="minorHAnsi"/>
                <w:sz w:val="22"/>
                <w:szCs w:val="22"/>
              </w:rPr>
              <w:tab/>
              <w:t>aux Associés de l'UIT-</w:t>
            </w:r>
            <w:proofErr w:type="gramStart"/>
            <w:r w:rsidRPr="00E506D0">
              <w:rPr>
                <w:rFonts w:cstheme="minorHAnsi"/>
                <w:sz w:val="22"/>
                <w:szCs w:val="22"/>
              </w:rPr>
              <w:t>T;</w:t>
            </w:r>
            <w:proofErr w:type="gramEnd"/>
          </w:p>
          <w:p w14:paraId="1D863A07" w14:textId="1A58CFA2" w:rsidR="00036F4F" w:rsidRPr="00E506D0" w:rsidRDefault="00035251" w:rsidP="00FF7B12">
            <w:pPr>
              <w:tabs>
                <w:tab w:val="clear" w:pos="794"/>
                <w:tab w:val="clear" w:pos="1191"/>
                <w:tab w:val="clear" w:pos="1588"/>
                <w:tab w:val="clear" w:pos="1985"/>
                <w:tab w:val="left" w:pos="284"/>
              </w:tabs>
              <w:spacing w:before="0"/>
              <w:ind w:left="284" w:hanging="227"/>
              <w:rPr>
                <w:rFonts w:cstheme="minorHAnsi"/>
                <w:sz w:val="22"/>
                <w:szCs w:val="22"/>
              </w:rPr>
            </w:pPr>
            <w:r w:rsidRPr="00E506D0">
              <w:rPr>
                <w:rFonts w:cstheme="minorHAnsi"/>
                <w:sz w:val="22"/>
                <w:szCs w:val="22"/>
              </w:rPr>
              <w:t>-</w:t>
            </w:r>
            <w:r w:rsidRPr="00E506D0">
              <w:rPr>
                <w:rFonts w:cstheme="minorHAnsi"/>
                <w:sz w:val="22"/>
                <w:szCs w:val="22"/>
              </w:rPr>
              <w:tab/>
              <w:t>aux établissements universitaires participant aux travaux de l'UIT</w:t>
            </w:r>
          </w:p>
        </w:tc>
      </w:tr>
      <w:tr w:rsidR="00035251" w:rsidRPr="00E506D0" w14:paraId="62577EFD" w14:textId="77777777" w:rsidTr="00F4329D">
        <w:trPr>
          <w:gridBefore w:val="1"/>
          <w:wBefore w:w="8" w:type="dxa"/>
          <w:cantSplit/>
          <w:jc w:val="center"/>
        </w:trPr>
        <w:tc>
          <w:tcPr>
            <w:tcW w:w="985" w:type="dxa"/>
          </w:tcPr>
          <w:p w14:paraId="07C48FDA" w14:textId="77777777" w:rsidR="00035251" w:rsidRPr="00E506D0" w:rsidRDefault="00035251" w:rsidP="00FF7B12">
            <w:pPr>
              <w:tabs>
                <w:tab w:val="left" w:pos="4111"/>
              </w:tabs>
              <w:spacing w:before="10"/>
              <w:ind w:left="57"/>
              <w:rPr>
                <w:rFonts w:cstheme="minorHAnsi"/>
                <w:b/>
                <w:bCs/>
                <w:sz w:val="22"/>
                <w:szCs w:val="22"/>
              </w:rPr>
            </w:pPr>
            <w:proofErr w:type="gramStart"/>
            <w:r w:rsidRPr="00E506D0">
              <w:rPr>
                <w:rFonts w:cstheme="minorHAnsi"/>
                <w:b/>
                <w:bCs/>
                <w:sz w:val="22"/>
                <w:szCs w:val="22"/>
              </w:rPr>
              <w:t>Tél.:</w:t>
            </w:r>
            <w:proofErr w:type="gramEnd"/>
          </w:p>
        </w:tc>
        <w:tc>
          <w:tcPr>
            <w:tcW w:w="3827" w:type="dxa"/>
            <w:gridSpan w:val="3"/>
          </w:tcPr>
          <w:p w14:paraId="1ACF5DF6" w14:textId="60026C71" w:rsidR="00035251" w:rsidRPr="00E506D0" w:rsidRDefault="00035251" w:rsidP="00FF7B12">
            <w:pPr>
              <w:tabs>
                <w:tab w:val="left" w:pos="4111"/>
              </w:tabs>
              <w:spacing w:before="0"/>
              <w:ind w:left="57"/>
              <w:rPr>
                <w:rFonts w:cstheme="minorHAnsi"/>
                <w:sz w:val="22"/>
                <w:szCs w:val="22"/>
              </w:rPr>
            </w:pPr>
            <w:r w:rsidRPr="00E506D0">
              <w:rPr>
                <w:rFonts w:cstheme="minorHAnsi"/>
                <w:sz w:val="22"/>
                <w:szCs w:val="22"/>
              </w:rPr>
              <w:t>+41 22 730 6301</w:t>
            </w:r>
          </w:p>
        </w:tc>
        <w:tc>
          <w:tcPr>
            <w:tcW w:w="5111" w:type="dxa"/>
            <w:gridSpan w:val="3"/>
            <w:vMerge/>
          </w:tcPr>
          <w:p w14:paraId="20546FF3" w14:textId="77777777" w:rsidR="00035251" w:rsidRPr="00E506D0" w:rsidRDefault="00035251" w:rsidP="00FF7B12">
            <w:pPr>
              <w:tabs>
                <w:tab w:val="left" w:pos="4111"/>
              </w:tabs>
              <w:spacing w:before="0"/>
              <w:rPr>
                <w:rFonts w:cstheme="minorHAnsi"/>
                <w:b/>
                <w:sz w:val="22"/>
                <w:szCs w:val="22"/>
              </w:rPr>
            </w:pPr>
          </w:p>
        </w:tc>
      </w:tr>
      <w:tr w:rsidR="00035251" w:rsidRPr="00E506D0" w14:paraId="1414DB60" w14:textId="77777777" w:rsidTr="00F4329D">
        <w:trPr>
          <w:gridBefore w:val="1"/>
          <w:wBefore w:w="8" w:type="dxa"/>
          <w:cantSplit/>
          <w:jc w:val="center"/>
        </w:trPr>
        <w:tc>
          <w:tcPr>
            <w:tcW w:w="985" w:type="dxa"/>
          </w:tcPr>
          <w:p w14:paraId="51AF9536" w14:textId="516D1C65" w:rsidR="00035251" w:rsidRPr="00E506D0" w:rsidRDefault="009F7FDB" w:rsidP="00FF7B12">
            <w:pPr>
              <w:tabs>
                <w:tab w:val="left" w:pos="4111"/>
              </w:tabs>
              <w:spacing w:before="10"/>
              <w:ind w:left="57"/>
              <w:rPr>
                <w:rFonts w:cstheme="minorHAnsi"/>
                <w:b/>
                <w:bCs/>
                <w:sz w:val="22"/>
                <w:szCs w:val="22"/>
              </w:rPr>
            </w:pPr>
            <w:proofErr w:type="gramStart"/>
            <w:r w:rsidRPr="00E506D0">
              <w:rPr>
                <w:rFonts w:cstheme="minorHAnsi"/>
                <w:b/>
                <w:bCs/>
                <w:sz w:val="22"/>
                <w:szCs w:val="22"/>
              </w:rPr>
              <w:t>Fax</w:t>
            </w:r>
            <w:r w:rsidR="00035251" w:rsidRPr="00E506D0">
              <w:rPr>
                <w:rFonts w:cstheme="minorHAnsi"/>
                <w:b/>
                <w:bCs/>
                <w:sz w:val="22"/>
                <w:szCs w:val="22"/>
              </w:rPr>
              <w:t>:</w:t>
            </w:r>
            <w:proofErr w:type="gramEnd"/>
          </w:p>
        </w:tc>
        <w:tc>
          <w:tcPr>
            <w:tcW w:w="3827" w:type="dxa"/>
            <w:gridSpan w:val="3"/>
          </w:tcPr>
          <w:p w14:paraId="57FC28A2" w14:textId="20702F35" w:rsidR="00035251" w:rsidRPr="00E506D0" w:rsidRDefault="00035251" w:rsidP="00FF7B12">
            <w:pPr>
              <w:tabs>
                <w:tab w:val="left" w:pos="4111"/>
              </w:tabs>
              <w:spacing w:before="0"/>
              <w:ind w:left="57"/>
              <w:rPr>
                <w:rFonts w:cstheme="minorHAnsi"/>
                <w:sz w:val="22"/>
                <w:szCs w:val="22"/>
              </w:rPr>
            </w:pPr>
            <w:r w:rsidRPr="00E506D0">
              <w:rPr>
                <w:rFonts w:cstheme="minorHAnsi"/>
                <w:sz w:val="22"/>
                <w:szCs w:val="22"/>
              </w:rPr>
              <w:t>+41 22 730 5853</w:t>
            </w:r>
          </w:p>
        </w:tc>
        <w:tc>
          <w:tcPr>
            <w:tcW w:w="5111" w:type="dxa"/>
            <w:gridSpan w:val="3"/>
            <w:vMerge/>
          </w:tcPr>
          <w:p w14:paraId="7FAFBDE4" w14:textId="77777777" w:rsidR="00035251" w:rsidRPr="00E506D0" w:rsidRDefault="00035251" w:rsidP="00FF7B12">
            <w:pPr>
              <w:tabs>
                <w:tab w:val="left" w:pos="4111"/>
              </w:tabs>
              <w:spacing w:before="0"/>
              <w:rPr>
                <w:rFonts w:cstheme="minorHAnsi"/>
                <w:b/>
                <w:sz w:val="22"/>
                <w:szCs w:val="22"/>
              </w:rPr>
            </w:pPr>
          </w:p>
        </w:tc>
      </w:tr>
      <w:tr w:rsidR="00035251" w:rsidRPr="00E506D0" w14:paraId="0EFF0309" w14:textId="77777777" w:rsidTr="00F4329D">
        <w:trPr>
          <w:gridBefore w:val="1"/>
          <w:wBefore w:w="8" w:type="dxa"/>
          <w:cantSplit/>
          <w:jc w:val="center"/>
        </w:trPr>
        <w:tc>
          <w:tcPr>
            <w:tcW w:w="985" w:type="dxa"/>
          </w:tcPr>
          <w:p w14:paraId="7F30BBFA" w14:textId="5418391E" w:rsidR="00035251" w:rsidRPr="00E506D0" w:rsidRDefault="00035251" w:rsidP="00FF7B12">
            <w:pPr>
              <w:tabs>
                <w:tab w:val="left" w:pos="4111"/>
              </w:tabs>
              <w:spacing w:before="10"/>
              <w:ind w:left="57"/>
              <w:rPr>
                <w:rFonts w:cstheme="minorHAnsi"/>
                <w:b/>
                <w:bCs/>
                <w:sz w:val="22"/>
                <w:szCs w:val="22"/>
              </w:rPr>
            </w:pPr>
            <w:proofErr w:type="gramStart"/>
            <w:r w:rsidRPr="00E506D0">
              <w:rPr>
                <w:rFonts w:cstheme="minorHAnsi"/>
                <w:b/>
                <w:bCs/>
                <w:sz w:val="22"/>
                <w:szCs w:val="22"/>
              </w:rPr>
              <w:t>Courriel:</w:t>
            </w:r>
            <w:proofErr w:type="gramEnd"/>
          </w:p>
        </w:tc>
        <w:tc>
          <w:tcPr>
            <w:tcW w:w="3827" w:type="dxa"/>
            <w:gridSpan w:val="3"/>
          </w:tcPr>
          <w:p w14:paraId="0BA85850" w14:textId="63099614" w:rsidR="00035251" w:rsidRPr="00E506D0" w:rsidRDefault="005430ED" w:rsidP="00FF7B12">
            <w:pPr>
              <w:tabs>
                <w:tab w:val="left" w:pos="4111"/>
              </w:tabs>
              <w:spacing w:before="0"/>
              <w:ind w:left="57"/>
              <w:rPr>
                <w:rFonts w:cstheme="minorHAnsi"/>
                <w:sz w:val="22"/>
                <w:szCs w:val="22"/>
              </w:rPr>
            </w:pPr>
            <w:hyperlink r:id="rId9" w:history="1">
              <w:r w:rsidR="00035251" w:rsidRPr="00E506D0">
                <w:rPr>
                  <w:rStyle w:val="Hyperlink"/>
                  <w:rFonts w:cstheme="minorHAnsi"/>
                  <w:sz w:val="22"/>
                  <w:szCs w:val="22"/>
                </w:rPr>
                <w:t>u4ssc@itu.int</w:t>
              </w:r>
            </w:hyperlink>
          </w:p>
        </w:tc>
        <w:tc>
          <w:tcPr>
            <w:tcW w:w="5111" w:type="dxa"/>
            <w:gridSpan w:val="3"/>
          </w:tcPr>
          <w:p w14:paraId="5450BD84" w14:textId="77777777" w:rsidR="00035251" w:rsidRPr="00E506D0" w:rsidRDefault="00035251" w:rsidP="00FF7B12">
            <w:pPr>
              <w:tabs>
                <w:tab w:val="left" w:pos="4111"/>
              </w:tabs>
              <w:spacing w:before="0"/>
              <w:rPr>
                <w:rFonts w:cstheme="minorHAnsi"/>
                <w:sz w:val="22"/>
                <w:szCs w:val="22"/>
              </w:rPr>
            </w:pPr>
            <w:proofErr w:type="gramStart"/>
            <w:r w:rsidRPr="00E506D0">
              <w:rPr>
                <w:rFonts w:cstheme="minorHAnsi"/>
                <w:b/>
                <w:sz w:val="22"/>
                <w:szCs w:val="22"/>
              </w:rPr>
              <w:t>Copie</w:t>
            </w:r>
            <w:r w:rsidRPr="00E506D0">
              <w:rPr>
                <w:rFonts w:cstheme="minorHAnsi"/>
                <w:sz w:val="22"/>
                <w:szCs w:val="22"/>
              </w:rPr>
              <w:t>:</w:t>
            </w:r>
            <w:proofErr w:type="gramEnd"/>
          </w:p>
          <w:p w14:paraId="43675555" w14:textId="57557C97" w:rsidR="00035251" w:rsidRPr="00E506D0" w:rsidRDefault="00035251" w:rsidP="00FF7B12">
            <w:pPr>
              <w:tabs>
                <w:tab w:val="clear" w:pos="794"/>
                <w:tab w:val="left" w:pos="226"/>
                <w:tab w:val="left" w:pos="4111"/>
              </w:tabs>
              <w:spacing w:before="0"/>
              <w:ind w:left="226" w:hanging="226"/>
              <w:rPr>
                <w:rFonts w:cstheme="minorHAnsi"/>
                <w:sz w:val="22"/>
                <w:szCs w:val="22"/>
              </w:rPr>
            </w:pPr>
            <w:r w:rsidRPr="00E506D0">
              <w:rPr>
                <w:rFonts w:cstheme="minorHAnsi"/>
                <w:sz w:val="22"/>
                <w:szCs w:val="22"/>
              </w:rPr>
              <w:t>-</w:t>
            </w:r>
            <w:r w:rsidRPr="00E506D0">
              <w:rPr>
                <w:rFonts w:cstheme="minorHAnsi"/>
                <w:sz w:val="22"/>
                <w:szCs w:val="22"/>
              </w:rPr>
              <w:tab/>
              <w:t xml:space="preserve">Aux Présidents et Vice-Présidents des </w:t>
            </w:r>
            <w:r w:rsidR="008007B8" w:rsidRPr="00E506D0">
              <w:rPr>
                <w:rFonts w:cstheme="minorHAnsi"/>
                <w:sz w:val="22"/>
                <w:szCs w:val="22"/>
              </w:rPr>
              <w:t xml:space="preserve">commissions </w:t>
            </w:r>
            <w:proofErr w:type="gramStart"/>
            <w:r w:rsidRPr="00E506D0">
              <w:rPr>
                <w:rFonts w:cstheme="minorHAnsi"/>
                <w:sz w:val="22"/>
                <w:szCs w:val="22"/>
              </w:rPr>
              <w:t>d'études;</w:t>
            </w:r>
            <w:proofErr w:type="gramEnd"/>
          </w:p>
          <w:p w14:paraId="6E416B21" w14:textId="77777777" w:rsidR="00035251" w:rsidRPr="00E506D0" w:rsidRDefault="00035251" w:rsidP="00FF7B12">
            <w:pPr>
              <w:tabs>
                <w:tab w:val="clear" w:pos="794"/>
                <w:tab w:val="left" w:pos="226"/>
                <w:tab w:val="left" w:pos="4111"/>
              </w:tabs>
              <w:spacing w:before="0"/>
              <w:ind w:left="226" w:hanging="226"/>
              <w:rPr>
                <w:rFonts w:cstheme="minorHAnsi"/>
                <w:sz w:val="22"/>
                <w:szCs w:val="22"/>
              </w:rPr>
            </w:pPr>
            <w:r w:rsidRPr="00E506D0">
              <w:rPr>
                <w:rFonts w:cstheme="minorHAnsi"/>
                <w:sz w:val="22"/>
                <w:szCs w:val="22"/>
              </w:rPr>
              <w:t>-</w:t>
            </w:r>
            <w:r w:rsidRPr="00E506D0">
              <w:rPr>
                <w:rFonts w:cstheme="minorHAnsi"/>
                <w:sz w:val="22"/>
                <w:szCs w:val="22"/>
              </w:rPr>
              <w:tab/>
              <w:t>à la Directrice du Bureau de développement des </w:t>
            </w:r>
            <w:proofErr w:type="gramStart"/>
            <w:r w:rsidRPr="00E506D0">
              <w:rPr>
                <w:rFonts w:cstheme="minorHAnsi"/>
                <w:sz w:val="22"/>
                <w:szCs w:val="22"/>
              </w:rPr>
              <w:t>télécommunications;</w:t>
            </w:r>
            <w:proofErr w:type="gramEnd"/>
          </w:p>
          <w:p w14:paraId="170AA8EB" w14:textId="280A1860" w:rsidR="00194872" w:rsidRPr="00E506D0" w:rsidRDefault="00035251" w:rsidP="00FF7B12">
            <w:pPr>
              <w:tabs>
                <w:tab w:val="clear" w:pos="794"/>
                <w:tab w:val="left" w:pos="226"/>
                <w:tab w:val="left" w:pos="4111"/>
              </w:tabs>
              <w:spacing w:before="0" w:after="120"/>
              <w:ind w:left="226" w:hanging="226"/>
              <w:rPr>
                <w:rFonts w:cstheme="minorHAnsi"/>
                <w:sz w:val="22"/>
                <w:szCs w:val="22"/>
              </w:rPr>
            </w:pPr>
            <w:r w:rsidRPr="00E506D0">
              <w:rPr>
                <w:rFonts w:cstheme="minorHAnsi"/>
                <w:sz w:val="22"/>
                <w:szCs w:val="22"/>
              </w:rPr>
              <w:t>-</w:t>
            </w:r>
            <w:r w:rsidRPr="00E506D0">
              <w:rPr>
                <w:rFonts w:cstheme="minorHAnsi"/>
                <w:sz w:val="22"/>
                <w:szCs w:val="22"/>
              </w:rPr>
              <w:tab/>
              <w:t>au Directeur du Bureau des radiocommunications</w:t>
            </w:r>
          </w:p>
        </w:tc>
      </w:tr>
      <w:tr w:rsidR="00517A03" w:rsidRPr="00E506D0" w14:paraId="6C202DA2" w14:textId="77777777" w:rsidTr="00F4329D">
        <w:trPr>
          <w:gridBefore w:val="1"/>
          <w:gridAfter w:val="1"/>
          <w:wBefore w:w="8" w:type="dxa"/>
          <w:wAfter w:w="8" w:type="dxa"/>
          <w:cantSplit/>
          <w:trHeight w:val="680"/>
          <w:jc w:val="center"/>
        </w:trPr>
        <w:tc>
          <w:tcPr>
            <w:tcW w:w="985" w:type="dxa"/>
          </w:tcPr>
          <w:p w14:paraId="68242491" w14:textId="77777777" w:rsidR="00517A03" w:rsidRPr="00E506D0" w:rsidRDefault="00517A03" w:rsidP="00F4329D">
            <w:pPr>
              <w:tabs>
                <w:tab w:val="left" w:pos="4111"/>
              </w:tabs>
              <w:ind w:left="57"/>
              <w:rPr>
                <w:rFonts w:cstheme="minorHAnsi"/>
                <w:b/>
                <w:bCs/>
                <w:sz w:val="22"/>
                <w:szCs w:val="22"/>
              </w:rPr>
            </w:pPr>
            <w:proofErr w:type="gramStart"/>
            <w:r w:rsidRPr="00E506D0">
              <w:rPr>
                <w:rFonts w:cstheme="minorHAnsi"/>
                <w:b/>
                <w:bCs/>
                <w:sz w:val="22"/>
                <w:szCs w:val="22"/>
              </w:rPr>
              <w:t>Objet:</w:t>
            </w:r>
            <w:proofErr w:type="gramEnd"/>
          </w:p>
        </w:tc>
        <w:tc>
          <w:tcPr>
            <w:tcW w:w="8930" w:type="dxa"/>
            <w:gridSpan w:val="5"/>
          </w:tcPr>
          <w:p w14:paraId="4D9BC6A3" w14:textId="766BC3D8" w:rsidR="00517A03" w:rsidRPr="00E506D0" w:rsidRDefault="00035251" w:rsidP="00F4329D">
            <w:pPr>
              <w:tabs>
                <w:tab w:val="left" w:pos="4111"/>
              </w:tabs>
              <w:ind w:left="57"/>
              <w:rPr>
                <w:rFonts w:cstheme="minorHAnsi"/>
                <w:b/>
                <w:bCs/>
                <w:sz w:val="22"/>
                <w:szCs w:val="22"/>
              </w:rPr>
            </w:pPr>
            <w:r w:rsidRPr="00E506D0">
              <w:rPr>
                <w:rFonts w:cstheme="minorHAnsi"/>
                <w:b/>
                <w:bCs/>
                <w:sz w:val="22"/>
                <w:szCs w:val="22"/>
              </w:rPr>
              <w:t>Série de webinaires sur la transformation numérique des villes et des communautés</w:t>
            </w:r>
            <w:r w:rsidRPr="00E506D0">
              <w:rPr>
                <w:rFonts w:cstheme="minorHAnsi"/>
                <w:b/>
                <w:bCs/>
                <w:sz w:val="22"/>
                <w:szCs w:val="22"/>
              </w:rPr>
              <w:br/>
              <w:t>(</w:t>
            </w:r>
            <w:r w:rsidR="004B63FA" w:rsidRPr="00E506D0">
              <w:rPr>
                <w:rFonts w:cstheme="minorHAnsi"/>
                <w:b/>
                <w:bCs/>
                <w:sz w:val="22"/>
                <w:szCs w:val="22"/>
              </w:rPr>
              <w:t>n</w:t>
            </w:r>
            <w:r w:rsidR="00B46DD8" w:rsidRPr="00E506D0">
              <w:rPr>
                <w:rFonts w:cstheme="minorHAnsi"/>
                <w:b/>
                <w:bCs/>
                <w:sz w:val="22"/>
                <w:szCs w:val="22"/>
              </w:rPr>
              <w:t xml:space="preserve">ouvel </w:t>
            </w:r>
            <w:proofErr w:type="gramStart"/>
            <w:r w:rsidR="00B46DD8" w:rsidRPr="00E506D0">
              <w:rPr>
                <w:rFonts w:cstheme="minorHAnsi"/>
                <w:b/>
                <w:bCs/>
                <w:sz w:val="22"/>
                <w:szCs w:val="22"/>
              </w:rPr>
              <w:t>épisode</w:t>
            </w:r>
            <w:r w:rsidRPr="00E506D0">
              <w:rPr>
                <w:rFonts w:cstheme="minorHAnsi"/>
                <w:b/>
                <w:bCs/>
                <w:sz w:val="22"/>
                <w:szCs w:val="22"/>
              </w:rPr>
              <w:t>:</w:t>
            </w:r>
            <w:proofErr w:type="gramEnd"/>
            <w:r w:rsidRPr="00E506D0">
              <w:rPr>
                <w:rFonts w:cstheme="minorHAnsi"/>
                <w:b/>
                <w:bCs/>
                <w:sz w:val="22"/>
                <w:szCs w:val="22"/>
              </w:rPr>
              <w:t xml:space="preserve"> </w:t>
            </w:r>
            <w:r w:rsidR="00513DC5" w:rsidRPr="00E506D0">
              <w:rPr>
                <w:rFonts w:cstheme="minorHAnsi"/>
                <w:b/>
                <w:bCs/>
                <w:sz w:val="22"/>
                <w:szCs w:val="22"/>
              </w:rPr>
              <w:t>accélérer la transformation numérique de l'agriculture au moyen de l'intelligence artificielle et de l'Internet des objets, 29</w:t>
            </w:r>
            <w:r w:rsidR="00386BFF" w:rsidRPr="00E506D0">
              <w:rPr>
                <w:rFonts w:cstheme="minorHAnsi"/>
                <w:b/>
                <w:bCs/>
                <w:sz w:val="22"/>
                <w:szCs w:val="22"/>
              </w:rPr>
              <w:t> </w:t>
            </w:r>
            <w:r w:rsidR="00513DC5" w:rsidRPr="00E506D0">
              <w:rPr>
                <w:rFonts w:cstheme="minorHAnsi"/>
                <w:b/>
                <w:bCs/>
                <w:sz w:val="22"/>
                <w:szCs w:val="22"/>
              </w:rPr>
              <w:t>mars</w:t>
            </w:r>
            <w:r w:rsidR="00386BFF" w:rsidRPr="00E506D0">
              <w:rPr>
                <w:rFonts w:cstheme="minorHAnsi"/>
                <w:b/>
                <w:bCs/>
                <w:sz w:val="22"/>
                <w:szCs w:val="22"/>
              </w:rPr>
              <w:t> </w:t>
            </w:r>
            <w:r w:rsidRPr="00E506D0">
              <w:rPr>
                <w:rFonts w:cstheme="minorHAnsi"/>
                <w:b/>
                <w:bCs/>
                <w:sz w:val="22"/>
                <w:szCs w:val="22"/>
              </w:rPr>
              <w:t>2022)</w:t>
            </w:r>
          </w:p>
        </w:tc>
      </w:tr>
    </w:tbl>
    <w:p w14:paraId="29839890" w14:textId="77777777" w:rsidR="00517A03" w:rsidRPr="00E506D0" w:rsidRDefault="00517A03" w:rsidP="00FF7B12">
      <w:pPr>
        <w:spacing w:before="240"/>
        <w:rPr>
          <w:rFonts w:cstheme="minorHAnsi"/>
          <w:sz w:val="22"/>
          <w:szCs w:val="22"/>
        </w:rPr>
      </w:pPr>
      <w:bookmarkStart w:id="1" w:name="StartTyping_F"/>
      <w:bookmarkEnd w:id="1"/>
      <w:r w:rsidRPr="00E506D0">
        <w:rPr>
          <w:rFonts w:cstheme="minorHAnsi"/>
          <w:sz w:val="22"/>
          <w:szCs w:val="22"/>
        </w:rPr>
        <w:t>Madame, Monsieur,</w:t>
      </w:r>
    </w:p>
    <w:p w14:paraId="1B76385C" w14:textId="1F451CCC" w:rsidR="00035251" w:rsidRPr="00E506D0" w:rsidRDefault="00035251" w:rsidP="00FF7B12">
      <w:pPr>
        <w:tabs>
          <w:tab w:val="left" w:pos="709"/>
        </w:tabs>
        <w:rPr>
          <w:rFonts w:cstheme="minorHAnsi"/>
          <w:sz w:val="22"/>
          <w:szCs w:val="22"/>
        </w:rPr>
      </w:pPr>
      <w:r w:rsidRPr="00E506D0">
        <w:rPr>
          <w:rFonts w:cstheme="minorHAnsi"/>
          <w:bCs/>
          <w:sz w:val="22"/>
          <w:szCs w:val="22"/>
        </w:rPr>
        <w:t>1</w:t>
      </w:r>
      <w:r w:rsidRPr="00E506D0">
        <w:rPr>
          <w:rFonts w:cstheme="minorHAnsi"/>
          <w:sz w:val="22"/>
          <w:szCs w:val="22"/>
        </w:rPr>
        <w:tab/>
      </w:r>
      <w:r w:rsidR="000F61C4" w:rsidRPr="00E506D0">
        <w:rPr>
          <w:rFonts w:cstheme="minorHAnsi"/>
          <w:sz w:val="22"/>
          <w:szCs w:val="22"/>
        </w:rPr>
        <w:t xml:space="preserve">J'ai l'honneur de vous informer que l'Union internationale des télécommunications (UIT) organise un nouvel épisode de la série de webinaires sur la </w:t>
      </w:r>
      <w:r w:rsidR="000F61C4" w:rsidRPr="00E506D0">
        <w:rPr>
          <w:rFonts w:cstheme="minorHAnsi"/>
          <w:b/>
          <w:sz w:val="22"/>
          <w:szCs w:val="22"/>
        </w:rPr>
        <w:t>transformation numérique des villes et des communautés</w:t>
      </w:r>
      <w:r w:rsidR="000F61C4" w:rsidRPr="00E506D0">
        <w:rPr>
          <w:rFonts w:cstheme="minorHAnsi"/>
          <w:sz w:val="22"/>
          <w:szCs w:val="22"/>
        </w:rPr>
        <w:t xml:space="preserve">, </w:t>
      </w:r>
      <w:r w:rsidR="008007B8" w:rsidRPr="00E506D0">
        <w:rPr>
          <w:rFonts w:cstheme="minorHAnsi"/>
          <w:sz w:val="22"/>
          <w:szCs w:val="22"/>
        </w:rPr>
        <w:t>qui vise à</w:t>
      </w:r>
      <w:r w:rsidR="00D8760C" w:rsidRPr="00E506D0">
        <w:rPr>
          <w:rFonts w:cstheme="minorHAnsi"/>
          <w:sz w:val="22"/>
          <w:szCs w:val="22"/>
        </w:rPr>
        <w:t xml:space="preserve"> </w:t>
      </w:r>
      <w:r w:rsidR="008007B8" w:rsidRPr="00E506D0">
        <w:rPr>
          <w:rFonts w:cstheme="minorHAnsi"/>
          <w:sz w:val="22"/>
          <w:szCs w:val="22"/>
        </w:rPr>
        <w:t xml:space="preserve">examiner </w:t>
      </w:r>
      <w:r w:rsidR="000F61C4" w:rsidRPr="00E506D0">
        <w:rPr>
          <w:rFonts w:cstheme="minorHAnsi"/>
          <w:sz w:val="22"/>
          <w:szCs w:val="22"/>
        </w:rPr>
        <w:t xml:space="preserve">les questions qui se font jour en matière de transformation numérique, </w:t>
      </w:r>
      <w:r w:rsidR="008007B8" w:rsidRPr="00E506D0">
        <w:rPr>
          <w:rFonts w:cstheme="minorHAnsi"/>
          <w:sz w:val="22"/>
          <w:szCs w:val="22"/>
        </w:rPr>
        <w:t>à</w:t>
      </w:r>
      <w:r w:rsidR="00D8760C" w:rsidRPr="00E506D0">
        <w:rPr>
          <w:rFonts w:cstheme="minorHAnsi"/>
          <w:sz w:val="22"/>
          <w:szCs w:val="22"/>
        </w:rPr>
        <w:t xml:space="preserve"> </w:t>
      </w:r>
      <w:r w:rsidR="000F61C4" w:rsidRPr="00E506D0">
        <w:rPr>
          <w:rFonts w:cstheme="minorHAnsi"/>
          <w:sz w:val="22"/>
          <w:szCs w:val="22"/>
        </w:rPr>
        <w:t xml:space="preserve">faciliter la collaboration entre les parties prenantes des villes et </w:t>
      </w:r>
      <w:r w:rsidR="008007B8" w:rsidRPr="00E506D0">
        <w:rPr>
          <w:rFonts w:cstheme="minorHAnsi"/>
          <w:sz w:val="22"/>
          <w:szCs w:val="22"/>
        </w:rPr>
        <w:t xml:space="preserve">à étudier </w:t>
      </w:r>
      <w:r w:rsidR="000F61C4" w:rsidRPr="00E506D0">
        <w:rPr>
          <w:rFonts w:cstheme="minorHAnsi"/>
          <w:sz w:val="22"/>
          <w:szCs w:val="22"/>
        </w:rPr>
        <w:t>le rôle de la normalisation dans ce processus. Cette série de webinaires</w:t>
      </w:r>
      <w:r w:rsidR="00E863BA" w:rsidRPr="00E506D0">
        <w:rPr>
          <w:rFonts w:cstheme="minorHAnsi"/>
          <w:sz w:val="22"/>
          <w:szCs w:val="22"/>
        </w:rPr>
        <w:t xml:space="preserve"> </w:t>
      </w:r>
      <w:r w:rsidR="008007B8" w:rsidRPr="00E506D0">
        <w:rPr>
          <w:rFonts w:cstheme="minorHAnsi"/>
          <w:sz w:val="22"/>
          <w:szCs w:val="22"/>
        </w:rPr>
        <w:t>offrira également un</w:t>
      </w:r>
      <w:r w:rsidR="000F61C4" w:rsidRPr="00E506D0">
        <w:rPr>
          <w:rFonts w:cstheme="minorHAnsi"/>
          <w:sz w:val="22"/>
          <w:szCs w:val="22"/>
        </w:rPr>
        <w:t xml:space="preserve"> </w:t>
      </w:r>
      <w:r w:rsidR="008007B8" w:rsidRPr="00E506D0">
        <w:rPr>
          <w:rFonts w:cstheme="minorHAnsi"/>
          <w:sz w:val="22"/>
          <w:szCs w:val="22"/>
        </w:rPr>
        <w:t>nouveau cadre</w:t>
      </w:r>
      <w:r w:rsidR="000F61C4" w:rsidRPr="00E506D0">
        <w:rPr>
          <w:rFonts w:cstheme="minorHAnsi"/>
          <w:sz w:val="22"/>
          <w:szCs w:val="22"/>
        </w:rPr>
        <w:t xml:space="preserve"> </w:t>
      </w:r>
      <w:r w:rsidR="008007B8" w:rsidRPr="00E506D0">
        <w:rPr>
          <w:rFonts w:cstheme="minorHAnsi"/>
          <w:sz w:val="22"/>
          <w:szCs w:val="22"/>
        </w:rPr>
        <w:t>permettant</w:t>
      </w:r>
      <w:r w:rsidR="008007B8" w:rsidRPr="00E506D0" w:rsidDel="008007B8">
        <w:rPr>
          <w:rFonts w:cstheme="minorHAnsi"/>
          <w:sz w:val="22"/>
          <w:szCs w:val="22"/>
        </w:rPr>
        <w:t xml:space="preserve"> </w:t>
      </w:r>
      <w:r w:rsidR="008007B8" w:rsidRPr="00E506D0">
        <w:rPr>
          <w:rFonts w:cstheme="minorHAnsi"/>
          <w:sz w:val="22"/>
          <w:szCs w:val="22"/>
        </w:rPr>
        <w:t xml:space="preserve">de </w:t>
      </w:r>
      <w:r w:rsidR="000F61C4" w:rsidRPr="00E506D0">
        <w:rPr>
          <w:rFonts w:cstheme="minorHAnsi"/>
          <w:sz w:val="22"/>
          <w:szCs w:val="22"/>
        </w:rPr>
        <w:t>mettre en avant les</w:t>
      </w:r>
      <w:r w:rsidR="00E863BA" w:rsidRPr="00E506D0">
        <w:rPr>
          <w:rFonts w:cstheme="minorHAnsi"/>
          <w:sz w:val="22"/>
          <w:szCs w:val="22"/>
        </w:rPr>
        <w:t xml:space="preserve"> </w:t>
      </w:r>
      <w:r w:rsidR="000F61C4" w:rsidRPr="00E506D0">
        <w:rPr>
          <w:rFonts w:cstheme="minorHAnsi"/>
          <w:sz w:val="22"/>
          <w:szCs w:val="22"/>
        </w:rPr>
        <w:t>travaux</w:t>
      </w:r>
      <w:r w:rsidR="00E863BA" w:rsidRPr="00E506D0">
        <w:rPr>
          <w:rFonts w:cstheme="minorHAnsi"/>
          <w:sz w:val="22"/>
          <w:szCs w:val="22"/>
        </w:rPr>
        <w:t xml:space="preserve"> </w:t>
      </w:r>
      <w:r w:rsidR="000F61C4" w:rsidRPr="00E506D0">
        <w:rPr>
          <w:rFonts w:cstheme="minorHAnsi"/>
          <w:sz w:val="22"/>
          <w:szCs w:val="22"/>
        </w:rPr>
        <w:t xml:space="preserve">et les résultats </w:t>
      </w:r>
      <w:r w:rsidR="008007B8" w:rsidRPr="00E506D0">
        <w:rPr>
          <w:rFonts w:cstheme="minorHAnsi"/>
          <w:sz w:val="22"/>
          <w:szCs w:val="22"/>
        </w:rPr>
        <w:t>les plus récents de</w:t>
      </w:r>
      <w:r w:rsidR="000F61C4" w:rsidRPr="00E506D0">
        <w:rPr>
          <w:rFonts w:cstheme="minorHAnsi"/>
          <w:sz w:val="22"/>
          <w:szCs w:val="22"/>
        </w:rPr>
        <w:t xml:space="preserve"> la</w:t>
      </w:r>
      <w:r w:rsidRPr="00E506D0">
        <w:rPr>
          <w:rFonts w:cstheme="minorHAnsi"/>
          <w:sz w:val="22"/>
          <w:szCs w:val="22"/>
        </w:rPr>
        <w:t xml:space="preserve"> </w:t>
      </w:r>
      <w:hyperlink r:id="rId10" w:history="1">
        <w:r w:rsidRPr="00E506D0">
          <w:rPr>
            <w:rStyle w:val="Hyperlink"/>
            <w:rFonts w:cstheme="minorHAnsi"/>
            <w:sz w:val="22"/>
            <w:szCs w:val="22"/>
          </w:rPr>
          <w:t>Commission d'études</w:t>
        </w:r>
        <w:r w:rsidR="00386BFF" w:rsidRPr="00E506D0">
          <w:rPr>
            <w:rStyle w:val="Hyperlink"/>
            <w:rFonts w:cstheme="minorHAnsi"/>
            <w:sz w:val="22"/>
            <w:szCs w:val="22"/>
          </w:rPr>
          <w:t> </w:t>
        </w:r>
        <w:r w:rsidRPr="00E506D0">
          <w:rPr>
            <w:rStyle w:val="Hyperlink"/>
            <w:rFonts w:cstheme="minorHAnsi"/>
            <w:sz w:val="22"/>
            <w:szCs w:val="22"/>
          </w:rPr>
          <w:t xml:space="preserve">20 de l'UIT-T </w:t>
        </w:r>
        <w:r w:rsidR="008007B8" w:rsidRPr="00E506D0">
          <w:rPr>
            <w:rStyle w:val="Hyperlink"/>
            <w:rFonts w:cstheme="minorHAnsi"/>
            <w:sz w:val="22"/>
            <w:szCs w:val="22"/>
          </w:rPr>
          <w:t xml:space="preserve">chargée d'étudier </w:t>
        </w:r>
        <w:r w:rsidRPr="00E506D0">
          <w:rPr>
            <w:rStyle w:val="Hyperlink"/>
            <w:rFonts w:cstheme="minorHAnsi"/>
            <w:sz w:val="22"/>
            <w:szCs w:val="22"/>
          </w:rPr>
          <w:t>"</w:t>
        </w:r>
        <w:r w:rsidR="008007B8" w:rsidRPr="00E506D0">
          <w:rPr>
            <w:rStyle w:val="Hyperlink"/>
            <w:rFonts w:cstheme="minorHAnsi"/>
            <w:sz w:val="22"/>
            <w:szCs w:val="22"/>
          </w:rPr>
          <w:t>l</w:t>
        </w:r>
        <w:r w:rsidR="00AE0866" w:rsidRPr="00E506D0">
          <w:rPr>
            <w:rStyle w:val="Hyperlink"/>
            <w:rFonts w:cstheme="minorHAnsi"/>
            <w:sz w:val="22"/>
            <w:szCs w:val="22"/>
          </w:rPr>
          <w:t>'</w:t>
        </w:r>
        <w:r w:rsidRPr="00E506D0">
          <w:rPr>
            <w:rStyle w:val="Hyperlink"/>
            <w:rFonts w:cstheme="minorHAnsi"/>
            <w:sz w:val="22"/>
            <w:szCs w:val="22"/>
          </w:rPr>
          <w:t xml:space="preserve">Internet des objets (IoT) et </w:t>
        </w:r>
        <w:r w:rsidR="00791577" w:rsidRPr="00E506D0">
          <w:rPr>
            <w:rStyle w:val="Hyperlink"/>
            <w:rFonts w:cstheme="minorHAnsi"/>
            <w:sz w:val="22"/>
            <w:szCs w:val="22"/>
          </w:rPr>
          <w:t xml:space="preserve">les </w:t>
        </w:r>
        <w:r w:rsidRPr="00E506D0">
          <w:rPr>
            <w:rStyle w:val="Hyperlink"/>
            <w:rFonts w:cstheme="minorHAnsi"/>
            <w:sz w:val="22"/>
            <w:szCs w:val="22"/>
          </w:rPr>
          <w:t xml:space="preserve">villes et </w:t>
        </w:r>
        <w:r w:rsidR="00791577" w:rsidRPr="00E506D0">
          <w:rPr>
            <w:rStyle w:val="Hyperlink"/>
            <w:rFonts w:cstheme="minorHAnsi"/>
            <w:sz w:val="22"/>
            <w:szCs w:val="22"/>
          </w:rPr>
          <w:t xml:space="preserve">les </w:t>
        </w:r>
        <w:r w:rsidRPr="00E506D0">
          <w:rPr>
            <w:rStyle w:val="Hyperlink"/>
            <w:rFonts w:cstheme="minorHAnsi"/>
            <w:sz w:val="22"/>
            <w:szCs w:val="22"/>
          </w:rPr>
          <w:t>communautés intelligentes (SC&amp;C)"</w:t>
        </w:r>
      </w:hyperlink>
      <w:r w:rsidRPr="00E506D0">
        <w:rPr>
          <w:rFonts w:cstheme="minorHAnsi"/>
          <w:sz w:val="22"/>
          <w:szCs w:val="22"/>
        </w:rPr>
        <w:t>.</w:t>
      </w:r>
    </w:p>
    <w:p w14:paraId="17C3109E" w14:textId="273EFCA5" w:rsidR="000F61C4" w:rsidRPr="00E506D0" w:rsidRDefault="00A20814" w:rsidP="00FF7B12">
      <w:pPr>
        <w:rPr>
          <w:rFonts w:cstheme="minorHAnsi"/>
          <w:sz w:val="22"/>
          <w:szCs w:val="22"/>
        </w:rPr>
      </w:pPr>
      <w:r w:rsidRPr="00E506D0">
        <w:rPr>
          <w:rFonts w:cstheme="minorHAnsi"/>
          <w:sz w:val="22"/>
          <w:szCs w:val="22"/>
        </w:rPr>
        <w:t>Cet épisode</w:t>
      </w:r>
      <w:r w:rsidR="000F61C4" w:rsidRPr="00E506D0">
        <w:rPr>
          <w:rFonts w:cstheme="minorHAnsi"/>
          <w:sz w:val="22"/>
          <w:szCs w:val="22"/>
        </w:rPr>
        <w:t xml:space="preserve"> </w:t>
      </w:r>
      <w:r w:rsidR="003C0BA7" w:rsidRPr="00E506D0">
        <w:rPr>
          <w:rFonts w:cstheme="minorHAnsi"/>
          <w:sz w:val="22"/>
          <w:szCs w:val="22"/>
        </w:rPr>
        <w:t>sur le</w:t>
      </w:r>
      <w:r w:rsidR="00FF7B12" w:rsidRPr="00E506D0">
        <w:rPr>
          <w:rFonts w:cstheme="minorHAnsi"/>
          <w:sz w:val="22"/>
          <w:szCs w:val="22"/>
        </w:rPr>
        <w:t xml:space="preserve"> </w:t>
      </w:r>
      <w:r w:rsidR="00513DC5" w:rsidRPr="00E506D0">
        <w:rPr>
          <w:rFonts w:cstheme="minorHAnsi"/>
          <w:sz w:val="22"/>
          <w:szCs w:val="22"/>
        </w:rPr>
        <w:t xml:space="preserve">thème </w:t>
      </w:r>
      <w:r w:rsidR="000F61C4" w:rsidRPr="00E506D0">
        <w:rPr>
          <w:rFonts w:cstheme="minorHAnsi"/>
          <w:sz w:val="22"/>
          <w:szCs w:val="22"/>
        </w:rPr>
        <w:t>"</w:t>
      </w:r>
      <w:r w:rsidR="003C0BA7" w:rsidRPr="00E506D0">
        <w:rPr>
          <w:rFonts w:cstheme="minorHAnsi"/>
          <w:b/>
          <w:bCs/>
          <w:sz w:val="22"/>
          <w:szCs w:val="22"/>
        </w:rPr>
        <w:t>A</w:t>
      </w:r>
      <w:r w:rsidR="00513DC5" w:rsidRPr="00E506D0">
        <w:rPr>
          <w:rFonts w:cstheme="minorHAnsi"/>
          <w:b/>
          <w:bCs/>
          <w:sz w:val="22"/>
          <w:szCs w:val="22"/>
        </w:rPr>
        <w:t>ccélérer la transformation numérique de l'agriculture au moyen de l'intelligence artificielle et de l'Internet des objets</w:t>
      </w:r>
      <w:r w:rsidR="000F61C4" w:rsidRPr="00E506D0">
        <w:rPr>
          <w:rFonts w:cstheme="minorHAnsi"/>
          <w:sz w:val="22"/>
          <w:szCs w:val="22"/>
        </w:rPr>
        <w:t>"</w:t>
      </w:r>
      <w:r w:rsidR="00FF7B12" w:rsidRPr="00E506D0">
        <w:rPr>
          <w:rFonts w:cstheme="minorHAnsi"/>
          <w:sz w:val="22"/>
          <w:szCs w:val="22"/>
        </w:rPr>
        <w:t xml:space="preserve"> </w:t>
      </w:r>
      <w:r w:rsidR="00514499" w:rsidRPr="00E506D0">
        <w:rPr>
          <w:rFonts w:cstheme="minorHAnsi"/>
          <w:sz w:val="22"/>
          <w:szCs w:val="22"/>
        </w:rPr>
        <w:t xml:space="preserve">organisé </w:t>
      </w:r>
      <w:r w:rsidR="003C0BA7" w:rsidRPr="00E506D0">
        <w:rPr>
          <w:rFonts w:cstheme="minorHAnsi"/>
          <w:sz w:val="22"/>
          <w:szCs w:val="22"/>
        </w:rPr>
        <w:t>conjointement avec</w:t>
      </w:r>
      <w:r w:rsidR="001945BB" w:rsidRPr="00E506D0">
        <w:rPr>
          <w:rFonts w:cstheme="minorHAnsi"/>
          <w:sz w:val="22"/>
          <w:szCs w:val="22"/>
        </w:rPr>
        <w:t xml:space="preserve"> </w:t>
      </w:r>
      <w:r w:rsidR="001945BB" w:rsidRPr="00E506D0">
        <w:rPr>
          <w:sz w:val="22"/>
          <w:szCs w:val="22"/>
        </w:rPr>
        <w:t>l'Organisation des Nations unies pour l'alimentation et l'agriculture (FAO) et l'Organisation internationale de normalisation (ISO)</w:t>
      </w:r>
      <w:r w:rsidRPr="00E506D0">
        <w:rPr>
          <w:rFonts w:cstheme="minorHAnsi"/>
          <w:sz w:val="22"/>
          <w:szCs w:val="22"/>
        </w:rPr>
        <w:t>,</w:t>
      </w:r>
      <w:r w:rsidR="00FF7B12" w:rsidRPr="00E506D0">
        <w:rPr>
          <w:rFonts w:cstheme="minorHAnsi"/>
          <w:sz w:val="22"/>
          <w:szCs w:val="22"/>
        </w:rPr>
        <w:t xml:space="preserve"> </w:t>
      </w:r>
      <w:r w:rsidR="000F61C4" w:rsidRPr="00E506D0">
        <w:rPr>
          <w:rFonts w:cstheme="minorHAnsi"/>
          <w:sz w:val="22"/>
          <w:szCs w:val="22"/>
        </w:rPr>
        <w:t xml:space="preserve">aura lieu de manière virtuelle le </w:t>
      </w:r>
      <w:r w:rsidR="00513DC5" w:rsidRPr="00E506D0">
        <w:rPr>
          <w:rFonts w:cstheme="minorHAnsi"/>
          <w:b/>
          <w:sz w:val="22"/>
          <w:szCs w:val="22"/>
        </w:rPr>
        <w:t>29</w:t>
      </w:r>
      <w:r w:rsidR="00386BFF" w:rsidRPr="00E506D0">
        <w:rPr>
          <w:rFonts w:cstheme="minorHAnsi"/>
          <w:b/>
          <w:sz w:val="22"/>
          <w:szCs w:val="22"/>
        </w:rPr>
        <w:t> </w:t>
      </w:r>
      <w:r w:rsidR="00513DC5" w:rsidRPr="00E506D0">
        <w:rPr>
          <w:rFonts w:cstheme="minorHAnsi"/>
          <w:b/>
          <w:sz w:val="22"/>
          <w:szCs w:val="22"/>
        </w:rPr>
        <w:t>mars</w:t>
      </w:r>
      <w:r w:rsidRPr="00E506D0">
        <w:rPr>
          <w:rFonts w:cstheme="minorHAnsi"/>
          <w:b/>
          <w:sz w:val="22"/>
          <w:szCs w:val="22"/>
        </w:rPr>
        <w:t> </w:t>
      </w:r>
      <w:r w:rsidR="000F61C4" w:rsidRPr="00E506D0">
        <w:rPr>
          <w:rFonts w:cstheme="minorHAnsi"/>
          <w:b/>
          <w:sz w:val="22"/>
          <w:szCs w:val="22"/>
        </w:rPr>
        <w:t>2022</w:t>
      </w:r>
      <w:r w:rsidR="000F61C4" w:rsidRPr="00E506D0">
        <w:rPr>
          <w:rFonts w:cstheme="minorHAnsi"/>
          <w:sz w:val="22"/>
          <w:szCs w:val="22"/>
        </w:rPr>
        <w:t xml:space="preserve"> de 1</w:t>
      </w:r>
      <w:r w:rsidR="00513DC5" w:rsidRPr="00E506D0">
        <w:rPr>
          <w:rFonts w:cstheme="minorHAnsi"/>
          <w:sz w:val="22"/>
          <w:szCs w:val="22"/>
        </w:rPr>
        <w:t>4</w:t>
      </w:r>
      <w:r w:rsidR="000F61C4" w:rsidRPr="00E506D0">
        <w:rPr>
          <w:rFonts w:cstheme="minorHAnsi"/>
          <w:sz w:val="22"/>
          <w:szCs w:val="22"/>
        </w:rPr>
        <w:t xml:space="preserve"> h</w:t>
      </w:r>
      <w:r w:rsidR="00FF7B12" w:rsidRPr="00E506D0">
        <w:rPr>
          <w:rFonts w:cstheme="minorHAnsi"/>
          <w:sz w:val="22"/>
          <w:szCs w:val="22"/>
        </w:rPr>
        <w:t xml:space="preserve"> 00 </w:t>
      </w:r>
      <w:r w:rsidR="000F61C4" w:rsidRPr="00E506D0">
        <w:rPr>
          <w:rFonts w:cstheme="minorHAnsi"/>
          <w:sz w:val="22"/>
          <w:szCs w:val="22"/>
        </w:rPr>
        <w:t>à 1</w:t>
      </w:r>
      <w:r w:rsidR="00513DC5" w:rsidRPr="00E506D0">
        <w:rPr>
          <w:rFonts w:cstheme="minorHAnsi"/>
          <w:sz w:val="22"/>
          <w:szCs w:val="22"/>
        </w:rPr>
        <w:t>6</w:t>
      </w:r>
      <w:r w:rsidR="000F61C4" w:rsidRPr="00E506D0">
        <w:rPr>
          <w:rFonts w:cstheme="minorHAnsi"/>
          <w:sz w:val="22"/>
          <w:szCs w:val="22"/>
        </w:rPr>
        <w:t xml:space="preserve"> h</w:t>
      </w:r>
      <w:r w:rsidR="00FF7B12" w:rsidRPr="00E506D0">
        <w:rPr>
          <w:rFonts w:cstheme="minorHAnsi"/>
          <w:sz w:val="22"/>
          <w:szCs w:val="22"/>
        </w:rPr>
        <w:t xml:space="preserve"> 00 </w:t>
      </w:r>
      <w:r w:rsidR="000F61C4" w:rsidRPr="00E506D0">
        <w:rPr>
          <w:rFonts w:cstheme="minorHAnsi"/>
          <w:sz w:val="22"/>
          <w:szCs w:val="22"/>
        </w:rPr>
        <w:t>(heure de Genève)</w:t>
      </w:r>
      <w:r w:rsidR="008859AC" w:rsidRPr="00E506D0">
        <w:rPr>
          <w:rFonts w:cstheme="minorHAnsi"/>
          <w:sz w:val="22"/>
          <w:szCs w:val="22"/>
        </w:rPr>
        <w:t>.</w:t>
      </w:r>
    </w:p>
    <w:p w14:paraId="17CC4625" w14:textId="7DF037A4" w:rsidR="001945BB" w:rsidRPr="00E506D0" w:rsidRDefault="001945BB" w:rsidP="00FF7B12">
      <w:pPr>
        <w:rPr>
          <w:rFonts w:cstheme="minorHAnsi"/>
          <w:sz w:val="22"/>
          <w:szCs w:val="22"/>
        </w:rPr>
      </w:pPr>
      <w:r w:rsidRPr="00E506D0">
        <w:rPr>
          <w:rFonts w:cstheme="minorHAnsi"/>
          <w:sz w:val="22"/>
          <w:szCs w:val="22"/>
        </w:rPr>
        <w:t xml:space="preserve">Cet épisode du webinaire sera suivi de la première réunion du </w:t>
      </w:r>
      <w:hyperlink r:id="rId11" w:history="1">
        <w:r w:rsidRPr="00E506D0">
          <w:rPr>
            <w:rStyle w:val="Hyperlink"/>
            <w:sz w:val="22"/>
            <w:szCs w:val="22"/>
          </w:rPr>
          <w:t>Groupe spécialisé sur l'intelligence artificielle (IA) et l'Internet des objets (IoT) au service de l'agriculture numérique (FG-AI4A)</w:t>
        </w:r>
      </w:hyperlink>
      <w:r w:rsidRPr="00E506D0">
        <w:rPr>
          <w:sz w:val="22"/>
          <w:szCs w:val="22"/>
        </w:rPr>
        <w:t xml:space="preserve">, qui se tiendra les </w:t>
      </w:r>
      <w:r w:rsidRPr="00E506D0">
        <w:rPr>
          <w:b/>
          <w:bCs/>
          <w:sz w:val="22"/>
          <w:szCs w:val="22"/>
        </w:rPr>
        <w:t>30 et 31</w:t>
      </w:r>
      <w:r w:rsidR="00386BFF" w:rsidRPr="00E506D0">
        <w:rPr>
          <w:b/>
          <w:bCs/>
          <w:sz w:val="22"/>
          <w:szCs w:val="22"/>
        </w:rPr>
        <w:t> </w:t>
      </w:r>
      <w:r w:rsidRPr="00E506D0">
        <w:rPr>
          <w:b/>
          <w:bCs/>
          <w:sz w:val="22"/>
          <w:szCs w:val="22"/>
        </w:rPr>
        <w:t>mars</w:t>
      </w:r>
      <w:r w:rsidR="00386BFF" w:rsidRPr="00E506D0">
        <w:rPr>
          <w:b/>
          <w:bCs/>
          <w:sz w:val="22"/>
          <w:szCs w:val="22"/>
        </w:rPr>
        <w:t> </w:t>
      </w:r>
      <w:r w:rsidRPr="00E506D0">
        <w:rPr>
          <w:b/>
          <w:bCs/>
          <w:sz w:val="22"/>
          <w:szCs w:val="22"/>
        </w:rPr>
        <w:t>2022</w:t>
      </w:r>
      <w:r w:rsidRPr="00E506D0">
        <w:rPr>
          <w:sz w:val="22"/>
          <w:szCs w:val="22"/>
        </w:rPr>
        <w:t xml:space="preserve">, de 13 </w:t>
      </w:r>
      <w:r w:rsidR="003C0BA7" w:rsidRPr="00E506D0">
        <w:rPr>
          <w:rFonts w:cstheme="minorHAnsi"/>
          <w:sz w:val="22"/>
          <w:szCs w:val="22"/>
        </w:rPr>
        <w:t>h</w:t>
      </w:r>
      <w:r w:rsidR="00FF7B12" w:rsidRPr="00E506D0">
        <w:rPr>
          <w:rFonts w:cstheme="minorHAnsi"/>
          <w:sz w:val="22"/>
          <w:szCs w:val="22"/>
        </w:rPr>
        <w:t xml:space="preserve"> 00</w:t>
      </w:r>
      <w:r w:rsidR="003C0BA7" w:rsidRPr="00E506D0" w:rsidDel="003C0BA7">
        <w:rPr>
          <w:sz w:val="22"/>
          <w:szCs w:val="22"/>
        </w:rPr>
        <w:t xml:space="preserve"> </w:t>
      </w:r>
      <w:r w:rsidRPr="00E506D0">
        <w:rPr>
          <w:sz w:val="22"/>
          <w:szCs w:val="22"/>
        </w:rPr>
        <w:t xml:space="preserve">à 16 </w:t>
      </w:r>
      <w:r w:rsidR="003C0BA7" w:rsidRPr="00E506D0">
        <w:rPr>
          <w:rFonts w:cstheme="minorHAnsi"/>
          <w:sz w:val="22"/>
          <w:szCs w:val="22"/>
        </w:rPr>
        <w:t>h</w:t>
      </w:r>
      <w:r w:rsidR="00FF7B12" w:rsidRPr="00E506D0">
        <w:rPr>
          <w:rFonts w:cstheme="minorHAnsi"/>
          <w:sz w:val="22"/>
          <w:szCs w:val="22"/>
        </w:rPr>
        <w:t xml:space="preserve"> 00</w:t>
      </w:r>
      <w:r w:rsidRPr="00E506D0">
        <w:rPr>
          <w:sz w:val="22"/>
          <w:szCs w:val="22"/>
        </w:rPr>
        <w:t>, heure de Genève.</w:t>
      </w:r>
    </w:p>
    <w:p w14:paraId="1AA48915" w14:textId="2B55F7C7" w:rsidR="001709F0" w:rsidRPr="00E506D0" w:rsidRDefault="00035251" w:rsidP="00FF7B12">
      <w:pPr>
        <w:rPr>
          <w:rFonts w:cstheme="minorHAnsi"/>
          <w:sz w:val="22"/>
          <w:szCs w:val="22"/>
        </w:rPr>
      </w:pPr>
      <w:r w:rsidRPr="00E506D0">
        <w:rPr>
          <w:rFonts w:cstheme="minorHAnsi"/>
          <w:sz w:val="22"/>
          <w:szCs w:val="22"/>
        </w:rPr>
        <w:t>2</w:t>
      </w:r>
      <w:r w:rsidRPr="00E506D0">
        <w:rPr>
          <w:rFonts w:cstheme="minorHAnsi"/>
          <w:sz w:val="22"/>
          <w:szCs w:val="22"/>
        </w:rPr>
        <w:tab/>
      </w:r>
      <w:r w:rsidR="00B612EE" w:rsidRPr="00E506D0">
        <w:rPr>
          <w:rFonts w:cstheme="minorHAnsi"/>
          <w:sz w:val="22"/>
          <w:szCs w:val="22"/>
        </w:rPr>
        <w:t>Ce webinaire</w:t>
      </w:r>
      <w:r w:rsidRPr="00E506D0">
        <w:rPr>
          <w:rFonts w:cstheme="minorHAnsi"/>
          <w:sz w:val="22"/>
          <w:szCs w:val="22"/>
        </w:rPr>
        <w:t xml:space="preserve"> aura lieu en anglais seulement.</w:t>
      </w:r>
      <w:bookmarkStart w:id="2" w:name="_Hlk83973180"/>
    </w:p>
    <w:p w14:paraId="5328429B" w14:textId="6DC9C962" w:rsidR="001945BB" w:rsidRPr="00E506D0" w:rsidRDefault="001945BB" w:rsidP="00FF7B12">
      <w:pPr>
        <w:rPr>
          <w:rFonts w:cstheme="minorHAnsi"/>
          <w:sz w:val="22"/>
          <w:szCs w:val="22"/>
        </w:rPr>
      </w:pPr>
      <w:r w:rsidRPr="00E506D0">
        <w:rPr>
          <w:rFonts w:cstheme="minorHAnsi"/>
          <w:sz w:val="22"/>
          <w:szCs w:val="22"/>
        </w:rPr>
        <w:t>3</w:t>
      </w:r>
      <w:r w:rsidRPr="00E506D0">
        <w:rPr>
          <w:rFonts w:cstheme="minorHAnsi"/>
          <w:sz w:val="22"/>
          <w:szCs w:val="22"/>
        </w:rPr>
        <w:tab/>
      </w:r>
      <w:r w:rsidR="00651996" w:rsidRPr="00E506D0">
        <w:rPr>
          <w:rFonts w:cstheme="minorHAnsi"/>
          <w:sz w:val="22"/>
          <w:szCs w:val="22"/>
        </w:rPr>
        <w:t>Le secteur agricole</w:t>
      </w:r>
      <w:r w:rsidR="003C0BA7" w:rsidRPr="00E506D0">
        <w:rPr>
          <w:rFonts w:cstheme="minorHAnsi"/>
          <w:sz w:val="22"/>
          <w:szCs w:val="22"/>
        </w:rPr>
        <w:t>,</w:t>
      </w:r>
      <w:r w:rsidR="00FF7B12" w:rsidRPr="00E506D0">
        <w:rPr>
          <w:rFonts w:cstheme="minorHAnsi"/>
          <w:sz w:val="22"/>
          <w:szCs w:val="22"/>
        </w:rPr>
        <w:t xml:space="preserve"> </w:t>
      </w:r>
      <w:r w:rsidR="0080669D" w:rsidRPr="00E506D0">
        <w:rPr>
          <w:rFonts w:cstheme="minorHAnsi"/>
          <w:sz w:val="22"/>
          <w:szCs w:val="22"/>
        </w:rPr>
        <w:t xml:space="preserve">l'un des </w:t>
      </w:r>
      <w:r w:rsidR="00651996" w:rsidRPr="00E506D0">
        <w:rPr>
          <w:rFonts w:cstheme="minorHAnsi"/>
          <w:sz w:val="22"/>
          <w:szCs w:val="22"/>
        </w:rPr>
        <w:t xml:space="preserve">plus importants </w:t>
      </w:r>
      <w:r w:rsidR="0080669D" w:rsidRPr="00E506D0">
        <w:rPr>
          <w:rFonts w:cstheme="minorHAnsi"/>
          <w:sz w:val="22"/>
          <w:szCs w:val="22"/>
        </w:rPr>
        <w:t>au monde,</w:t>
      </w:r>
      <w:r w:rsidR="00FF7B12" w:rsidRPr="00E506D0">
        <w:rPr>
          <w:rFonts w:cstheme="minorHAnsi"/>
          <w:sz w:val="22"/>
          <w:szCs w:val="22"/>
        </w:rPr>
        <w:t xml:space="preserve"> </w:t>
      </w:r>
      <w:r w:rsidR="00651996" w:rsidRPr="00E506D0">
        <w:rPr>
          <w:rFonts w:cstheme="minorHAnsi"/>
          <w:sz w:val="22"/>
          <w:szCs w:val="22"/>
        </w:rPr>
        <w:t xml:space="preserve">représente </w:t>
      </w:r>
      <w:r w:rsidR="0080669D" w:rsidRPr="00E506D0">
        <w:rPr>
          <w:rFonts w:cstheme="minorHAnsi"/>
          <w:sz w:val="22"/>
          <w:szCs w:val="22"/>
        </w:rPr>
        <w:t>une valeur</w:t>
      </w:r>
      <w:r w:rsidR="00FF7B12" w:rsidRPr="00E506D0">
        <w:rPr>
          <w:rFonts w:cstheme="minorHAnsi"/>
          <w:sz w:val="22"/>
          <w:szCs w:val="22"/>
        </w:rPr>
        <w:t xml:space="preserve"> </w:t>
      </w:r>
      <w:r w:rsidR="000B2397" w:rsidRPr="00E506D0">
        <w:rPr>
          <w:rFonts w:cstheme="minorHAnsi"/>
          <w:sz w:val="22"/>
          <w:szCs w:val="22"/>
        </w:rPr>
        <w:t>globale</w:t>
      </w:r>
      <w:r w:rsidR="00FF7B12" w:rsidRPr="00E506D0">
        <w:rPr>
          <w:rFonts w:cstheme="minorHAnsi"/>
          <w:sz w:val="22"/>
          <w:szCs w:val="22"/>
        </w:rPr>
        <w:t xml:space="preserve"> </w:t>
      </w:r>
      <w:r w:rsidR="0080669D" w:rsidRPr="00E506D0">
        <w:rPr>
          <w:rFonts w:cstheme="minorHAnsi"/>
          <w:sz w:val="22"/>
          <w:szCs w:val="22"/>
        </w:rPr>
        <w:t>estimée à 2</w:t>
      </w:r>
      <w:r w:rsidR="00FF7B12" w:rsidRPr="00E506D0">
        <w:rPr>
          <w:rFonts w:cstheme="minorHAnsi"/>
          <w:sz w:val="22"/>
          <w:szCs w:val="22"/>
        </w:rPr>
        <w:t xml:space="preserve"> </w:t>
      </w:r>
      <w:r w:rsidR="0080669D" w:rsidRPr="00E506D0">
        <w:rPr>
          <w:rFonts w:cstheme="minorHAnsi"/>
          <w:sz w:val="22"/>
          <w:szCs w:val="22"/>
        </w:rPr>
        <w:t>4</w:t>
      </w:r>
      <w:r w:rsidR="00651996" w:rsidRPr="00E506D0">
        <w:rPr>
          <w:rFonts w:cstheme="minorHAnsi"/>
          <w:sz w:val="22"/>
          <w:szCs w:val="22"/>
        </w:rPr>
        <w:t>00</w:t>
      </w:r>
      <w:r w:rsidR="0080669D" w:rsidRPr="00E506D0">
        <w:rPr>
          <w:rFonts w:cstheme="minorHAnsi"/>
          <w:sz w:val="22"/>
          <w:szCs w:val="22"/>
        </w:rPr>
        <w:t> </w:t>
      </w:r>
      <w:r w:rsidR="00651996" w:rsidRPr="00E506D0">
        <w:rPr>
          <w:rFonts w:cstheme="minorHAnsi"/>
          <w:sz w:val="22"/>
          <w:szCs w:val="22"/>
        </w:rPr>
        <w:t>milliards</w:t>
      </w:r>
      <w:r w:rsidR="0080669D" w:rsidRPr="00E506D0">
        <w:rPr>
          <w:rFonts w:cstheme="minorHAnsi"/>
          <w:sz w:val="22"/>
          <w:szCs w:val="22"/>
        </w:rPr>
        <w:t xml:space="preserve"> </w:t>
      </w:r>
      <w:r w:rsidR="003C0BA7" w:rsidRPr="00E506D0">
        <w:rPr>
          <w:rFonts w:cstheme="minorHAnsi"/>
          <w:sz w:val="22"/>
          <w:szCs w:val="22"/>
        </w:rPr>
        <w:t>USD</w:t>
      </w:r>
      <w:r w:rsidR="0080669D" w:rsidRPr="00E506D0">
        <w:rPr>
          <w:rFonts w:cstheme="minorHAnsi"/>
          <w:sz w:val="22"/>
          <w:szCs w:val="22"/>
        </w:rPr>
        <w:t xml:space="preserve">. </w:t>
      </w:r>
      <w:r w:rsidR="00651996" w:rsidRPr="00E506D0">
        <w:rPr>
          <w:rFonts w:cstheme="minorHAnsi"/>
          <w:sz w:val="22"/>
          <w:szCs w:val="22"/>
        </w:rPr>
        <w:t>Ce secteur emploie</w:t>
      </w:r>
      <w:r w:rsidR="0080669D" w:rsidRPr="00E506D0">
        <w:rPr>
          <w:rFonts w:cstheme="minorHAnsi"/>
          <w:sz w:val="22"/>
          <w:szCs w:val="22"/>
        </w:rPr>
        <w:t xml:space="preserve"> 1,3</w:t>
      </w:r>
      <w:r w:rsidR="00386BFF" w:rsidRPr="00E506D0">
        <w:rPr>
          <w:rFonts w:cstheme="minorHAnsi"/>
          <w:sz w:val="22"/>
          <w:szCs w:val="22"/>
        </w:rPr>
        <w:t> </w:t>
      </w:r>
      <w:r w:rsidR="00651996" w:rsidRPr="00E506D0">
        <w:rPr>
          <w:rFonts w:cstheme="minorHAnsi"/>
          <w:sz w:val="22"/>
          <w:szCs w:val="22"/>
        </w:rPr>
        <w:t>milliard</w:t>
      </w:r>
      <w:r w:rsidR="0080669D" w:rsidRPr="00E506D0">
        <w:rPr>
          <w:rFonts w:cstheme="minorHAnsi"/>
          <w:sz w:val="22"/>
          <w:szCs w:val="22"/>
        </w:rPr>
        <w:t xml:space="preserve"> de personnes, soit 19% de la population mondiale. Cependant, pour répondre aux besoins </w:t>
      </w:r>
      <w:r w:rsidR="00651996" w:rsidRPr="00E506D0">
        <w:rPr>
          <w:rFonts w:cstheme="minorHAnsi"/>
          <w:sz w:val="22"/>
          <w:szCs w:val="22"/>
        </w:rPr>
        <w:t>d'une</w:t>
      </w:r>
      <w:r w:rsidR="0080669D" w:rsidRPr="00E506D0">
        <w:rPr>
          <w:rFonts w:cstheme="minorHAnsi"/>
          <w:sz w:val="22"/>
          <w:szCs w:val="22"/>
        </w:rPr>
        <w:t xml:space="preserve"> population mondiale</w:t>
      </w:r>
      <w:r w:rsidR="000B2397" w:rsidRPr="00E506D0">
        <w:rPr>
          <w:rFonts w:cstheme="minorHAnsi"/>
          <w:sz w:val="22"/>
          <w:szCs w:val="22"/>
        </w:rPr>
        <w:t xml:space="preserve"> en augmentation</w:t>
      </w:r>
      <w:r w:rsidR="0080669D" w:rsidRPr="00E506D0">
        <w:rPr>
          <w:rFonts w:cstheme="minorHAnsi"/>
          <w:sz w:val="22"/>
          <w:szCs w:val="22"/>
        </w:rPr>
        <w:t>, qui devrait atteindre 9,7</w:t>
      </w:r>
      <w:r w:rsidR="00386BFF" w:rsidRPr="00E506D0">
        <w:rPr>
          <w:rFonts w:cstheme="minorHAnsi"/>
          <w:sz w:val="22"/>
          <w:szCs w:val="22"/>
        </w:rPr>
        <w:t> </w:t>
      </w:r>
      <w:r w:rsidR="0080669D" w:rsidRPr="00E506D0">
        <w:rPr>
          <w:rFonts w:cstheme="minorHAnsi"/>
          <w:sz w:val="22"/>
          <w:szCs w:val="22"/>
        </w:rPr>
        <w:t xml:space="preserve">milliards d'habitants d'ici </w:t>
      </w:r>
      <w:r w:rsidR="000B2397" w:rsidRPr="00E506D0">
        <w:rPr>
          <w:rFonts w:cstheme="minorHAnsi"/>
          <w:sz w:val="22"/>
          <w:szCs w:val="22"/>
        </w:rPr>
        <w:t xml:space="preserve">à </w:t>
      </w:r>
      <w:r w:rsidR="0080669D" w:rsidRPr="00E506D0">
        <w:rPr>
          <w:rFonts w:cstheme="minorHAnsi"/>
          <w:sz w:val="22"/>
          <w:szCs w:val="22"/>
        </w:rPr>
        <w:t xml:space="preserve">2050, la production </w:t>
      </w:r>
      <w:r w:rsidR="000B2397" w:rsidRPr="00E506D0">
        <w:rPr>
          <w:sz w:val="22"/>
          <w:szCs w:val="22"/>
        </w:rPr>
        <w:t>alimentaire mondiale</w:t>
      </w:r>
      <w:r w:rsidR="000B2397" w:rsidRPr="00E506D0" w:rsidDel="000B2397">
        <w:rPr>
          <w:rFonts w:cstheme="minorHAnsi"/>
          <w:sz w:val="22"/>
          <w:szCs w:val="22"/>
        </w:rPr>
        <w:t xml:space="preserve"> </w:t>
      </w:r>
      <w:r w:rsidR="0080669D" w:rsidRPr="00E506D0">
        <w:rPr>
          <w:rFonts w:cstheme="minorHAnsi"/>
          <w:sz w:val="22"/>
          <w:szCs w:val="22"/>
        </w:rPr>
        <w:t xml:space="preserve">devra </w:t>
      </w:r>
      <w:r w:rsidR="000B2397" w:rsidRPr="00E506D0">
        <w:rPr>
          <w:rFonts w:cstheme="minorHAnsi"/>
          <w:sz w:val="22"/>
          <w:szCs w:val="22"/>
        </w:rPr>
        <w:t>augmenter</w:t>
      </w:r>
      <w:r w:rsidR="0080669D" w:rsidRPr="00E506D0">
        <w:rPr>
          <w:rFonts w:cstheme="minorHAnsi"/>
          <w:sz w:val="22"/>
          <w:szCs w:val="22"/>
        </w:rPr>
        <w:t xml:space="preserve"> de 70% environ.</w:t>
      </w:r>
    </w:p>
    <w:p w14:paraId="04470E3A" w14:textId="0B80D175" w:rsidR="0080669D" w:rsidRPr="00E506D0" w:rsidRDefault="0080669D" w:rsidP="00FF7B12">
      <w:pPr>
        <w:rPr>
          <w:rFonts w:cstheme="minorHAnsi"/>
          <w:sz w:val="22"/>
          <w:szCs w:val="22"/>
        </w:rPr>
      </w:pPr>
      <w:r w:rsidRPr="00E506D0">
        <w:rPr>
          <w:rFonts w:cstheme="minorHAnsi"/>
          <w:sz w:val="22"/>
          <w:szCs w:val="22"/>
        </w:rPr>
        <w:t xml:space="preserve">Cela </w:t>
      </w:r>
      <w:r w:rsidR="000B2397" w:rsidRPr="00E506D0">
        <w:rPr>
          <w:rFonts w:cstheme="minorHAnsi"/>
          <w:sz w:val="22"/>
          <w:szCs w:val="22"/>
        </w:rPr>
        <w:t>passe par l</w:t>
      </w:r>
      <w:r w:rsidR="00FF7B12" w:rsidRPr="00E506D0">
        <w:rPr>
          <w:rFonts w:cstheme="minorHAnsi"/>
          <w:sz w:val="22"/>
          <w:szCs w:val="22"/>
        </w:rPr>
        <w:t>'</w:t>
      </w:r>
      <w:r w:rsidR="000B2397" w:rsidRPr="00E506D0">
        <w:rPr>
          <w:rFonts w:cstheme="minorHAnsi"/>
          <w:sz w:val="22"/>
          <w:szCs w:val="22"/>
        </w:rPr>
        <w:t>adoption</w:t>
      </w:r>
      <w:r w:rsidRPr="00E506D0">
        <w:rPr>
          <w:rFonts w:cstheme="minorHAnsi"/>
          <w:sz w:val="22"/>
          <w:szCs w:val="22"/>
        </w:rPr>
        <w:t xml:space="preserve"> </w:t>
      </w:r>
      <w:r w:rsidR="000D5AE4" w:rsidRPr="00E506D0">
        <w:rPr>
          <w:rFonts w:cstheme="minorHAnsi"/>
          <w:sz w:val="22"/>
          <w:szCs w:val="22"/>
        </w:rPr>
        <w:t>de</w:t>
      </w:r>
      <w:r w:rsidR="00FF7B12" w:rsidRPr="00E506D0">
        <w:rPr>
          <w:rFonts w:cstheme="minorHAnsi"/>
          <w:sz w:val="22"/>
          <w:szCs w:val="22"/>
        </w:rPr>
        <w:t xml:space="preserve"> </w:t>
      </w:r>
      <w:r w:rsidRPr="00E506D0">
        <w:rPr>
          <w:rFonts w:cstheme="minorHAnsi"/>
          <w:sz w:val="22"/>
          <w:szCs w:val="22"/>
        </w:rPr>
        <w:t>technologies</w:t>
      </w:r>
      <w:r w:rsidR="000D5AE4" w:rsidRPr="00E506D0">
        <w:rPr>
          <w:rFonts w:cstheme="minorHAnsi"/>
          <w:sz w:val="22"/>
          <w:szCs w:val="22"/>
        </w:rPr>
        <w:t xml:space="preserve"> émergentes</w:t>
      </w:r>
      <w:r w:rsidRPr="00E506D0">
        <w:rPr>
          <w:rFonts w:cstheme="minorHAnsi"/>
          <w:sz w:val="22"/>
          <w:szCs w:val="22"/>
        </w:rPr>
        <w:t>,</w:t>
      </w:r>
      <w:r w:rsidR="00FF7B12" w:rsidRPr="00E506D0">
        <w:rPr>
          <w:rFonts w:cstheme="minorHAnsi"/>
          <w:sz w:val="22"/>
          <w:szCs w:val="22"/>
        </w:rPr>
        <w:t xml:space="preserve"> </w:t>
      </w:r>
      <w:r w:rsidRPr="00E506D0">
        <w:rPr>
          <w:rFonts w:cstheme="minorHAnsi"/>
          <w:sz w:val="22"/>
          <w:szCs w:val="22"/>
        </w:rPr>
        <w:t>notamment l'intelligence artificielle</w:t>
      </w:r>
      <w:r w:rsidR="000B2397" w:rsidRPr="00E506D0">
        <w:rPr>
          <w:rFonts w:cstheme="minorHAnsi"/>
          <w:sz w:val="22"/>
          <w:szCs w:val="22"/>
        </w:rPr>
        <w:t xml:space="preserve"> (IA)</w:t>
      </w:r>
      <w:r w:rsidRPr="00E506D0">
        <w:rPr>
          <w:rFonts w:cstheme="minorHAnsi"/>
          <w:sz w:val="22"/>
          <w:szCs w:val="22"/>
        </w:rPr>
        <w:t>, l'Internet des objets</w:t>
      </w:r>
      <w:r w:rsidR="000B2397" w:rsidRPr="00E506D0">
        <w:rPr>
          <w:rFonts w:cstheme="minorHAnsi"/>
          <w:sz w:val="22"/>
          <w:szCs w:val="22"/>
        </w:rPr>
        <w:t xml:space="preserve"> (IoT)</w:t>
      </w:r>
      <w:r w:rsidRPr="00E506D0">
        <w:rPr>
          <w:rFonts w:cstheme="minorHAnsi"/>
          <w:sz w:val="22"/>
          <w:szCs w:val="22"/>
        </w:rPr>
        <w:t>, la robotique, les mégadonnées, la réalité augmentée, les capteurs et les drones</w:t>
      </w:r>
      <w:r w:rsidR="000B2397" w:rsidRPr="00E506D0">
        <w:rPr>
          <w:rFonts w:cstheme="minorHAnsi"/>
          <w:sz w:val="22"/>
          <w:szCs w:val="22"/>
        </w:rPr>
        <w:t>,</w:t>
      </w:r>
      <w:r w:rsidRPr="00E506D0">
        <w:rPr>
          <w:rFonts w:cstheme="minorHAnsi"/>
          <w:sz w:val="22"/>
          <w:szCs w:val="22"/>
        </w:rPr>
        <w:t xml:space="preserve"> afin d'optimiser les processus de production agricole, les chaînes d'approvisionnement et les systèmes </w:t>
      </w:r>
      <w:r w:rsidR="00DC0237" w:rsidRPr="00E506D0">
        <w:rPr>
          <w:rFonts w:cstheme="minorHAnsi"/>
          <w:sz w:val="22"/>
          <w:szCs w:val="22"/>
        </w:rPr>
        <w:t>alimentaires.</w:t>
      </w:r>
      <w:r w:rsidR="00C36252" w:rsidRPr="00E506D0">
        <w:rPr>
          <w:rFonts w:cstheme="minorHAnsi"/>
          <w:sz w:val="22"/>
          <w:szCs w:val="22"/>
        </w:rPr>
        <w:t xml:space="preserve"> L'intégration puis l'utilisation combinée de ces technologies ont </w:t>
      </w:r>
      <w:r w:rsidR="000B2397" w:rsidRPr="00E506D0">
        <w:rPr>
          <w:sz w:val="22"/>
          <w:szCs w:val="22"/>
        </w:rPr>
        <w:t>radicalement transformé</w:t>
      </w:r>
      <w:r w:rsidR="00FF7B12" w:rsidRPr="00E506D0">
        <w:rPr>
          <w:sz w:val="22"/>
          <w:szCs w:val="22"/>
        </w:rPr>
        <w:t xml:space="preserve"> </w:t>
      </w:r>
      <w:r w:rsidR="00C36252" w:rsidRPr="00E506D0">
        <w:rPr>
          <w:rFonts w:cstheme="minorHAnsi"/>
          <w:sz w:val="22"/>
          <w:szCs w:val="22"/>
        </w:rPr>
        <w:t>les processus de production</w:t>
      </w:r>
      <w:r w:rsidR="00FF7B12" w:rsidRPr="00E506D0">
        <w:rPr>
          <w:rFonts w:cstheme="minorHAnsi"/>
          <w:sz w:val="22"/>
          <w:szCs w:val="22"/>
        </w:rPr>
        <w:t xml:space="preserve"> </w:t>
      </w:r>
      <w:r w:rsidR="000B2397" w:rsidRPr="00E506D0">
        <w:rPr>
          <w:rFonts w:cstheme="minorHAnsi"/>
          <w:sz w:val="22"/>
          <w:szCs w:val="22"/>
        </w:rPr>
        <w:t>dans le</w:t>
      </w:r>
      <w:r w:rsidR="00C36252" w:rsidRPr="00E506D0">
        <w:rPr>
          <w:rFonts w:cstheme="minorHAnsi"/>
          <w:sz w:val="22"/>
          <w:szCs w:val="22"/>
        </w:rPr>
        <w:t xml:space="preserve"> secteur agricole,</w:t>
      </w:r>
      <w:r w:rsidR="00FF7B12" w:rsidRPr="00E506D0">
        <w:rPr>
          <w:rFonts w:cstheme="minorHAnsi"/>
          <w:sz w:val="22"/>
          <w:szCs w:val="22"/>
        </w:rPr>
        <w:t xml:space="preserve"> </w:t>
      </w:r>
      <w:r w:rsidR="000B2397" w:rsidRPr="00E506D0">
        <w:rPr>
          <w:rFonts w:cstheme="minorHAnsi"/>
          <w:sz w:val="22"/>
          <w:szCs w:val="22"/>
        </w:rPr>
        <w:t>donnant naissance</w:t>
      </w:r>
      <w:r w:rsidR="00FF7B12" w:rsidRPr="00E506D0">
        <w:rPr>
          <w:rFonts w:cstheme="minorHAnsi"/>
          <w:sz w:val="22"/>
          <w:szCs w:val="22"/>
        </w:rPr>
        <w:t xml:space="preserve"> </w:t>
      </w:r>
      <w:r w:rsidR="00C36252" w:rsidRPr="00E506D0">
        <w:rPr>
          <w:rFonts w:cstheme="minorHAnsi"/>
          <w:sz w:val="22"/>
          <w:szCs w:val="22"/>
        </w:rPr>
        <w:t>au nouveau concept d'"</w:t>
      </w:r>
      <w:r w:rsidR="00C36252" w:rsidRPr="00E506D0">
        <w:rPr>
          <w:rFonts w:cstheme="minorHAnsi"/>
          <w:i/>
          <w:iCs/>
          <w:sz w:val="22"/>
          <w:szCs w:val="22"/>
        </w:rPr>
        <w:t>agriculture numérique</w:t>
      </w:r>
      <w:r w:rsidR="00C36252" w:rsidRPr="00E506D0">
        <w:rPr>
          <w:rFonts w:cstheme="minorHAnsi"/>
          <w:sz w:val="22"/>
          <w:szCs w:val="22"/>
        </w:rPr>
        <w:t>".</w:t>
      </w:r>
    </w:p>
    <w:p w14:paraId="7755341D" w14:textId="2F9B878A" w:rsidR="00C36252" w:rsidRPr="00E506D0" w:rsidRDefault="00E646E9" w:rsidP="00FF7B12">
      <w:pPr>
        <w:rPr>
          <w:rFonts w:cstheme="minorHAnsi"/>
          <w:sz w:val="22"/>
          <w:szCs w:val="22"/>
        </w:rPr>
      </w:pPr>
      <w:r w:rsidRPr="00E506D0">
        <w:rPr>
          <w:rFonts w:cstheme="minorHAnsi"/>
          <w:sz w:val="22"/>
          <w:szCs w:val="22"/>
        </w:rPr>
        <w:t xml:space="preserve">L'application de l'"agriculture numérique" </w:t>
      </w:r>
      <w:proofErr w:type="gramStart"/>
      <w:r w:rsidRPr="00E506D0">
        <w:rPr>
          <w:rFonts w:cstheme="minorHAnsi"/>
          <w:sz w:val="22"/>
          <w:szCs w:val="22"/>
        </w:rPr>
        <w:t>progresse</w:t>
      </w:r>
      <w:r w:rsidR="00FF7B12" w:rsidRPr="00E506D0">
        <w:rPr>
          <w:rFonts w:cstheme="minorHAnsi"/>
          <w:sz w:val="22"/>
          <w:szCs w:val="22"/>
        </w:rPr>
        <w:t>:</w:t>
      </w:r>
      <w:proofErr w:type="gramEnd"/>
      <w:r w:rsidR="000B2397" w:rsidRPr="00E506D0">
        <w:rPr>
          <w:rFonts w:cstheme="minorHAnsi"/>
          <w:sz w:val="22"/>
          <w:szCs w:val="22"/>
        </w:rPr>
        <w:t xml:space="preserve"> </w:t>
      </w:r>
      <w:r w:rsidRPr="00E506D0">
        <w:rPr>
          <w:rFonts w:cstheme="minorHAnsi"/>
          <w:sz w:val="22"/>
          <w:szCs w:val="22"/>
        </w:rPr>
        <w:t xml:space="preserve">on estime </w:t>
      </w:r>
      <w:r w:rsidR="000B2397" w:rsidRPr="00E506D0">
        <w:rPr>
          <w:rFonts w:cstheme="minorHAnsi"/>
          <w:sz w:val="22"/>
          <w:szCs w:val="22"/>
        </w:rPr>
        <w:t xml:space="preserve">en effet </w:t>
      </w:r>
      <w:r w:rsidRPr="00E506D0">
        <w:rPr>
          <w:rFonts w:cstheme="minorHAnsi"/>
          <w:sz w:val="22"/>
          <w:szCs w:val="22"/>
        </w:rPr>
        <w:t xml:space="preserve">que </w:t>
      </w:r>
      <w:r w:rsidR="007A6A00" w:rsidRPr="00E506D0">
        <w:rPr>
          <w:rFonts w:cstheme="minorHAnsi"/>
          <w:sz w:val="22"/>
          <w:szCs w:val="22"/>
        </w:rPr>
        <w:t>le</w:t>
      </w:r>
      <w:r w:rsidRPr="00E506D0">
        <w:rPr>
          <w:rFonts w:cstheme="minorHAnsi"/>
          <w:sz w:val="22"/>
          <w:szCs w:val="22"/>
        </w:rPr>
        <w:t xml:space="preserve"> marché mondial </w:t>
      </w:r>
      <w:r w:rsidR="007A6A00" w:rsidRPr="00E506D0">
        <w:rPr>
          <w:rFonts w:cstheme="minorHAnsi"/>
          <w:sz w:val="22"/>
          <w:szCs w:val="22"/>
        </w:rPr>
        <w:t xml:space="preserve">qu'elle représente </w:t>
      </w:r>
      <w:r w:rsidRPr="00E506D0">
        <w:rPr>
          <w:rFonts w:cstheme="minorHAnsi"/>
          <w:sz w:val="22"/>
          <w:szCs w:val="22"/>
        </w:rPr>
        <w:t xml:space="preserve">dépassera 23 milliards </w:t>
      </w:r>
      <w:r w:rsidR="000B2397" w:rsidRPr="00E506D0">
        <w:rPr>
          <w:rFonts w:cstheme="minorHAnsi"/>
          <w:sz w:val="22"/>
          <w:szCs w:val="22"/>
        </w:rPr>
        <w:t>USD</w:t>
      </w:r>
      <w:r w:rsidR="00FF7B12" w:rsidRPr="00E506D0">
        <w:rPr>
          <w:rFonts w:cstheme="minorHAnsi"/>
          <w:sz w:val="22"/>
          <w:szCs w:val="22"/>
        </w:rPr>
        <w:t xml:space="preserve"> </w:t>
      </w:r>
      <w:r w:rsidRPr="00E506D0">
        <w:rPr>
          <w:rFonts w:cstheme="minorHAnsi"/>
          <w:sz w:val="22"/>
          <w:szCs w:val="22"/>
        </w:rPr>
        <w:t xml:space="preserve">d'ici </w:t>
      </w:r>
      <w:r w:rsidR="000B2397" w:rsidRPr="00E506D0">
        <w:rPr>
          <w:rFonts w:cstheme="minorHAnsi"/>
          <w:sz w:val="22"/>
          <w:szCs w:val="22"/>
        </w:rPr>
        <w:t xml:space="preserve">à </w:t>
      </w:r>
      <w:r w:rsidRPr="00E506D0">
        <w:rPr>
          <w:rFonts w:cstheme="minorHAnsi"/>
          <w:sz w:val="22"/>
          <w:szCs w:val="22"/>
        </w:rPr>
        <w:t>2022</w:t>
      </w:r>
      <w:r w:rsidR="000B2397" w:rsidRPr="00E506D0">
        <w:rPr>
          <w:rFonts w:cstheme="minorHAnsi"/>
          <w:sz w:val="22"/>
          <w:szCs w:val="22"/>
        </w:rPr>
        <w:t>, soit une</w:t>
      </w:r>
      <w:r w:rsidR="00FF7B12" w:rsidRPr="00E506D0">
        <w:rPr>
          <w:rFonts w:cstheme="minorHAnsi"/>
          <w:sz w:val="22"/>
          <w:szCs w:val="22"/>
        </w:rPr>
        <w:t xml:space="preserve"> </w:t>
      </w:r>
      <w:r w:rsidRPr="00E506D0">
        <w:rPr>
          <w:rFonts w:cstheme="minorHAnsi"/>
          <w:sz w:val="22"/>
          <w:szCs w:val="22"/>
        </w:rPr>
        <w:t>croissance annuelle moyenne</w:t>
      </w:r>
      <w:r w:rsidR="00FF7B12" w:rsidRPr="00E506D0">
        <w:rPr>
          <w:rFonts w:cstheme="minorHAnsi"/>
          <w:sz w:val="22"/>
          <w:szCs w:val="22"/>
        </w:rPr>
        <w:t xml:space="preserve"> </w:t>
      </w:r>
      <w:r w:rsidR="000B2397" w:rsidRPr="00E506D0">
        <w:rPr>
          <w:rFonts w:cstheme="minorHAnsi"/>
          <w:sz w:val="22"/>
          <w:szCs w:val="22"/>
        </w:rPr>
        <w:t>de</w:t>
      </w:r>
      <w:r w:rsidR="00FF7B12" w:rsidRPr="00E506D0">
        <w:rPr>
          <w:rFonts w:cstheme="minorHAnsi"/>
          <w:sz w:val="22"/>
          <w:szCs w:val="22"/>
        </w:rPr>
        <w:t xml:space="preserve"> </w:t>
      </w:r>
      <w:r w:rsidRPr="00E506D0">
        <w:rPr>
          <w:rFonts w:cstheme="minorHAnsi"/>
          <w:sz w:val="22"/>
          <w:szCs w:val="22"/>
        </w:rPr>
        <w:t>près de 20</w:t>
      </w:r>
      <w:r w:rsidR="00FF7B12" w:rsidRPr="00E506D0">
        <w:rPr>
          <w:rFonts w:cstheme="minorHAnsi"/>
          <w:sz w:val="22"/>
          <w:szCs w:val="22"/>
        </w:rPr>
        <w:t>%</w:t>
      </w:r>
      <w:r w:rsidRPr="00E506D0">
        <w:rPr>
          <w:rFonts w:cstheme="minorHAnsi"/>
          <w:sz w:val="22"/>
          <w:szCs w:val="22"/>
        </w:rPr>
        <w:t xml:space="preserve">. </w:t>
      </w:r>
      <w:r w:rsidR="007A6A00" w:rsidRPr="00E506D0">
        <w:rPr>
          <w:rFonts w:cstheme="minorHAnsi"/>
          <w:sz w:val="22"/>
          <w:szCs w:val="22"/>
        </w:rPr>
        <w:lastRenderedPageBreak/>
        <w:t xml:space="preserve">Ce concept tire parti de technologies de rupture </w:t>
      </w:r>
      <w:r w:rsidR="008D3246" w:rsidRPr="00E506D0">
        <w:rPr>
          <w:rFonts w:cstheme="minorHAnsi"/>
          <w:sz w:val="22"/>
          <w:szCs w:val="22"/>
        </w:rPr>
        <w:t xml:space="preserve">visant à accroître le rendement des cultures, à optimiser l'efficacité des ressources et à renforcer les chaînes d'approvisionnement </w:t>
      </w:r>
      <w:r w:rsidR="000D5AE4" w:rsidRPr="00E506D0">
        <w:rPr>
          <w:rFonts w:cstheme="minorHAnsi"/>
          <w:sz w:val="22"/>
          <w:szCs w:val="22"/>
        </w:rPr>
        <w:t>globales</w:t>
      </w:r>
      <w:r w:rsidR="008D3246" w:rsidRPr="00E506D0">
        <w:rPr>
          <w:rFonts w:cstheme="minorHAnsi"/>
          <w:sz w:val="22"/>
          <w:szCs w:val="22"/>
        </w:rPr>
        <w:t>. L'agriculture numérique</w:t>
      </w:r>
      <w:r w:rsidR="000B2397" w:rsidRPr="00E506D0">
        <w:rPr>
          <w:rFonts w:cstheme="minorHAnsi"/>
          <w:sz w:val="22"/>
          <w:szCs w:val="22"/>
        </w:rPr>
        <w:t xml:space="preserve"> englobe</w:t>
      </w:r>
      <w:r w:rsidR="008D3246" w:rsidRPr="00E506D0">
        <w:rPr>
          <w:rFonts w:cstheme="minorHAnsi"/>
          <w:sz w:val="22"/>
          <w:szCs w:val="22"/>
        </w:rPr>
        <w:t xml:space="preserve"> aussi l'agriculture de précision, dans la mesure où ce concept intègre également des techniques telles que l'agriculture en environnement contrôlé, l'agriculture verticale et les serres intelligentes.</w:t>
      </w:r>
    </w:p>
    <w:p w14:paraId="534B1CAC" w14:textId="77EBAD08" w:rsidR="000D5AE4" w:rsidRPr="00E506D0" w:rsidRDefault="000D5AE4" w:rsidP="00FF7B12">
      <w:pPr>
        <w:rPr>
          <w:rFonts w:cstheme="minorHAnsi"/>
          <w:sz w:val="22"/>
          <w:szCs w:val="22"/>
        </w:rPr>
      </w:pPr>
      <w:r w:rsidRPr="00E506D0">
        <w:rPr>
          <w:rFonts w:cstheme="minorHAnsi"/>
          <w:sz w:val="22"/>
          <w:szCs w:val="22"/>
        </w:rPr>
        <w:t>Dans ce contexte d</w:t>
      </w:r>
      <w:r w:rsidR="000B2397" w:rsidRPr="00E506D0">
        <w:rPr>
          <w:rFonts w:cstheme="minorHAnsi"/>
          <w:sz w:val="22"/>
          <w:szCs w:val="22"/>
        </w:rPr>
        <w:t>e l</w:t>
      </w:r>
      <w:r w:rsidRPr="00E506D0">
        <w:rPr>
          <w:rFonts w:cstheme="minorHAnsi"/>
          <w:sz w:val="22"/>
          <w:szCs w:val="22"/>
        </w:rPr>
        <w:t xml:space="preserve">'agriculture numérique, cet épisode du webinaire </w:t>
      </w:r>
      <w:r w:rsidR="00B14FED" w:rsidRPr="00E506D0">
        <w:rPr>
          <w:rFonts w:cstheme="minorHAnsi"/>
          <w:sz w:val="22"/>
          <w:szCs w:val="22"/>
        </w:rPr>
        <w:t>sera l</w:t>
      </w:r>
      <w:r w:rsidR="00FF7B12" w:rsidRPr="00E506D0">
        <w:rPr>
          <w:rFonts w:cstheme="minorHAnsi"/>
          <w:sz w:val="22"/>
          <w:szCs w:val="22"/>
        </w:rPr>
        <w:t>'</w:t>
      </w:r>
      <w:r w:rsidR="00B14FED" w:rsidRPr="00E506D0">
        <w:rPr>
          <w:rFonts w:cstheme="minorHAnsi"/>
          <w:sz w:val="22"/>
          <w:szCs w:val="22"/>
        </w:rPr>
        <w:t>occasio</w:t>
      </w:r>
      <w:r w:rsidR="00CA7521" w:rsidRPr="00E506D0">
        <w:rPr>
          <w:rFonts w:cstheme="minorHAnsi"/>
          <w:sz w:val="22"/>
          <w:szCs w:val="22"/>
        </w:rPr>
        <w:t>n</w:t>
      </w:r>
      <w:r w:rsidR="00B14FED" w:rsidRPr="00E506D0">
        <w:rPr>
          <w:rFonts w:cstheme="minorHAnsi"/>
          <w:sz w:val="22"/>
          <w:szCs w:val="22"/>
        </w:rPr>
        <w:t xml:space="preserve"> d</w:t>
      </w:r>
      <w:r w:rsidR="00FF7B12" w:rsidRPr="00E506D0">
        <w:rPr>
          <w:rFonts w:cstheme="minorHAnsi"/>
          <w:sz w:val="22"/>
          <w:szCs w:val="22"/>
        </w:rPr>
        <w:t>'</w:t>
      </w:r>
      <w:r w:rsidRPr="00E506D0">
        <w:rPr>
          <w:rFonts w:cstheme="minorHAnsi"/>
          <w:sz w:val="22"/>
          <w:szCs w:val="22"/>
        </w:rPr>
        <w:t>approfondir</w:t>
      </w:r>
      <w:r w:rsidR="00FF7B12" w:rsidRPr="00E506D0">
        <w:rPr>
          <w:rFonts w:cstheme="minorHAnsi"/>
          <w:sz w:val="22"/>
          <w:szCs w:val="22"/>
        </w:rPr>
        <w:t xml:space="preserve"> </w:t>
      </w:r>
      <w:r w:rsidRPr="00E506D0">
        <w:rPr>
          <w:rFonts w:cstheme="minorHAnsi"/>
          <w:sz w:val="22"/>
          <w:szCs w:val="22"/>
        </w:rPr>
        <w:t xml:space="preserve">divers aspects </w:t>
      </w:r>
      <w:r w:rsidR="00B14FED" w:rsidRPr="00E506D0">
        <w:rPr>
          <w:rFonts w:cstheme="minorHAnsi"/>
          <w:sz w:val="22"/>
          <w:szCs w:val="22"/>
        </w:rPr>
        <w:t>du</w:t>
      </w:r>
      <w:r w:rsidR="00FF7B12" w:rsidRPr="00E506D0">
        <w:rPr>
          <w:rFonts w:cstheme="minorHAnsi"/>
          <w:sz w:val="22"/>
          <w:szCs w:val="22"/>
        </w:rPr>
        <w:t xml:space="preserve"> </w:t>
      </w:r>
      <w:r w:rsidRPr="00E506D0">
        <w:rPr>
          <w:rFonts w:cstheme="minorHAnsi"/>
          <w:sz w:val="22"/>
          <w:szCs w:val="22"/>
        </w:rPr>
        <w:t xml:space="preserve">recours à l'intelligence artificielle et à l'Internet des objets pour accélérer la transformation numérique des processus de production agricole, tout en étudiant la situation actuelle en matière de normalisation dans le domaine </w:t>
      </w:r>
      <w:r w:rsidR="00B14FED" w:rsidRPr="00E506D0">
        <w:rPr>
          <w:rFonts w:cstheme="minorHAnsi"/>
          <w:sz w:val="22"/>
          <w:szCs w:val="22"/>
        </w:rPr>
        <w:t>de l</w:t>
      </w:r>
      <w:r w:rsidR="00FF7B12" w:rsidRPr="00E506D0">
        <w:rPr>
          <w:rFonts w:cstheme="minorHAnsi"/>
          <w:sz w:val="22"/>
          <w:szCs w:val="22"/>
        </w:rPr>
        <w:t>'</w:t>
      </w:r>
      <w:r w:rsidR="00B14FED" w:rsidRPr="00E506D0">
        <w:rPr>
          <w:rFonts w:cstheme="minorHAnsi"/>
          <w:sz w:val="22"/>
          <w:szCs w:val="22"/>
        </w:rPr>
        <w:t>agriculture</w:t>
      </w:r>
      <w:r w:rsidR="00CA7521" w:rsidRPr="00E506D0">
        <w:rPr>
          <w:rFonts w:cstheme="minorHAnsi"/>
          <w:sz w:val="22"/>
          <w:szCs w:val="22"/>
        </w:rPr>
        <w:t>.</w:t>
      </w:r>
    </w:p>
    <w:bookmarkEnd w:id="2"/>
    <w:p w14:paraId="02215F79" w14:textId="44F539F9" w:rsidR="00035251" w:rsidRPr="00E506D0" w:rsidRDefault="00035251" w:rsidP="00FF7B12">
      <w:pPr>
        <w:rPr>
          <w:rFonts w:cstheme="minorHAnsi"/>
          <w:sz w:val="22"/>
          <w:szCs w:val="22"/>
        </w:rPr>
      </w:pPr>
      <w:r w:rsidRPr="00E506D0">
        <w:rPr>
          <w:rFonts w:cstheme="minorHAnsi"/>
          <w:sz w:val="22"/>
          <w:szCs w:val="22"/>
        </w:rPr>
        <w:t>4</w:t>
      </w:r>
      <w:r w:rsidRPr="00E506D0">
        <w:rPr>
          <w:rFonts w:cstheme="minorHAnsi"/>
          <w:sz w:val="22"/>
          <w:szCs w:val="22"/>
        </w:rPr>
        <w:tab/>
        <w:t xml:space="preserve">La participation au </w:t>
      </w:r>
      <w:r w:rsidR="00FD0AF8" w:rsidRPr="00E506D0">
        <w:rPr>
          <w:rFonts w:cstheme="minorHAnsi"/>
          <w:sz w:val="22"/>
          <w:szCs w:val="22"/>
        </w:rPr>
        <w:t>webinaire</w:t>
      </w:r>
      <w:r w:rsidRPr="00E506D0">
        <w:rPr>
          <w:rFonts w:cstheme="minorHAnsi"/>
          <w:sz w:val="22"/>
          <w:szCs w:val="22"/>
        </w:rPr>
        <w:t xml:space="preserve"> est ouverte aux États Membres, aux Membres de Secteur, aux Associés de l'UIT et aux établissements universitaires </w:t>
      </w:r>
      <w:r w:rsidR="002F7DB4" w:rsidRPr="00E506D0">
        <w:rPr>
          <w:rFonts w:cstheme="minorHAnsi"/>
          <w:color w:val="000000"/>
          <w:sz w:val="22"/>
          <w:szCs w:val="22"/>
        </w:rPr>
        <w:t>admis à participer aux travaux de l'Union</w:t>
      </w:r>
      <w:r w:rsidRPr="00E506D0">
        <w:rPr>
          <w:rFonts w:cstheme="minorHAnsi"/>
          <w:sz w:val="22"/>
          <w:szCs w:val="22"/>
        </w:rPr>
        <w:t>, ainsi qu'à toute personne issue d'un pays Membre de l'UIT qui souhaite contribuer aux travaux. Il peut s'agir de personnes qui sont aussi membres d'organisations internationales, régionales ou nationales. La participation est gratuite.</w:t>
      </w:r>
    </w:p>
    <w:p w14:paraId="5558524A" w14:textId="275A04D8" w:rsidR="00035251" w:rsidRPr="00E506D0" w:rsidRDefault="00035251" w:rsidP="00FF7B12">
      <w:pPr>
        <w:rPr>
          <w:rFonts w:cstheme="minorHAnsi"/>
          <w:sz w:val="22"/>
          <w:szCs w:val="22"/>
        </w:rPr>
      </w:pPr>
      <w:r w:rsidRPr="00E506D0">
        <w:rPr>
          <w:rFonts w:cstheme="minorHAnsi"/>
          <w:sz w:val="22"/>
          <w:szCs w:val="22"/>
        </w:rPr>
        <w:t>5</w:t>
      </w:r>
      <w:r w:rsidRPr="00E506D0">
        <w:rPr>
          <w:rFonts w:cstheme="minorHAnsi"/>
          <w:sz w:val="22"/>
          <w:szCs w:val="22"/>
        </w:rPr>
        <w:tab/>
      </w:r>
      <w:r w:rsidR="001737C9" w:rsidRPr="00E506D0">
        <w:rPr>
          <w:rFonts w:cstheme="minorHAnsi"/>
          <w:sz w:val="22"/>
          <w:szCs w:val="22"/>
        </w:rPr>
        <w:t xml:space="preserve">Les informations relatives à ce </w:t>
      </w:r>
      <w:r w:rsidR="009B558B" w:rsidRPr="00E506D0">
        <w:rPr>
          <w:rFonts w:cstheme="minorHAnsi"/>
          <w:sz w:val="22"/>
          <w:szCs w:val="22"/>
        </w:rPr>
        <w:t>webinaire</w:t>
      </w:r>
      <w:r w:rsidR="001737C9" w:rsidRPr="00E506D0">
        <w:rPr>
          <w:rFonts w:cstheme="minorHAnsi"/>
          <w:sz w:val="22"/>
          <w:szCs w:val="22"/>
        </w:rPr>
        <w:t xml:space="preserve">, notamment le projet de programme, les intervenants, les modalités de participation à distance et lien pour l'inscription, seront disponibles sur le site web de la manifestation à l'adresse </w:t>
      </w:r>
      <w:proofErr w:type="gramStart"/>
      <w:r w:rsidR="001737C9" w:rsidRPr="00E506D0">
        <w:rPr>
          <w:rFonts w:cstheme="minorHAnsi"/>
          <w:sz w:val="22"/>
          <w:szCs w:val="22"/>
        </w:rPr>
        <w:t>suivante:</w:t>
      </w:r>
      <w:proofErr w:type="gramEnd"/>
      <w:r w:rsidR="001737C9" w:rsidRPr="00E506D0">
        <w:rPr>
          <w:rFonts w:cstheme="minorHAnsi"/>
          <w:sz w:val="22"/>
          <w:szCs w:val="22"/>
        </w:rPr>
        <w:t xml:space="preserve"> </w:t>
      </w:r>
      <w:hyperlink r:id="rId12" w:history="1">
        <w:r w:rsidR="00651996" w:rsidRPr="00E506D0">
          <w:rPr>
            <w:rStyle w:val="Hyperlink"/>
            <w:rFonts w:cs="Calibri"/>
            <w:sz w:val="22"/>
            <w:szCs w:val="22"/>
          </w:rPr>
          <w:t>https://www.itu.int/en/ITU-T/webinars/dt4cc/20220329/Pages/default.aspx</w:t>
        </w:r>
      </w:hyperlink>
      <w:r w:rsidR="00651996" w:rsidRPr="00E506D0">
        <w:rPr>
          <w:rFonts w:cs="Calibri"/>
          <w:sz w:val="22"/>
          <w:szCs w:val="22"/>
        </w:rPr>
        <w:t>.</w:t>
      </w:r>
      <w:r w:rsidR="001737C9" w:rsidRPr="00E506D0">
        <w:rPr>
          <w:rFonts w:cstheme="minorHAnsi"/>
          <w:sz w:val="22"/>
          <w:szCs w:val="22"/>
        </w:rPr>
        <w:t xml:space="preserve"> Ce site web sera actualisé à mesure que parviendront des informations nouvelles ou modifiées. Les participants sont priés de consulter régulièrement le site pour prendre connaissance des dernières informations. Veuillez noter que l'inscription au </w:t>
      </w:r>
      <w:r w:rsidR="00275D73" w:rsidRPr="00E506D0">
        <w:rPr>
          <w:rFonts w:cstheme="minorHAnsi"/>
          <w:sz w:val="22"/>
          <w:szCs w:val="22"/>
        </w:rPr>
        <w:t>webinaire</w:t>
      </w:r>
      <w:r w:rsidR="001737C9" w:rsidRPr="00E506D0">
        <w:rPr>
          <w:rFonts w:cstheme="minorHAnsi"/>
          <w:sz w:val="22"/>
          <w:szCs w:val="22"/>
        </w:rPr>
        <w:t xml:space="preserve"> est obligatoire.</w:t>
      </w:r>
    </w:p>
    <w:p w14:paraId="0ED299E9" w14:textId="6638B829" w:rsidR="00481DBC" w:rsidRPr="00E506D0" w:rsidRDefault="00035251" w:rsidP="00FF7B12">
      <w:pPr>
        <w:rPr>
          <w:rFonts w:cstheme="minorHAnsi"/>
          <w:sz w:val="22"/>
          <w:szCs w:val="22"/>
        </w:rPr>
      </w:pPr>
      <w:r w:rsidRPr="00E506D0">
        <w:rPr>
          <w:rFonts w:cstheme="minorHAnsi"/>
          <w:sz w:val="22"/>
          <w:szCs w:val="22"/>
        </w:rPr>
        <w:t>6</w:t>
      </w:r>
      <w:r w:rsidRPr="00E506D0">
        <w:rPr>
          <w:rFonts w:cstheme="minorHAnsi"/>
          <w:sz w:val="22"/>
          <w:szCs w:val="22"/>
        </w:rPr>
        <w:tab/>
      </w:r>
      <w:r w:rsidR="008D3BBA" w:rsidRPr="00E506D0">
        <w:rPr>
          <w:rFonts w:cstheme="minorHAnsi"/>
          <w:sz w:val="22"/>
          <w:szCs w:val="22"/>
        </w:rPr>
        <w:t>Pour visionner les enregistrements des</w:t>
      </w:r>
      <w:r w:rsidR="00481DBC" w:rsidRPr="00E506D0">
        <w:rPr>
          <w:rFonts w:cstheme="minorHAnsi"/>
          <w:sz w:val="22"/>
          <w:szCs w:val="22"/>
        </w:rPr>
        <w:t xml:space="preserve"> épisodes précédents de la série de webinaires sur la </w:t>
      </w:r>
      <w:r w:rsidR="00481DBC" w:rsidRPr="00E506D0">
        <w:rPr>
          <w:rFonts w:cstheme="minorHAnsi"/>
          <w:b/>
          <w:sz w:val="22"/>
          <w:szCs w:val="22"/>
        </w:rPr>
        <w:t>transformation numérique des villes et des communautés</w:t>
      </w:r>
      <w:r w:rsidR="00481DBC" w:rsidRPr="00E506D0">
        <w:rPr>
          <w:rFonts w:cstheme="minorHAnsi"/>
          <w:sz w:val="22"/>
          <w:szCs w:val="22"/>
        </w:rPr>
        <w:t xml:space="preserve">, veuillez </w:t>
      </w:r>
      <w:r w:rsidR="008D3BBA" w:rsidRPr="00E506D0">
        <w:rPr>
          <w:rFonts w:cstheme="minorHAnsi"/>
          <w:sz w:val="22"/>
          <w:szCs w:val="22"/>
        </w:rPr>
        <w:t>cliquer sur les liens correspondants</w:t>
      </w:r>
      <w:r w:rsidR="00D8760C" w:rsidRPr="00E506D0">
        <w:rPr>
          <w:rFonts w:cstheme="minorHAnsi"/>
          <w:sz w:val="22"/>
          <w:szCs w:val="22"/>
        </w:rPr>
        <w:t xml:space="preserve"> </w:t>
      </w:r>
      <w:r w:rsidR="00930F6D" w:rsidRPr="00E506D0">
        <w:rPr>
          <w:rFonts w:cstheme="minorHAnsi"/>
          <w:sz w:val="22"/>
          <w:szCs w:val="22"/>
        </w:rPr>
        <w:t xml:space="preserve">qui se trouvent sur la page d'accueil principale disponible </w:t>
      </w:r>
      <w:hyperlink r:id="rId13" w:history="1">
        <w:r w:rsidR="00930F6D" w:rsidRPr="00E506D0">
          <w:rPr>
            <w:rStyle w:val="Hyperlink"/>
            <w:rFonts w:cstheme="minorHAnsi"/>
            <w:sz w:val="22"/>
            <w:szCs w:val="22"/>
          </w:rPr>
          <w:t>ici</w:t>
        </w:r>
      </w:hyperlink>
      <w:r w:rsidR="00930F6D" w:rsidRPr="00E506D0">
        <w:rPr>
          <w:rFonts w:cstheme="minorHAnsi"/>
          <w:sz w:val="22"/>
          <w:szCs w:val="22"/>
        </w:rPr>
        <w:t>.</w:t>
      </w:r>
    </w:p>
    <w:p w14:paraId="32CB617D" w14:textId="25D9573A" w:rsidR="00BD6ECF" w:rsidRPr="00E506D0" w:rsidRDefault="00517A03" w:rsidP="00FF7B12">
      <w:pPr>
        <w:rPr>
          <w:rFonts w:cstheme="minorHAnsi"/>
          <w:sz w:val="22"/>
          <w:szCs w:val="22"/>
        </w:rPr>
      </w:pPr>
      <w:r w:rsidRPr="00E506D0">
        <w:rPr>
          <w:rFonts w:cstheme="minorHAnsi"/>
          <w:sz w:val="22"/>
          <w:szCs w:val="22"/>
        </w:rPr>
        <w:t>Veuillez agréer, Madame, Monsieur, l</w:t>
      </w:r>
      <w:r w:rsidR="00167472" w:rsidRPr="00E506D0">
        <w:rPr>
          <w:rFonts w:cstheme="minorHAnsi"/>
          <w:sz w:val="22"/>
          <w:szCs w:val="22"/>
        </w:rPr>
        <w:t>'</w:t>
      </w:r>
      <w:r w:rsidRPr="00E506D0">
        <w:rPr>
          <w:rFonts w:cstheme="minorHAnsi"/>
          <w:sz w:val="22"/>
          <w:szCs w:val="22"/>
        </w:rPr>
        <w:t xml:space="preserve">assurance de ma </w:t>
      </w:r>
      <w:r w:rsidR="00930F6D" w:rsidRPr="00E506D0">
        <w:rPr>
          <w:rFonts w:cstheme="minorHAnsi"/>
          <w:sz w:val="22"/>
          <w:szCs w:val="22"/>
        </w:rPr>
        <w:t>considération distinguée.</w:t>
      </w:r>
    </w:p>
    <w:p w14:paraId="0BF41EB2" w14:textId="1DF4167A" w:rsidR="00517A03" w:rsidRPr="00E506D0" w:rsidRDefault="005430ED" w:rsidP="00582161">
      <w:pPr>
        <w:keepNext/>
        <w:keepLines/>
        <w:spacing w:before="960"/>
        <w:ind w:right="-284"/>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774F9A74" wp14:editId="27ED19AC">
            <wp:simplePos x="0" y="0"/>
            <wp:positionH relativeFrom="column">
              <wp:posOffset>635</wp:posOffset>
            </wp:positionH>
            <wp:positionV relativeFrom="paragraph">
              <wp:posOffset>127635</wp:posOffset>
            </wp:positionV>
            <wp:extent cx="546099" cy="409575"/>
            <wp:effectExtent l="0" t="0" r="698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6099" cy="409575"/>
                    </a:xfrm>
                    <a:prstGeom prst="rect">
                      <a:avLst/>
                    </a:prstGeom>
                  </pic:spPr>
                </pic:pic>
              </a:graphicData>
            </a:graphic>
            <wp14:sizeRelH relativeFrom="margin">
              <wp14:pctWidth>0</wp14:pctWidth>
            </wp14:sizeRelH>
            <wp14:sizeRelV relativeFrom="margin">
              <wp14:pctHeight>0</wp14:pctHeight>
            </wp14:sizeRelV>
          </wp:anchor>
        </w:drawing>
      </w:r>
      <w:r w:rsidR="00036F4F" w:rsidRPr="00E506D0">
        <w:rPr>
          <w:rFonts w:cstheme="minorHAnsi"/>
          <w:sz w:val="22"/>
          <w:szCs w:val="22"/>
        </w:rPr>
        <w:t>Chaesub Lee</w:t>
      </w:r>
      <w:r w:rsidR="00036F4F" w:rsidRPr="00E506D0">
        <w:rPr>
          <w:rFonts w:cstheme="minorHAnsi"/>
          <w:sz w:val="22"/>
          <w:szCs w:val="22"/>
        </w:rPr>
        <w:br/>
        <w:t xml:space="preserve">Directeur du Bureau de la normalisation </w:t>
      </w:r>
      <w:r w:rsidR="00036F4F" w:rsidRPr="00E506D0">
        <w:rPr>
          <w:rFonts w:cstheme="minorHAnsi"/>
          <w:sz w:val="22"/>
          <w:szCs w:val="22"/>
        </w:rPr>
        <w:br/>
        <w:t>des télécommunications</w:t>
      </w:r>
    </w:p>
    <w:sectPr w:rsidR="00517A03" w:rsidRPr="00E506D0"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3DBF1" w14:textId="77777777" w:rsidR="00AE302F" w:rsidRDefault="00AE302F">
      <w:r>
        <w:separator/>
      </w:r>
    </w:p>
  </w:endnote>
  <w:endnote w:type="continuationSeparator" w:id="0">
    <w:p w14:paraId="49D322E9" w14:textId="77777777" w:rsidR="00AE302F" w:rsidRDefault="00AE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6CE2" w14:textId="77777777" w:rsidR="005120A2" w:rsidRPr="009F7FDB"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9F7FDB">
      <w:rPr>
        <w:color w:val="0070C0"/>
        <w:sz w:val="18"/>
        <w:szCs w:val="18"/>
        <w:lang w:val="fr-CH"/>
      </w:rPr>
      <w:t>Union internationale des télécommunications • Place des Nations</w:t>
    </w:r>
    <w:r w:rsidR="00085F5A" w:rsidRPr="009F7FDB">
      <w:rPr>
        <w:color w:val="0070C0"/>
        <w:sz w:val="18"/>
        <w:szCs w:val="18"/>
        <w:lang w:val="fr-CH"/>
      </w:rPr>
      <w:t xml:space="preserve"> •</w:t>
    </w:r>
    <w:r w:rsidRPr="009F7FDB">
      <w:rPr>
        <w:color w:val="0070C0"/>
        <w:sz w:val="18"/>
        <w:szCs w:val="18"/>
        <w:lang w:val="fr-CH"/>
      </w:rPr>
      <w:t xml:space="preserve"> CH</w:t>
    </w:r>
    <w:r w:rsidRPr="009F7FDB">
      <w:rPr>
        <w:color w:val="0070C0"/>
        <w:sz w:val="18"/>
        <w:szCs w:val="18"/>
        <w:lang w:val="fr-CH"/>
      </w:rPr>
      <w:noBreakHyphen/>
      <w:t>1211 Genève 20</w:t>
    </w:r>
    <w:r w:rsidR="00085F5A" w:rsidRPr="009F7FDB">
      <w:rPr>
        <w:color w:val="0070C0"/>
        <w:sz w:val="18"/>
        <w:szCs w:val="18"/>
        <w:lang w:val="fr-CH"/>
      </w:rPr>
      <w:t xml:space="preserve"> •</w:t>
    </w:r>
    <w:r w:rsidRPr="009F7FDB">
      <w:rPr>
        <w:color w:val="0070C0"/>
        <w:sz w:val="18"/>
        <w:szCs w:val="18"/>
        <w:lang w:val="fr-CH"/>
      </w:rPr>
      <w:t xml:space="preserve"> Suisse </w:t>
    </w:r>
    <w:r w:rsidRPr="009F7FDB">
      <w:rPr>
        <w:color w:val="0070C0"/>
        <w:sz w:val="18"/>
        <w:szCs w:val="18"/>
        <w:lang w:val="fr-CH"/>
      </w:rPr>
      <w:br/>
    </w:r>
    <w:proofErr w:type="gramStart"/>
    <w:r w:rsidRPr="009F7FDB">
      <w:rPr>
        <w:color w:val="0070C0"/>
        <w:sz w:val="18"/>
        <w:szCs w:val="18"/>
        <w:lang w:val="fr-CH"/>
      </w:rPr>
      <w:t>Tél</w:t>
    </w:r>
    <w:r w:rsidR="00085F5A" w:rsidRPr="009F7FDB">
      <w:rPr>
        <w:color w:val="0070C0"/>
        <w:sz w:val="18"/>
        <w:szCs w:val="18"/>
        <w:lang w:val="fr-CH"/>
      </w:rPr>
      <w:t>.</w:t>
    </w:r>
    <w:r w:rsidRPr="009F7FDB">
      <w:rPr>
        <w:color w:val="0070C0"/>
        <w:sz w:val="18"/>
        <w:szCs w:val="18"/>
        <w:lang w:val="fr-CH"/>
      </w:rPr>
      <w:t>:</w:t>
    </w:r>
    <w:proofErr w:type="gramEnd"/>
    <w:r w:rsidRPr="009F7FDB">
      <w:rPr>
        <w:color w:val="0070C0"/>
        <w:sz w:val="18"/>
        <w:szCs w:val="18"/>
        <w:lang w:val="fr-CH"/>
      </w:rPr>
      <w:t xml:space="preserve"> +41 22 730 5111 • Fax: +41 22 733 7256 • </w:t>
    </w:r>
    <w:r w:rsidR="00085F5A" w:rsidRPr="009F7FDB">
      <w:rPr>
        <w:color w:val="0070C0"/>
        <w:sz w:val="18"/>
        <w:szCs w:val="18"/>
        <w:lang w:val="fr-CH"/>
      </w:rPr>
      <w:t>Courriel</w:t>
    </w:r>
    <w:r w:rsidRPr="009F7FDB">
      <w:rPr>
        <w:color w:val="0070C0"/>
        <w:sz w:val="18"/>
        <w:szCs w:val="18"/>
        <w:lang w:val="fr-CH"/>
      </w:rPr>
      <w:t xml:space="preserve">: </w:t>
    </w:r>
    <w:hyperlink r:id="rId1" w:history="1">
      <w:r w:rsidRPr="009F7FDB">
        <w:rPr>
          <w:rStyle w:val="Hyperlink"/>
          <w:color w:val="0070C0"/>
          <w:sz w:val="18"/>
          <w:szCs w:val="18"/>
        </w:rPr>
        <w:t>itumail@itu.int</w:t>
      </w:r>
    </w:hyperlink>
    <w:r w:rsidRPr="009F7FDB">
      <w:rPr>
        <w:color w:val="0070C0"/>
        <w:sz w:val="18"/>
        <w:szCs w:val="18"/>
        <w:lang w:val="fr-CH"/>
      </w:rPr>
      <w:t xml:space="preserve"> • </w:t>
    </w:r>
    <w:hyperlink r:id="rId2" w:history="1">
      <w:r w:rsidRPr="009F7FDB">
        <w:rPr>
          <w:rStyle w:val="Hyperlink"/>
          <w:color w:val="0070C0"/>
          <w:sz w:val="18"/>
          <w:szCs w:val="18"/>
        </w:rPr>
        <w:t>www.itu.int</w:t>
      </w:r>
    </w:hyperlink>
    <w:r w:rsidRPr="009F7FDB">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19CF" w14:textId="77777777" w:rsidR="00AE302F" w:rsidRDefault="00AE302F">
      <w:r>
        <w:t>____________________</w:t>
      </w:r>
    </w:p>
  </w:footnote>
  <w:footnote w:type="continuationSeparator" w:id="0">
    <w:p w14:paraId="4BAE57C3" w14:textId="77777777" w:rsidR="00AE302F" w:rsidRDefault="00AE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22B27" w14:textId="4DF50CC1" w:rsidR="00697BC1" w:rsidRPr="007233A7" w:rsidRDefault="005430ED" w:rsidP="00FF7B12">
    <w:pPr>
      <w:pStyle w:val="Header"/>
      <w:rPr>
        <w:rFonts w:cstheme="minorHAnsi"/>
        <w:sz w:val="18"/>
        <w:szCs w:val="18"/>
      </w:rPr>
    </w:pPr>
    <w:sdt>
      <w:sdtPr>
        <w:rPr>
          <w:rFonts w:cstheme="minorHAnsi"/>
          <w:sz w:val="18"/>
          <w:szCs w:val="18"/>
        </w:rPr>
        <w:id w:val="526448189"/>
        <w:docPartObj>
          <w:docPartGallery w:val="Page Numbers (Top of Page)"/>
          <w:docPartUnique/>
        </w:docPartObj>
      </w:sdtPr>
      <w:sdtEndPr>
        <w:rPr>
          <w:noProof/>
        </w:rPr>
      </w:sdtEndPr>
      <w:sdtContent>
        <w:r w:rsidR="005120A2" w:rsidRPr="007233A7">
          <w:rPr>
            <w:rFonts w:cstheme="minorHAnsi"/>
            <w:sz w:val="18"/>
            <w:szCs w:val="18"/>
          </w:rPr>
          <w:t>-</w:t>
        </w:r>
        <w:r w:rsidR="00697BC1" w:rsidRPr="007233A7">
          <w:rPr>
            <w:rFonts w:cstheme="minorHAnsi"/>
            <w:sz w:val="18"/>
            <w:szCs w:val="18"/>
          </w:rPr>
          <w:t xml:space="preserve"> </w:t>
        </w:r>
        <w:r w:rsidR="00697BC1" w:rsidRPr="007233A7">
          <w:rPr>
            <w:rFonts w:cstheme="minorHAnsi"/>
            <w:sz w:val="18"/>
            <w:szCs w:val="18"/>
          </w:rPr>
          <w:fldChar w:fldCharType="begin"/>
        </w:r>
        <w:r w:rsidR="00697BC1" w:rsidRPr="007233A7">
          <w:rPr>
            <w:rFonts w:cstheme="minorHAnsi"/>
            <w:sz w:val="18"/>
            <w:szCs w:val="18"/>
          </w:rPr>
          <w:instrText xml:space="preserve"> PAGE   \* MERGEFORMAT </w:instrText>
        </w:r>
        <w:r w:rsidR="00697BC1" w:rsidRPr="007233A7">
          <w:rPr>
            <w:rFonts w:cstheme="minorHAnsi"/>
            <w:sz w:val="18"/>
            <w:szCs w:val="18"/>
          </w:rPr>
          <w:fldChar w:fldCharType="separate"/>
        </w:r>
        <w:r w:rsidR="00F4329D">
          <w:rPr>
            <w:rFonts w:cstheme="minorHAnsi"/>
            <w:noProof/>
            <w:sz w:val="18"/>
            <w:szCs w:val="18"/>
          </w:rPr>
          <w:t>2</w:t>
        </w:r>
        <w:r w:rsidR="00697BC1" w:rsidRPr="007233A7">
          <w:rPr>
            <w:rFonts w:cstheme="minorHAnsi"/>
            <w:noProof/>
            <w:sz w:val="18"/>
            <w:szCs w:val="18"/>
          </w:rPr>
          <w:fldChar w:fldCharType="end"/>
        </w:r>
      </w:sdtContent>
    </w:sdt>
    <w:r w:rsidR="00697BC1" w:rsidRPr="007233A7">
      <w:rPr>
        <w:rFonts w:cstheme="minorHAnsi"/>
        <w:noProof/>
        <w:sz w:val="18"/>
        <w:szCs w:val="18"/>
      </w:rPr>
      <w:t xml:space="preserve"> </w:t>
    </w:r>
    <w:r w:rsidR="005120A2" w:rsidRPr="007233A7">
      <w:rPr>
        <w:rFonts w:cstheme="minorHAnsi"/>
        <w:noProof/>
        <w:sz w:val="18"/>
        <w:szCs w:val="18"/>
      </w:rPr>
      <w:t>-</w:t>
    </w:r>
    <w:r w:rsidR="00A5424C" w:rsidRPr="007233A7">
      <w:rPr>
        <w:rFonts w:cstheme="minorHAnsi"/>
        <w:noProof/>
        <w:sz w:val="18"/>
        <w:szCs w:val="18"/>
      </w:rPr>
      <w:br/>
      <w:t>Circulaire TSB</w:t>
    </w:r>
    <w:r w:rsidR="00386BFF">
      <w:rPr>
        <w:rFonts w:cstheme="minorHAnsi"/>
        <w:noProof/>
        <w:sz w:val="18"/>
        <w:szCs w:val="18"/>
      </w:rPr>
      <w:t> </w:t>
    </w:r>
    <w:r w:rsidR="00A5424C" w:rsidRPr="007233A7">
      <w:rPr>
        <w:rFonts w:cstheme="minorHAnsi"/>
        <w:noProof/>
        <w:sz w:val="18"/>
        <w:szCs w:val="18"/>
      </w:rPr>
      <w:t>3</w:t>
    </w:r>
    <w:r w:rsidR="00FF7B12">
      <w:rPr>
        <w:rFonts w:cstheme="minorHAnsi"/>
        <w:noProof/>
        <w:sz w:val="18"/>
        <w:szCs w:val="18"/>
      </w:rPr>
      <w:t>7</w:t>
    </w:r>
    <w:r w:rsidR="00A5424C" w:rsidRPr="007233A7">
      <w:rPr>
        <w:rFonts w:cstheme="minorHAnsi"/>
        <w:noProof/>
        <w:sz w:val="18"/>
        <w:szCs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FEE56A4-51F4-423A-9980-CC5D1ED8B352}"/>
    <w:docVar w:name="dgnword-eventsink" w:val="2880691009760"/>
  </w:docVars>
  <w:rsids>
    <w:rsidRoot w:val="00035251"/>
    <w:rsid w:val="000039EE"/>
    <w:rsid w:val="00005622"/>
    <w:rsid w:val="0002519E"/>
    <w:rsid w:val="00035251"/>
    <w:rsid w:val="00035B43"/>
    <w:rsid w:val="00036F4F"/>
    <w:rsid w:val="000758B3"/>
    <w:rsid w:val="00085F5A"/>
    <w:rsid w:val="000903F3"/>
    <w:rsid w:val="000B0D96"/>
    <w:rsid w:val="000B2397"/>
    <w:rsid w:val="000B59D8"/>
    <w:rsid w:val="000C1F6B"/>
    <w:rsid w:val="000C25CC"/>
    <w:rsid w:val="000C56BE"/>
    <w:rsid w:val="000D5AE4"/>
    <w:rsid w:val="000F61C4"/>
    <w:rsid w:val="001026FD"/>
    <w:rsid w:val="001077FD"/>
    <w:rsid w:val="00115DD7"/>
    <w:rsid w:val="00146391"/>
    <w:rsid w:val="00146887"/>
    <w:rsid w:val="00167472"/>
    <w:rsid w:val="00167F92"/>
    <w:rsid w:val="001709F0"/>
    <w:rsid w:val="00173619"/>
    <w:rsid w:val="00173738"/>
    <w:rsid w:val="001737C9"/>
    <w:rsid w:val="001945BB"/>
    <w:rsid w:val="00194872"/>
    <w:rsid w:val="001B79A3"/>
    <w:rsid w:val="001D7F2D"/>
    <w:rsid w:val="002152A3"/>
    <w:rsid w:val="00252813"/>
    <w:rsid w:val="00257170"/>
    <w:rsid w:val="002739E7"/>
    <w:rsid w:val="00275D73"/>
    <w:rsid w:val="002D6E3F"/>
    <w:rsid w:val="002E395D"/>
    <w:rsid w:val="002F7DB4"/>
    <w:rsid w:val="00305E5B"/>
    <w:rsid w:val="003131F0"/>
    <w:rsid w:val="00333A80"/>
    <w:rsid w:val="00341117"/>
    <w:rsid w:val="00363675"/>
    <w:rsid w:val="00364191"/>
    <w:rsid w:val="00364E95"/>
    <w:rsid w:val="00372875"/>
    <w:rsid w:val="00373D35"/>
    <w:rsid w:val="00386BFF"/>
    <w:rsid w:val="003B1E80"/>
    <w:rsid w:val="003B66E8"/>
    <w:rsid w:val="003C0BA7"/>
    <w:rsid w:val="003E66AD"/>
    <w:rsid w:val="004033F1"/>
    <w:rsid w:val="00414B0C"/>
    <w:rsid w:val="00423C21"/>
    <w:rsid w:val="004257AC"/>
    <w:rsid w:val="0043711B"/>
    <w:rsid w:val="00481DBC"/>
    <w:rsid w:val="004977C9"/>
    <w:rsid w:val="004A6691"/>
    <w:rsid w:val="004B63FA"/>
    <w:rsid w:val="004B732E"/>
    <w:rsid w:val="004D51F4"/>
    <w:rsid w:val="004D64E0"/>
    <w:rsid w:val="005120A2"/>
    <w:rsid w:val="0051210D"/>
    <w:rsid w:val="005136D2"/>
    <w:rsid w:val="00513DC5"/>
    <w:rsid w:val="00514499"/>
    <w:rsid w:val="00517A03"/>
    <w:rsid w:val="005257EB"/>
    <w:rsid w:val="005430ED"/>
    <w:rsid w:val="00582161"/>
    <w:rsid w:val="005A191B"/>
    <w:rsid w:val="005A3DD9"/>
    <w:rsid w:val="005B1DFC"/>
    <w:rsid w:val="00601682"/>
    <w:rsid w:val="00603470"/>
    <w:rsid w:val="0060649A"/>
    <w:rsid w:val="00625E79"/>
    <w:rsid w:val="006333F7"/>
    <w:rsid w:val="006427A1"/>
    <w:rsid w:val="00644741"/>
    <w:rsid w:val="00651996"/>
    <w:rsid w:val="00681397"/>
    <w:rsid w:val="00697BC1"/>
    <w:rsid w:val="006A6FFE"/>
    <w:rsid w:val="006B2E3E"/>
    <w:rsid w:val="006B7588"/>
    <w:rsid w:val="006C5A91"/>
    <w:rsid w:val="00716BBC"/>
    <w:rsid w:val="007233A7"/>
    <w:rsid w:val="007321BC"/>
    <w:rsid w:val="00760063"/>
    <w:rsid w:val="00775E4B"/>
    <w:rsid w:val="00791577"/>
    <w:rsid w:val="0079553B"/>
    <w:rsid w:val="00795679"/>
    <w:rsid w:val="007A40FE"/>
    <w:rsid w:val="007A6A00"/>
    <w:rsid w:val="007A74BF"/>
    <w:rsid w:val="007D1F4D"/>
    <w:rsid w:val="008007B8"/>
    <w:rsid w:val="0080669D"/>
    <w:rsid w:val="00810105"/>
    <w:rsid w:val="008157E0"/>
    <w:rsid w:val="00850477"/>
    <w:rsid w:val="00854E1D"/>
    <w:rsid w:val="008859AC"/>
    <w:rsid w:val="00887FA6"/>
    <w:rsid w:val="008C4397"/>
    <w:rsid w:val="008C465A"/>
    <w:rsid w:val="008D3246"/>
    <w:rsid w:val="008D3BBA"/>
    <w:rsid w:val="008F2C9B"/>
    <w:rsid w:val="00923CD6"/>
    <w:rsid w:val="00930F6D"/>
    <w:rsid w:val="00935AA8"/>
    <w:rsid w:val="00960391"/>
    <w:rsid w:val="00971C9A"/>
    <w:rsid w:val="009766AE"/>
    <w:rsid w:val="009B558B"/>
    <w:rsid w:val="009D51FA"/>
    <w:rsid w:val="009F1E23"/>
    <w:rsid w:val="009F7FDB"/>
    <w:rsid w:val="00A15179"/>
    <w:rsid w:val="00A16133"/>
    <w:rsid w:val="00A20814"/>
    <w:rsid w:val="00A51537"/>
    <w:rsid w:val="00A5280F"/>
    <w:rsid w:val="00A5424C"/>
    <w:rsid w:val="00A5645A"/>
    <w:rsid w:val="00A60FC1"/>
    <w:rsid w:val="00A97C37"/>
    <w:rsid w:val="00AA131B"/>
    <w:rsid w:val="00AC37B5"/>
    <w:rsid w:val="00AD752F"/>
    <w:rsid w:val="00AE0866"/>
    <w:rsid w:val="00AE302F"/>
    <w:rsid w:val="00AF08A4"/>
    <w:rsid w:val="00B06847"/>
    <w:rsid w:val="00B13D59"/>
    <w:rsid w:val="00B14FED"/>
    <w:rsid w:val="00B27B41"/>
    <w:rsid w:val="00B36D2C"/>
    <w:rsid w:val="00B42659"/>
    <w:rsid w:val="00B46DD8"/>
    <w:rsid w:val="00B612EE"/>
    <w:rsid w:val="00B8573E"/>
    <w:rsid w:val="00BA4D6A"/>
    <w:rsid w:val="00BB24C0"/>
    <w:rsid w:val="00BD6ECF"/>
    <w:rsid w:val="00C060C7"/>
    <w:rsid w:val="00C26F2E"/>
    <w:rsid w:val="00C302E3"/>
    <w:rsid w:val="00C3212E"/>
    <w:rsid w:val="00C36252"/>
    <w:rsid w:val="00C418B9"/>
    <w:rsid w:val="00C45376"/>
    <w:rsid w:val="00C9028F"/>
    <w:rsid w:val="00CA0416"/>
    <w:rsid w:val="00CA7521"/>
    <w:rsid w:val="00CB1125"/>
    <w:rsid w:val="00CB1B67"/>
    <w:rsid w:val="00CC1994"/>
    <w:rsid w:val="00CD042E"/>
    <w:rsid w:val="00CF2560"/>
    <w:rsid w:val="00CF5B46"/>
    <w:rsid w:val="00D067F1"/>
    <w:rsid w:val="00D449A9"/>
    <w:rsid w:val="00D46B68"/>
    <w:rsid w:val="00D542A5"/>
    <w:rsid w:val="00D8760C"/>
    <w:rsid w:val="00DB6ECF"/>
    <w:rsid w:val="00DC0237"/>
    <w:rsid w:val="00DC3D47"/>
    <w:rsid w:val="00DD69C4"/>
    <w:rsid w:val="00DD77DA"/>
    <w:rsid w:val="00DE2819"/>
    <w:rsid w:val="00E06C61"/>
    <w:rsid w:val="00E13DB3"/>
    <w:rsid w:val="00E20AA1"/>
    <w:rsid w:val="00E2408B"/>
    <w:rsid w:val="00E506D0"/>
    <w:rsid w:val="00E62CEA"/>
    <w:rsid w:val="00E646E9"/>
    <w:rsid w:val="00E72AE1"/>
    <w:rsid w:val="00E863BA"/>
    <w:rsid w:val="00EA58B2"/>
    <w:rsid w:val="00ED6A7A"/>
    <w:rsid w:val="00EE4C36"/>
    <w:rsid w:val="00F346CE"/>
    <w:rsid w:val="00F34F98"/>
    <w:rsid w:val="00F40540"/>
    <w:rsid w:val="00F4329D"/>
    <w:rsid w:val="00F67402"/>
    <w:rsid w:val="00F766A2"/>
    <w:rsid w:val="00F9451D"/>
    <w:rsid w:val="00F95AA1"/>
    <w:rsid w:val="00F96D46"/>
    <w:rsid w:val="00FB19E0"/>
    <w:rsid w:val="00FD0AF8"/>
    <w:rsid w:val="00FD7D3F"/>
    <w:rsid w:val="00FF619E"/>
    <w:rsid w:val="00FF7B12"/>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F901F"/>
  <w15:docId w15:val="{75983DA2-07E2-4D55-B86E-221D98B2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1">
    <w:name w:val="Unresolved Mention1"/>
    <w:basedOn w:val="DefaultParagraphFont"/>
    <w:uiPriority w:val="99"/>
    <w:semiHidden/>
    <w:unhideWhenUsed/>
    <w:rsid w:val="00035251"/>
    <w:rPr>
      <w:color w:val="605E5C"/>
      <w:shd w:val="clear" w:color="auto" w:fill="E1DFDD"/>
    </w:rPr>
  </w:style>
  <w:style w:type="paragraph" w:styleId="ListParagraph">
    <w:name w:val="List Paragraph"/>
    <w:basedOn w:val="Normal"/>
    <w:uiPriority w:val="34"/>
    <w:qFormat/>
    <w:rsid w:val="00B46DD8"/>
    <w:pPr>
      <w:ind w:left="720"/>
      <w:contextualSpacing/>
    </w:pPr>
  </w:style>
  <w:style w:type="character" w:customStyle="1" w:styleId="bri1">
    <w:name w:val="bri1"/>
    <w:basedOn w:val="DefaultParagraphFont"/>
    <w:rsid w:val="008007B8"/>
    <w:rPr>
      <w:b/>
      <w:bCs/>
      <w:color w:val="B10739"/>
    </w:rPr>
  </w:style>
  <w:style w:type="character" w:styleId="FollowedHyperlink">
    <w:name w:val="FollowedHyperlink"/>
    <w:basedOn w:val="DefaultParagraphFont"/>
    <w:semiHidden/>
    <w:unhideWhenUsed/>
    <w:rsid w:val="00AE0866"/>
    <w:rPr>
      <w:color w:val="800080" w:themeColor="followedHyperlink"/>
      <w:u w:val="single"/>
    </w:rPr>
  </w:style>
  <w:style w:type="paragraph" w:styleId="Revision">
    <w:name w:val="Revision"/>
    <w:hidden/>
    <w:uiPriority w:val="99"/>
    <w:semiHidden/>
    <w:rsid w:val="00513DC5"/>
    <w:rPr>
      <w:rFonts w:asciiTheme="minorHAnsi" w:hAnsiTheme="minorHAnsi"/>
      <w:sz w:val="24"/>
      <w:lang w:val="fr-FR" w:eastAsia="en-US"/>
    </w:rPr>
  </w:style>
  <w:style w:type="character" w:customStyle="1" w:styleId="UnresolvedMention2">
    <w:name w:val="Unresolved Mention2"/>
    <w:basedOn w:val="DefaultParagraphFont"/>
    <w:uiPriority w:val="99"/>
    <w:semiHidden/>
    <w:unhideWhenUsed/>
    <w:rsid w:val="0058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ebinars/Pages/dt4cc.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webinars/dt4cc/20220329/Pages/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4a/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fr/ITU-T/studygroups/2017-2020/20/Pages/default.aspx" TargetMode="External"/><Relationship Id="rId4" Type="http://schemas.openxmlformats.org/officeDocument/2006/relationships/settings" Target="settings.xml"/><Relationship Id="rId9" Type="http://schemas.openxmlformats.org/officeDocument/2006/relationships/hyperlink" Target="mailto:u4ssc@itu.in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BA68C-38EE-4288-85F2-3A99F31C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899</Words>
  <Characters>5128</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UNION INTERNATIONALE DES TÉLÉCOMMUNICATIONS</vt:lpstr>
      <vt:lpstr>UNION INTERNATIONALE DES TÉLÉCOMMUNICATIONS</vt:lpstr>
    </vt:vector>
  </TitlesOfParts>
  <Company>ITU</Company>
  <LinksUpToDate>false</LinksUpToDate>
  <CharactersWithSpaces>6015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Braud, Olivia</cp:lastModifiedBy>
  <cp:revision>7</cp:revision>
  <cp:lastPrinted>2022-03-14T10:35:00Z</cp:lastPrinted>
  <dcterms:created xsi:type="dcterms:W3CDTF">2022-02-25T06:21:00Z</dcterms:created>
  <dcterms:modified xsi:type="dcterms:W3CDTF">2022-03-14T10:36:00Z</dcterms:modified>
</cp:coreProperties>
</file>