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41201F6" w14:textId="77777777" w:rsidTr="00D517B2">
        <w:trPr>
          <w:cantSplit/>
          <w:trHeight w:val="1134"/>
        </w:trPr>
        <w:tc>
          <w:tcPr>
            <w:tcW w:w="798" w:type="pct"/>
          </w:tcPr>
          <w:p w14:paraId="17984034" w14:textId="77777777" w:rsidR="00D517B2" w:rsidRPr="00D517B2" w:rsidRDefault="00D517B2" w:rsidP="00D517B2">
            <w:pPr>
              <w:spacing w:before="0" w:line="240" w:lineRule="auto"/>
              <w:rPr>
                <w:b/>
                <w:bCs/>
                <w:rtl/>
                <w:lang w:bidi="ar-EG"/>
              </w:rPr>
            </w:pPr>
            <w:r w:rsidRPr="00D517B2">
              <w:rPr>
                <w:noProof/>
              </w:rPr>
              <w:drawing>
                <wp:inline distT="0" distB="0" distL="0" distR="0" wp14:anchorId="744C74E4" wp14:editId="342D31E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6E3BC1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9B4B1B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5247ACC" w14:textId="77777777" w:rsidTr="00873469">
        <w:trPr>
          <w:cantSplit/>
          <w:trHeight w:val="142"/>
          <w:jc w:val="center"/>
        </w:trPr>
        <w:tc>
          <w:tcPr>
            <w:tcW w:w="796" w:type="pct"/>
          </w:tcPr>
          <w:p w14:paraId="11E1FD5B" w14:textId="77777777" w:rsidR="00D517B2" w:rsidRPr="00D517B2" w:rsidRDefault="00D517B2" w:rsidP="00F16BB4">
            <w:pPr>
              <w:spacing w:before="0" w:line="240" w:lineRule="exact"/>
              <w:jc w:val="left"/>
              <w:rPr>
                <w:position w:val="2"/>
              </w:rPr>
            </w:pPr>
          </w:p>
        </w:tc>
        <w:tc>
          <w:tcPr>
            <w:tcW w:w="1998" w:type="pct"/>
          </w:tcPr>
          <w:p w14:paraId="25C14E5F" w14:textId="77777777" w:rsidR="00D517B2" w:rsidRPr="00D517B2" w:rsidRDefault="00D517B2" w:rsidP="00F16BB4">
            <w:pPr>
              <w:spacing w:before="0" w:line="240" w:lineRule="exact"/>
              <w:jc w:val="left"/>
              <w:rPr>
                <w:position w:val="2"/>
              </w:rPr>
            </w:pPr>
          </w:p>
        </w:tc>
        <w:tc>
          <w:tcPr>
            <w:tcW w:w="2206" w:type="pct"/>
          </w:tcPr>
          <w:p w14:paraId="03E862D7" w14:textId="77777777" w:rsidR="00D517B2" w:rsidRPr="00873469" w:rsidRDefault="00D517B2" w:rsidP="00F16BB4">
            <w:pPr>
              <w:spacing w:before="0" w:line="240" w:lineRule="exact"/>
              <w:jc w:val="left"/>
              <w:rPr>
                <w:position w:val="2"/>
                <w:lang w:bidi="ar-EG"/>
              </w:rPr>
            </w:pPr>
          </w:p>
        </w:tc>
      </w:tr>
      <w:tr w:rsidR="00D517B2" w:rsidRPr="00D517B2" w14:paraId="3F8B2B35" w14:textId="77777777" w:rsidTr="00D517B2">
        <w:trPr>
          <w:cantSplit/>
          <w:trHeight w:val="148"/>
          <w:jc w:val="center"/>
        </w:trPr>
        <w:tc>
          <w:tcPr>
            <w:tcW w:w="796" w:type="pct"/>
          </w:tcPr>
          <w:p w14:paraId="6387896C" w14:textId="77777777" w:rsidR="00D517B2" w:rsidRPr="00D517B2" w:rsidRDefault="00D517B2" w:rsidP="004B7BB1">
            <w:pPr>
              <w:spacing w:before="240" w:after="240" w:line="300" w:lineRule="exact"/>
              <w:jc w:val="left"/>
              <w:rPr>
                <w:position w:val="2"/>
              </w:rPr>
            </w:pPr>
          </w:p>
        </w:tc>
        <w:tc>
          <w:tcPr>
            <w:tcW w:w="1998" w:type="pct"/>
          </w:tcPr>
          <w:p w14:paraId="61AFDF9B" w14:textId="77777777" w:rsidR="00D517B2" w:rsidRPr="00D517B2" w:rsidRDefault="00D517B2" w:rsidP="004B7BB1">
            <w:pPr>
              <w:spacing w:before="240" w:after="240" w:line="300" w:lineRule="exact"/>
              <w:jc w:val="left"/>
              <w:rPr>
                <w:position w:val="2"/>
                <w:lang w:bidi="ar-EG"/>
              </w:rPr>
            </w:pPr>
          </w:p>
        </w:tc>
        <w:tc>
          <w:tcPr>
            <w:tcW w:w="2206" w:type="pct"/>
          </w:tcPr>
          <w:p w14:paraId="33222250" w14:textId="6805930A" w:rsidR="00D517B2" w:rsidRPr="00D517B2" w:rsidRDefault="00873469" w:rsidP="004B7BB1">
            <w:pPr>
              <w:spacing w:before="240" w:after="240" w:line="300" w:lineRule="exact"/>
              <w:jc w:val="left"/>
              <w:rPr>
                <w:position w:val="2"/>
                <w:rtl/>
                <w:lang w:bidi="ar-EG"/>
              </w:rPr>
            </w:pPr>
            <w:r w:rsidRPr="00D517B2">
              <w:rPr>
                <w:rFonts w:hint="cs"/>
                <w:position w:val="2"/>
                <w:rtl/>
              </w:rPr>
              <w:t xml:space="preserve">جنيف، </w:t>
            </w:r>
            <w:r w:rsidR="00F16BB4">
              <w:rPr>
                <w:position w:val="2"/>
              </w:rPr>
              <w:t>14</w:t>
            </w:r>
            <w:r w:rsidR="00F16BB4">
              <w:rPr>
                <w:rFonts w:hint="cs"/>
                <w:position w:val="2"/>
                <w:rtl/>
                <w:lang w:bidi="ar-EG"/>
              </w:rPr>
              <w:t xml:space="preserve"> يناير </w:t>
            </w:r>
            <w:r w:rsidR="00F16BB4">
              <w:rPr>
                <w:position w:val="2"/>
                <w:lang w:bidi="ar-EG"/>
              </w:rPr>
              <w:t>2022</w:t>
            </w:r>
          </w:p>
        </w:tc>
      </w:tr>
      <w:tr w:rsidR="00E84438" w:rsidRPr="00D517B2" w14:paraId="16DE8546" w14:textId="77777777" w:rsidTr="00E84438">
        <w:trPr>
          <w:cantSplit/>
          <w:trHeight w:val="831"/>
          <w:jc w:val="center"/>
        </w:trPr>
        <w:tc>
          <w:tcPr>
            <w:tcW w:w="796" w:type="pct"/>
          </w:tcPr>
          <w:p w14:paraId="5905696B" w14:textId="77777777" w:rsidR="00E84438" w:rsidRPr="00A9156F" w:rsidRDefault="00E84438" w:rsidP="004B7BB1">
            <w:pPr>
              <w:spacing w:before="80" w:after="60" w:line="340" w:lineRule="exact"/>
              <w:jc w:val="left"/>
              <w:rPr>
                <w:b/>
                <w:bCs/>
                <w:position w:val="2"/>
              </w:rPr>
            </w:pPr>
            <w:r w:rsidRPr="00A9156F">
              <w:rPr>
                <w:rFonts w:hint="cs"/>
                <w:b/>
                <w:bCs/>
                <w:position w:val="2"/>
                <w:rtl/>
              </w:rPr>
              <w:t>المرجع:</w:t>
            </w:r>
          </w:p>
        </w:tc>
        <w:tc>
          <w:tcPr>
            <w:tcW w:w="1998" w:type="pct"/>
          </w:tcPr>
          <w:p w14:paraId="3FAA0D8E" w14:textId="7EA29C0D" w:rsidR="00E84438" w:rsidRPr="00F16BB4" w:rsidRDefault="00E84438" w:rsidP="004B7BB1">
            <w:pPr>
              <w:spacing w:before="80" w:after="60" w:line="340" w:lineRule="exact"/>
              <w:jc w:val="left"/>
              <w:rPr>
                <w:b/>
                <w:position w:val="2"/>
              </w:rPr>
            </w:pPr>
            <w:r w:rsidRPr="00F16BB4">
              <w:rPr>
                <w:b/>
                <w:position w:val="2"/>
              </w:rPr>
              <w:t xml:space="preserve">TSB Circular </w:t>
            </w:r>
            <w:r w:rsidR="00F16BB4" w:rsidRPr="00F16BB4">
              <w:rPr>
                <w:b/>
                <w:position w:val="2"/>
              </w:rPr>
              <w:t>367</w:t>
            </w:r>
            <w:r w:rsidRPr="00F16BB4">
              <w:rPr>
                <w:b/>
                <w:position w:val="2"/>
              </w:rPr>
              <w:br/>
            </w:r>
            <w:bookmarkStart w:id="0" w:name="lt_pId025"/>
            <w:r w:rsidR="00F16BB4" w:rsidRPr="00F16BB4">
              <w:rPr>
                <w:b/>
                <w:bCs/>
                <w:lang w:val="es-ES"/>
              </w:rPr>
              <w:t xml:space="preserve"> FG-TBFxG/DA</w:t>
            </w:r>
            <w:bookmarkEnd w:id="0"/>
          </w:p>
        </w:tc>
        <w:tc>
          <w:tcPr>
            <w:tcW w:w="2206" w:type="pct"/>
            <w:vMerge w:val="restart"/>
          </w:tcPr>
          <w:p w14:paraId="342F555B" w14:textId="77777777" w:rsidR="00F16BB4" w:rsidRPr="00513E16" w:rsidRDefault="00F16BB4" w:rsidP="004B7BB1">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14:paraId="16EA6000" w14:textId="77777777" w:rsidR="00F16BB4" w:rsidRPr="00BB20C3" w:rsidRDefault="00F16BB4" w:rsidP="004B7BB1">
            <w:pPr>
              <w:tabs>
                <w:tab w:val="left" w:pos="284"/>
                <w:tab w:val="left" w:pos="4111"/>
              </w:tabs>
              <w:spacing w:before="20" w:line="340" w:lineRule="exact"/>
              <w:ind w:left="284" w:hanging="284"/>
              <w:rPr>
                <w:position w:val="2"/>
              </w:rPr>
            </w:pPr>
            <w:r w:rsidRPr="00BB20C3">
              <w:rPr>
                <w:rFonts w:hint="cs"/>
                <w:position w:val="2"/>
                <w:rtl/>
              </w:rPr>
              <w:t>-</w:t>
            </w:r>
            <w:r w:rsidRPr="00BB20C3">
              <w:rPr>
                <w:rFonts w:hint="cs"/>
                <w:position w:val="2"/>
                <w:rtl/>
              </w:rPr>
              <w:tab/>
              <w:t>إدارات الدول الأعضاء في الاتحاد</w:t>
            </w:r>
            <w:r w:rsidRPr="00BB20C3">
              <w:rPr>
                <w:rFonts w:hint="cs"/>
                <w:position w:val="2"/>
                <w:rtl/>
                <w:lang w:bidi="ar-EG"/>
              </w:rPr>
              <w:t>؛</w:t>
            </w:r>
          </w:p>
          <w:p w14:paraId="38718E9B" w14:textId="77777777" w:rsidR="00F16BB4" w:rsidRPr="00BB20C3" w:rsidRDefault="00F16BB4" w:rsidP="004B7BB1">
            <w:pPr>
              <w:tabs>
                <w:tab w:val="left" w:pos="284"/>
                <w:tab w:val="left" w:pos="4111"/>
              </w:tabs>
              <w:spacing w:before="0" w:line="340" w:lineRule="exact"/>
              <w:ind w:left="284" w:hanging="284"/>
              <w:rPr>
                <w:position w:val="2"/>
                <w:rtl/>
              </w:rPr>
            </w:pPr>
            <w:r w:rsidRPr="00BB20C3">
              <w:rPr>
                <w:rFonts w:hint="cs"/>
                <w:position w:val="2"/>
                <w:rtl/>
              </w:rPr>
              <w:t>-</w:t>
            </w:r>
            <w:r w:rsidRPr="00BB20C3">
              <w:rPr>
                <w:rFonts w:hint="cs"/>
                <w:position w:val="2"/>
                <w:rtl/>
              </w:rPr>
              <w:tab/>
            </w:r>
            <w:r w:rsidRPr="00BB20C3">
              <w:rPr>
                <w:rFonts w:hint="cs"/>
                <w:position w:val="2"/>
                <w:rtl/>
                <w:lang w:bidi="ar-SY"/>
              </w:rPr>
              <w:t>أعضاء قطاع تقييس الاتصالات في الاتحاد</w:t>
            </w:r>
            <w:r w:rsidRPr="00BB20C3">
              <w:rPr>
                <w:rFonts w:hint="cs"/>
                <w:position w:val="2"/>
                <w:rtl/>
                <w:lang w:bidi="ar-EG"/>
              </w:rPr>
              <w:t>؛</w:t>
            </w:r>
          </w:p>
          <w:p w14:paraId="7778A965" w14:textId="77777777" w:rsidR="00F16BB4" w:rsidRPr="00BB20C3" w:rsidRDefault="00F16BB4" w:rsidP="004B7BB1">
            <w:pPr>
              <w:tabs>
                <w:tab w:val="left" w:pos="284"/>
                <w:tab w:val="left" w:pos="4111"/>
              </w:tabs>
              <w:spacing w:before="0" w:line="340" w:lineRule="exact"/>
              <w:ind w:left="284" w:hanging="284"/>
              <w:rPr>
                <w:position w:val="2"/>
                <w:rtl/>
                <w:lang w:bidi="ar-EG"/>
              </w:rPr>
            </w:pPr>
            <w:r w:rsidRPr="00BB20C3">
              <w:rPr>
                <w:rFonts w:hint="cs"/>
                <w:position w:val="2"/>
                <w:rtl/>
              </w:rPr>
              <w:t>-</w:t>
            </w:r>
            <w:r w:rsidRPr="00BB20C3">
              <w:rPr>
                <w:rFonts w:hint="cs"/>
                <w:position w:val="2"/>
                <w:rtl/>
              </w:rPr>
              <w:tab/>
              <w:t>المنتسبين إلى قطاع تقييس الاتصالات</w:t>
            </w:r>
            <w:r w:rsidRPr="00BB20C3">
              <w:rPr>
                <w:rFonts w:hint="cs"/>
                <w:position w:val="2"/>
                <w:rtl/>
                <w:lang w:bidi="ar-SY"/>
              </w:rPr>
              <w:t xml:space="preserve"> في الاتحاد</w:t>
            </w:r>
            <w:r w:rsidRPr="00BB20C3">
              <w:rPr>
                <w:rFonts w:hint="cs"/>
                <w:position w:val="2"/>
                <w:rtl/>
              </w:rPr>
              <w:t>؛</w:t>
            </w:r>
          </w:p>
          <w:p w14:paraId="1C918D18" w14:textId="6B0786C4" w:rsidR="00E84438" w:rsidRPr="00D517B2" w:rsidRDefault="00F16BB4" w:rsidP="004B7BB1">
            <w:pPr>
              <w:tabs>
                <w:tab w:val="clear" w:pos="794"/>
                <w:tab w:val="left" w:pos="284"/>
              </w:tabs>
              <w:spacing w:before="80" w:after="60" w:line="340" w:lineRule="exact"/>
              <w:ind w:left="284" w:hanging="284"/>
              <w:jc w:val="left"/>
              <w:rPr>
                <w:position w:val="2"/>
                <w:rtl/>
              </w:rPr>
            </w:pPr>
            <w:r w:rsidRPr="00BB20C3">
              <w:rPr>
                <w:rFonts w:hint="cs"/>
                <w:position w:val="2"/>
                <w:rtl/>
              </w:rPr>
              <w:t>-</w:t>
            </w:r>
            <w:r w:rsidRPr="00BB20C3">
              <w:rPr>
                <w:rFonts w:hint="cs"/>
                <w:position w:val="2"/>
                <w:rtl/>
              </w:rPr>
              <w:tab/>
              <w:t>الهيئات الأكاديمية المنضمة إلى</w:t>
            </w:r>
            <w:r w:rsidRPr="00BB20C3">
              <w:rPr>
                <w:rFonts w:hint="cs"/>
                <w:position w:val="2"/>
                <w:rtl/>
                <w:lang w:bidi="ar-EG"/>
              </w:rPr>
              <w:t xml:space="preserve"> الاتحاد</w:t>
            </w:r>
          </w:p>
        </w:tc>
      </w:tr>
      <w:tr w:rsidR="00D517B2" w:rsidRPr="00D517B2" w14:paraId="497CC1A1" w14:textId="77777777" w:rsidTr="00D517B2">
        <w:trPr>
          <w:cantSplit/>
          <w:trHeight w:val="340"/>
          <w:jc w:val="center"/>
        </w:trPr>
        <w:tc>
          <w:tcPr>
            <w:tcW w:w="796" w:type="pct"/>
          </w:tcPr>
          <w:p w14:paraId="71AB80B4" w14:textId="77777777" w:rsidR="00D517B2" w:rsidRPr="00A9156F" w:rsidRDefault="00D517B2" w:rsidP="004B7BB1">
            <w:pPr>
              <w:spacing w:before="80" w:after="60" w:line="34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5B757505" w14:textId="0990306D" w:rsidR="00D517B2" w:rsidRPr="00F16BB4" w:rsidRDefault="00F16BB4" w:rsidP="004B7BB1">
            <w:pPr>
              <w:spacing w:before="80" w:after="60" w:line="340" w:lineRule="exact"/>
              <w:jc w:val="left"/>
              <w:rPr>
                <w:b/>
                <w:position w:val="2"/>
              </w:rPr>
            </w:pPr>
            <w:r w:rsidRPr="00F16BB4">
              <w:t>+41 22 730 5780</w:t>
            </w:r>
          </w:p>
        </w:tc>
        <w:tc>
          <w:tcPr>
            <w:tcW w:w="2206" w:type="pct"/>
            <w:vMerge/>
          </w:tcPr>
          <w:p w14:paraId="441735EE" w14:textId="77777777" w:rsidR="00D517B2" w:rsidRPr="00D517B2" w:rsidRDefault="00D517B2" w:rsidP="004B7BB1">
            <w:pPr>
              <w:spacing w:before="80" w:after="60" w:line="340" w:lineRule="exact"/>
              <w:jc w:val="left"/>
              <w:rPr>
                <w:position w:val="2"/>
                <w:rtl/>
              </w:rPr>
            </w:pPr>
          </w:p>
        </w:tc>
      </w:tr>
      <w:tr w:rsidR="00CE1C08" w:rsidRPr="00D517B2" w14:paraId="15EA247C" w14:textId="77777777" w:rsidTr="00CE1C08">
        <w:trPr>
          <w:cantSplit/>
          <w:trHeight w:val="737"/>
          <w:jc w:val="center"/>
        </w:trPr>
        <w:tc>
          <w:tcPr>
            <w:tcW w:w="796" w:type="pct"/>
          </w:tcPr>
          <w:p w14:paraId="521D12FB" w14:textId="77777777" w:rsidR="00CE1C08" w:rsidRPr="00A9156F" w:rsidRDefault="00CE1C08" w:rsidP="004B7BB1">
            <w:pPr>
              <w:spacing w:before="80" w:after="60" w:line="340" w:lineRule="exact"/>
              <w:jc w:val="left"/>
              <w:rPr>
                <w:b/>
                <w:bCs/>
                <w:position w:val="2"/>
                <w:rtl/>
                <w:lang w:bidi="ar-EG"/>
              </w:rPr>
            </w:pPr>
            <w:r w:rsidRPr="00A9156F">
              <w:rPr>
                <w:rFonts w:hint="cs"/>
                <w:b/>
                <w:bCs/>
                <w:position w:val="2"/>
                <w:rtl/>
              </w:rPr>
              <w:t>الفاكس:</w:t>
            </w:r>
          </w:p>
        </w:tc>
        <w:tc>
          <w:tcPr>
            <w:tcW w:w="1998" w:type="pct"/>
          </w:tcPr>
          <w:p w14:paraId="406E0AB0" w14:textId="77777777" w:rsidR="00CE1C08" w:rsidRPr="00D517B2" w:rsidRDefault="00CE1C08" w:rsidP="004B7BB1">
            <w:pPr>
              <w:spacing w:before="80" w:after="60" w:line="340" w:lineRule="exact"/>
              <w:jc w:val="left"/>
              <w:rPr>
                <w:position w:val="2"/>
              </w:rPr>
            </w:pPr>
            <w:r w:rsidRPr="00D517B2">
              <w:rPr>
                <w:position w:val="2"/>
              </w:rPr>
              <w:t>+41 22 730 5853</w:t>
            </w:r>
          </w:p>
        </w:tc>
        <w:tc>
          <w:tcPr>
            <w:tcW w:w="2206" w:type="pct"/>
            <w:vMerge/>
          </w:tcPr>
          <w:p w14:paraId="589CE42B" w14:textId="77777777" w:rsidR="00CE1C08" w:rsidRPr="00D517B2" w:rsidRDefault="00CE1C08" w:rsidP="004B7BB1">
            <w:pPr>
              <w:spacing w:before="80" w:after="60" w:line="340" w:lineRule="exact"/>
              <w:jc w:val="left"/>
              <w:rPr>
                <w:position w:val="2"/>
                <w:rtl/>
              </w:rPr>
            </w:pPr>
          </w:p>
        </w:tc>
      </w:tr>
      <w:tr w:rsidR="00CE1C08" w:rsidRPr="00D517B2" w14:paraId="088141B8" w14:textId="77777777" w:rsidTr="00D517B2">
        <w:trPr>
          <w:cantSplit/>
          <w:jc w:val="center"/>
        </w:trPr>
        <w:tc>
          <w:tcPr>
            <w:tcW w:w="796" w:type="pct"/>
          </w:tcPr>
          <w:p w14:paraId="52865AE0" w14:textId="77777777" w:rsidR="00CE1C08" w:rsidRPr="00A9156F" w:rsidRDefault="00CE1C08" w:rsidP="004B7BB1">
            <w:pPr>
              <w:spacing w:before="80" w:after="60" w:line="340" w:lineRule="exact"/>
              <w:jc w:val="left"/>
              <w:rPr>
                <w:b/>
                <w:bCs/>
                <w:position w:val="2"/>
                <w:rtl/>
              </w:rPr>
            </w:pPr>
            <w:r w:rsidRPr="00A9156F">
              <w:rPr>
                <w:rFonts w:hint="cs"/>
                <w:b/>
                <w:bCs/>
                <w:position w:val="2"/>
                <w:rtl/>
              </w:rPr>
              <w:t>البريد الإلكتروني:</w:t>
            </w:r>
          </w:p>
        </w:tc>
        <w:tc>
          <w:tcPr>
            <w:tcW w:w="1998" w:type="pct"/>
          </w:tcPr>
          <w:p w14:paraId="07591533" w14:textId="685EFA21" w:rsidR="00CE1C08" w:rsidRPr="00F16BB4" w:rsidRDefault="007E00CB" w:rsidP="004B7BB1">
            <w:pPr>
              <w:spacing w:before="80" w:after="60" w:line="340" w:lineRule="exact"/>
              <w:jc w:val="left"/>
              <w:rPr>
                <w:position w:val="2"/>
                <w:highlight w:val="magenta"/>
                <w:rtl/>
                <w:lang w:bidi="ar-EG"/>
              </w:rPr>
            </w:pPr>
            <w:hyperlink r:id="rId9" w:history="1">
              <w:bookmarkStart w:id="1" w:name="lt_pId040"/>
              <w:r w:rsidR="00F16BB4" w:rsidRPr="00F16BB4">
                <w:rPr>
                  <w:rStyle w:val="Hyperlink"/>
                </w:rPr>
                <w:t>tsbfgtbf@itu.int</w:t>
              </w:r>
              <w:bookmarkEnd w:id="1"/>
            </w:hyperlink>
          </w:p>
        </w:tc>
        <w:tc>
          <w:tcPr>
            <w:tcW w:w="2206" w:type="pct"/>
          </w:tcPr>
          <w:p w14:paraId="51FE2301" w14:textId="77777777" w:rsidR="00F16BB4" w:rsidRPr="00887E8D" w:rsidRDefault="00F16BB4" w:rsidP="004B7BB1">
            <w:pPr>
              <w:tabs>
                <w:tab w:val="left" w:pos="284"/>
                <w:tab w:val="left" w:pos="4111"/>
              </w:tabs>
              <w:spacing w:before="240" w:after="60" w:line="340" w:lineRule="exact"/>
              <w:ind w:left="57"/>
              <w:rPr>
                <w:b/>
                <w:bCs/>
                <w:position w:val="2"/>
                <w:rtl/>
              </w:rPr>
            </w:pPr>
            <w:r w:rsidRPr="00887E8D">
              <w:rPr>
                <w:rFonts w:hint="cs"/>
                <w:b/>
                <w:bCs/>
                <w:position w:val="2"/>
                <w:rtl/>
              </w:rPr>
              <w:t>نسخة إلى:</w:t>
            </w:r>
          </w:p>
          <w:p w14:paraId="1D91CDAF" w14:textId="77777777" w:rsidR="00F16BB4" w:rsidRPr="00887E8D" w:rsidRDefault="00F16BB4" w:rsidP="004B7BB1">
            <w:pPr>
              <w:tabs>
                <w:tab w:val="left" w:pos="284"/>
                <w:tab w:val="left" w:pos="4111"/>
              </w:tabs>
              <w:spacing w:before="0" w:line="340" w:lineRule="exact"/>
              <w:ind w:left="284" w:hanging="284"/>
              <w:rPr>
                <w:position w:val="2"/>
              </w:rPr>
            </w:pPr>
            <w:r w:rsidRPr="00887E8D">
              <w:rPr>
                <w:rFonts w:hint="cs"/>
                <w:position w:val="2"/>
                <w:rtl/>
              </w:rPr>
              <w:t>-</w:t>
            </w:r>
            <w:r w:rsidRPr="00887E8D">
              <w:rPr>
                <w:rFonts w:hint="cs"/>
                <w:position w:val="2"/>
                <w:rtl/>
              </w:rPr>
              <w:tab/>
            </w:r>
            <w:r w:rsidRPr="00CC14E6">
              <w:rPr>
                <w:rFonts w:hint="cs"/>
                <w:spacing w:val="-4"/>
                <w:position w:val="2"/>
                <w:rtl/>
              </w:rPr>
              <w:t xml:space="preserve">رؤساء لجان دراسات قطاع تقييس الاتصالات </w:t>
            </w:r>
            <w:r w:rsidRPr="00CC14E6">
              <w:rPr>
                <w:rFonts w:hint="cs"/>
                <w:spacing w:val="-4"/>
                <w:position w:val="2"/>
                <w:rtl/>
                <w:lang w:bidi="ar-EG"/>
              </w:rPr>
              <w:t>ونوابه</w:t>
            </w:r>
            <w:r w:rsidRPr="00CC14E6">
              <w:rPr>
                <w:rFonts w:hint="cs"/>
                <w:spacing w:val="-4"/>
                <w:position w:val="2"/>
                <w:rtl/>
              </w:rPr>
              <w:t>م</w:t>
            </w:r>
            <w:r w:rsidRPr="00887E8D">
              <w:rPr>
                <w:rFonts w:hint="cs"/>
                <w:position w:val="2"/>
                <w:rtl/>
              </w:rPr>
              <w:t>؛</w:t>
            </w:r>
          </w:p>
          <w:p w14:paraId="7D8C70C3" w14:textId="77777777" w:rsidR="00F16BB4" w:rsidRPr="00887E8D" w:rsidRDefault="00F16BB4" w:rsidP="004B7BB1">
            <w:pPr>
              <w:tabs>
                <w:tab w:val="left" w:pos="284"/>
                <w:tab w:val="left" w:pos="4111"/>
              </w:tabs>
              <w:spacing w:before="0" w:line="340" w:lineRule="exact"/>
              <w:ind w:left="284" w:hanging="284"/>
              <w:rPr>
                <w:position w:val="2"/>
                <w:rtl/>
              </w:rPr>
            </w:pPr>
            <w:r w:rsidRPr="00887E8D">
              <w:rPr>
                <w:rFonts w:hint="cs"/>
                <w:position w:val="2"/>
                <w:rtl/>
              </w:rPr>
              <w:t>-</w:t>
            </w:r>
            <w:r w:rsidRPr="00887E8D">
              <w:rPr>
                <w:rFonts w:hint="cs"/>
                <w:position w:val="2"/>
                <w:rtl/>
              </w:rPr>
              <w:tab/>
              <w:t>مدير</w:t>
            </w:r>
            <w:r>
              <w:rPr>
                <w:rFonts w:hint="cs"/>
                <w:position w:val="2"/>
                <w:rtl/>
              </w:rPr>
              <w:t>ة</w:t>
            </w:r>
            <w:r w:rsidRPr="00887E8D">
              <w:rPr>
                <w:rFonts w:hint="cs"/>
                <w:position w:val="2"/>
                <w:rtl/>
              </w:rPr>
              <w:t xml:space="preserve"> مكتب</w:t>
            </w:r>
            <w:r>
              <w:rPr>
                <w:rFonts w:hint="cs"/>
                <w:position w:val="2"/>
                <w:rtl/>
              </w:rPr>
              <w:t xml:space="preserve"> </w:t>
            </w:r>
            <w:r w:rsidRPr="00887E8D">
              <w:rPr>
                <w:rFonts w:hint="cs"/>
                <w:position w:val="2"/>
                <w:rtl/>
              </w:rPr>
              <w:t>تنمية الاتصالات؛</w:t>
            </w:r>
          </w:p>
          <w:p w14:paraId="200204DC" w14:textId="0FCEDFE7" w:rsidR="00CE1C08" w:rsidRPr="00D517B2" w:rsidRDefault="00F16BB4" w:rsidP="004B7BB1">
            <w:pPr>
              <w:tabs>
                <w:tab w:val="left" w:pos="284"/>
                <w:tab w:val="left" w:pos="4111"/>
              </w:tabs>
              <w:spacing w:before="0" w:line="340" w:lineRule="exact"/>
              <w:ind w:left="284" w:hanging="284"/>
              <w:rPr>
                <w:position w:val="2"/>
                <w:rtl/>
              </w:rPr>
            </w:pPr>
            <w:r w:rsidRPr="00887E8D">
              <w:rPr>
                <w:rFonts w:hint="cs"/>
                <w:position w:val="2"/>
                <w:rtl/>
              </w:rPr>
              <w:t>-</w:t>
            </w:r>
            <w:r w:rsidRPr="00887E8D">
              <w:rPr>
                <w:rFonts w:hint="cs"/>
                <w:position w:val="2"/>
                <w:rtl/>
              </w:rPr>
              <w:tab/>
              <w:t>مدير مكتب الاتصالات الراديوية</w:t>
            </w:r>
          </w:p>
        </w:tc>
      </w:tr>
      <w:tr w:rsidR="00CE1C08" w:rsidRPr="00D517B2" w14:paraId="10E249F9" w14:textId="77777777" w:rsidTr="00D517B2">
        <w:trPr>
          <w:cantSplit/>
          <w:jc w:val="center"/>
        </w:trPr>
        <w:tc>
          <w:tcPr>
            <w:tcW w:w="796" w:type="pct"/>
          </w:tcPr>
          <w:p w14:paraId="61C2E27E" w14:textId="77777777" w:rsidR="00CE1C08" w:rsidRPr="00F16BB4" w:rsidRDefault="00CE1C08" w:rsidP="00F16BB4">
            <w:pPr>
              <w:spacing w:before="0" w:line="240" w:lineRule="exact"/>
              <w:jc w:val="left"/>
              <w:rPr>
                <w:position w:val="2"/>
                <w:rtl/>
              </w:rPr>
            </w:pPr>
          </w:p>
        </w:tc>
        <w:tc>
          <w:tcPr>
            <w:tcW w:w="1998" w:type="pct"/>
          </w:tcPr>
          <w:p w14:paraId="0C77F3E3" w14:textId="77777777" w:rsidR="00CE1C08" w:rsidRPr="00D517B2" w:rsidRDefault="00CE1C08" w:rsidP="00F16BB4">
            <w:pPr>
              <w:spacing w:before="0" w:line="240" w:lineRule="exact"/>
              <w:jc w:val="left"/>
              <w:rPr>
                <w:position w:val="2"/>
              </w:rPr>
            </w:pPr>
          </w:p>
        </w:tc>
        <w:tc>
          <w:tcPr>
            <w:tcW w:w="2206" w:type="pct"/>
          </w:tcPr>
          <w:p w14:paraId="70D40575" w14:textId="77777777" w:rsidR="00CE1C08" w:rsidRPr="00D517B2" w:rsidRDefault="00CE1C08" w:rsidP="00F16BB4">
            <w:pPr>
              <w:spacing w:before="0" w:line="240" w:lineRule="exact"/>
              <w:jc w:val="left"/>
              <w:rPr>
                <w:position w:val="2"/>
                <w:rtl/>
              </w:rPr>
            </w:pPr>
          </w:p>
        </w:tc>
      </w:tr>
      <w:tr w:rsidR="00CE1C08" w:rsidRPr="00D517B2" w14:paraId="268A0372" w14:textId="77777777" w:rsidTr="00D517B2">
        <w:trPr>
          <w:cantSplit/>
          <w:jc w:val="center"/>
        </w:trPr>
        <w:tc>
          <w:tcPr>
            <w:tcW w:w="796" w:type="pct"/>
          </w:tcPr>
          <w:p w14:paraId="543CA1A8"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35129FD2" w14:textId="2733BE15" w:rsidR="00CE1C08" w:rsidRPr="006060ED" w:rsidRDefault="00C1281D" w:rsidP="006060ED">
            <w:pPr>
              <w:spacing w:before="80" w:after="60" w:line="300" w:lineRule="exact"/>
              <w:rPr>
                <w:b/>
                <w:bCs/>
                <w:spacing w:val="-2"/>
                <w:rtl/>
                <w:lang w:bidi="ar-EG"/>
              </w:rPr>
            </w:pPr>
            <w:r>
              <w:rPr>
                <w:rFonts w:hint="cs"/>
                <w:b/>
                <w:bCs/>
                <w:spacing w:val="-2"/>
                <w:rtl/>
                <w:lang w:bidi="ar-EG"/>
              </w:rPr>
              <w:t>إنشاء</w:t>
            </w:r>
            <w:r w:rsidR="00F16BB4" w:rsidRPr="00F16BB4">
              <w:rPr>
                <w:rFonts w:hint="cs"/>
                <w:b/>
                <w:bCs/>
                <w:spacing w:val="-2"/>
                <w:rtl/>
                <w:lang w:bidi="ar-EG"/>
              </w:rPr>
              <w:t xml:space="preserve"> فريق متخصص جديد</w:t>
            </w:r>
            <w:r>
              <w:rPr>
                <w:rFonts w:hint="cs"/>
                <w:b/>
                <w:bCs/>
                <w:spacing w:val="-2"/>
                <w:rtl/>
                <w:lang w:bidi="ar-EG"/>
              </w:rPr>
              <w:t xml:space="preserve"> </w:t>
            </w:r>
            <w:r w:rsidR="006B6731">
              <w:rPr>
                <w:rFonts w:hint="cs"/>
                <w:b/>
                <w:bCs/>
                <w:spacing w:val="-2"/>
                <w:rtl/>
                <w:lang w:bidi="ar-EG"/>
              </w:rPr>
              <w:t xml:space="preserve">يتبع </w:t>
            </w:r>
            <w:r>
              <w:rPr>
                <w:rFonts w:hint="cs"/>
                <w:b/>
                <w:bCs/>
                <w:spacing w:val="-2"/>
                <w:rtl/>
                <w:lang w:bidi="ar-EG"/>
              </w:rPr>
              <w:t>قطاع تقييس الاتصالات بالاتحاد</w:t>
            </w:r>
            <w:r>
              <w:rPr>
                <w:b/>
                <w:bCs/>
                <w:spacing w:val="-2"/>
                <w:lang w:bidi="ar-EG"/>
              </w:rPr>
              <w:t xml:space="preserve"> </w:t>
            </w:r>
            <w:r w:rsidR="006B6731">
              <w:rPr>
                <w:rFonts w:hint="cs"/>
                <w:b/>
                <w:bCs/>
                <w:spacing w:val="-2"/>
                <w:rtl/>
                <w:lang w:bidi="ar-EG"/>
              </w:rPr>
              <w:t>ويُع</w:t>
            </w:r>
            <w:r>
              <w:rPr>
                <w:rFonts w:hint="cs"/>
                <w:b/>
                <w:bCs/>
                <w:spacing w:val="-2"/>
                <w:rtl/>
                <w:lang w:bidi="ar-EG"/>
              </w:rPr>
              <w:t>نى ب</w:t>
            </w:r>
            <w:r w:rsidR="00F16BB4" w:rsidRPr="00F16BB4">
              <w:rPr>
                <w:rFonts w:hint="cs"/>
                <w:b/>
                <w:bCs/>
                <w:spacing w:val="-2"/>
                <w:rtl/>
                <w:lang w:bidi="ar-EG"/>
              </w:rPr>
              <w:t>اتحادات منصات اختبار الاتصالات المتنقلة الدولية-2020 وما</w:t>
            </w:r>
            <w:r w:rsidR="00F16BB4" w:rsidRPr="00F16BB4">
              <w:rPr>
                <w:rFonts w:hint="eastAsia"/>
                <w:b/>
                <w:bCs/>
                <w:spacing w:val="-2"/>
                <w:rtl/>
                <w:lang w:bidi="ar-EG"/>
              </w:rPr>
              <w:t> </w:t>
            </w:r>
            <w:r w:rsidR="00F16BB4" w:rsidRPr="00F16BB4">
              <w:rPr>
                <w:rFonts w:hint="cs"/>
                <w:b/>
                <w:bCs/>
                <w:spacing w:val="-2"/>
                <w:rtl/>
                <w:lang w:bidi="ar-EG"/>
              </w:rPr>
              <w:t>بعدها</w:t>
            </w:r>
            <w:r>
              <w:rPr>
                <w:rFonts w:hint="cs"/>
                <w:b/>
                <w:bCs/>
                <w:spacing w:val="-2"/>
                <w:rtl/>
                <w:lang w:bidi="ar-EG"/>
              </w:rPr>
              <w:t xml:space="preserve"> </w:t>
            </w:r>
            <w:r>
              <w:rPr>
                <w:b/>
                <w:bCs/>
                <w:spacing w:val="-2"/>
                <w:lang w:bidi="ar-EG"/>
              </w:rPr>
              <w:t>(FG-TBFxG)</w:t>
            </w:r>
            <w:r w:rsidR="00EA59B9">
              <w:rPr>
                <w:rFonts w:hint="cs"/>
                <w:b/>
                <w:bCs/>
                <w:spacing w:val="-2"/>
                <w:rtl/>
                <w:lang w:bidi="ar-EG"/>
              </w:rPr>
              <w:t xml:space="preserve">، </w:t>
            </w:r>
            <w:r>
              <w:rPr>
                <w:rFonts w:hint="cs"/>
                <w:b/>
                <w:bCs/>
                <w:spacing w:val="-2"/>
                <w:rtl/>
                <w:lang w:bidi="ar-EG"/>
              </w:rPr>
              <w:t>و</w:t>
            </w:r>
            <w:r w:rsidR="00EA59B9">
              <w:rPr>
                <w:rFonts w:hint="cs"/>
                <w:b/>
                <w:bCs/>
                <w:spacing w:val="-2"/>
                <w:rtl/>
                <w:lang w:bidi="ar-EG"/>
              </w:rPr>
              <w:t xml:space="preserve">عقد </w:t>
            </w:r>
            <w:r>
              <w:rPr>
                <w:rFonts w:hint="cs"/>
                <w:b/>
                <w:bCs/>
                <w:spacing w:val="-2"/>
                <w:rtl/>
                <w:lang w:bidi="ar-EG"/>
              </w:rPr>
              <w:t>اجتماعه الأول: افتراض</w:t>
            </w:r>
            <w:r w:rsidR="007B25DA">
              <w:rPr>
                <w:rFonts w:hint="cs"/>
                <w:b/>
                <w:bCs/>
                <w:spacing w:val="-2"/>
                <w:rtl/>
                <w:lang w:bidi="ar-EG"/>
              </w:rPr>
              <w:t>ي</w:t>
            </w:r>
            <w:r>
              <w:rPr>
                <w:rFonts w:hint="cs"/>
                <w:b/>
                <w:bCs/>
                <w:spacing w:val="-2"/>
                <w:rtl/>
                <w:lang w:bidi="ar-EG"/>
              </w:rPr>
              <w:t xml:space="preserve">، في الفترة </w:t>
            </w:r>
            <w:r w:rsidR="006060ED">
              <w:rPr>
                <w:b/>
                <w:bCs/>
                <w:spacing w:val="-2"/>
                <w:lang w:bidi="ar-EG"/>
              </w:rPr>
              <w:t>7</w:t>
            </w:r>
            <w:r w:rsidR="006060ED">
              <w:rPr>
                <w:b/>
                <w:bCs/>
                <w:spacing w:val="-2"/>
                <w:lang w:bidi="ar-EG"/>
              </w:rPr>
              <w:noBreakHyphen/>
              <w:t>4</w:t>
            </w:r>
            <w:r w:rsidR="006060ED">
              <w:rPr>
                <w:rFonts w:hint="eastAsia"/>
                <w:b/>
                <w:bCs/>
                <w:spacing w:val="-2"/>
                <w:rtl/>
                <w:lang w:bidi="ar-EG"/>
              </w:rPr>
              <w:t> </w:t>
            </w:r>
            <w:r w:rsidR="006060ED">
              <w:rPr>
                <w:rFonts w:hint="cs"/>
                <w:b/>
                <w:bCs/>
                <w:spacing w:val="-2"/>
                <w:rtl/>
                <w:lang w:bidi="ar-EG"/>
              </w:rPr>
              <w:t xml:space="preserve">أبريل </w:t>
            </w:r>
            <w:r w:rsidR="006060ED">
              <w:rPr>
                <w:b/>
                <w:bCs/>
                <w:spacing w:val="-2"/>
                <w:lang w:bidi="ar-EG"/>
              </w:rPr>
              <w:t>2022</w:t>
            </w:r>
          </w:p>
        </w:tc>
      </w:tr>
    </w:tbl>
    <w:p w14:paraId="17B3032F" w14:textId="77777777" w:rsidR="00D517B2" w:rsidRPr="00D517B2" w:rsidRDefault="00D517B2" w:rsidP="006635B2">
      <w:pPr>
        <w:spacing w:before="600"/>
        <w:rPr>
          <w:lang w:bidi="ar-SY"/>
        </w:rPr>
      </w:pPr>
      <w:r w:rsidRPr="00D517B2">
        <w:rPr>
          <w:rFonts w:hint="cs"/>
          <w:rtl/>
          <w:lang w:bidi="ar-SY"/>
        </w:rPr>
        <w:t>حضرات السادة والسيدات،</w:t>
      </w:r>
    </w:p>
    <w:p w14:paraId="498DE296" w14:textId="77777777" w:rsidR="00D517B2" w:rsidRPr="00D517B2" w:rsidRDefault="00D517B2" w:rsidP="00D517B2">
      <w:pPr>
        <w:rPr>
          <w:rtl/>
          <w:lang w:bidi="ar-EG"/>
        </w:rPr>
      </w:pPr>
      <w:r w:rsidRPr="00D517B2">
        <w:rPr>
          <w:rFonts w:hint="cs"/>
          <w:rtl/>
        </w:rPr>
        <w:t>تحية طيبة وبعد،</w:t>
      </w:r>
    </w:p>
    <w:p w14:paraId="633A7D64" w14:textId="51943F87" w:rsidR="00D517B2" w:rsidRDefault="00F16BB4" w:rsidP="00D517B2">
      <w:pPr>
        <w:rPr>
          <w:rtl/>
          <w:lang w:val="en-GB"/>
        </w:rPr>
      </w:pPr>
      <w:r>
        <w:rPr>
          <w:lang w:bidi="ar-SY"/>
        </w:rPr>
        <w:t>1</w:t>
      </w:r>
      <w:r>
        <w:rPr>
          <w:rtl/>
          <w:lang w:bidi="ar-EG"/>
        </w:rPr>
        <w:tab/>
      </w:r>
      <w:r w:rsidR="00240CD9">
        <w:rPr>
          <w:rFonts w:hint="cs"/>
          <w:rtl/>
          <w:lang w:bidi="ar-EG"/>
        </w:rPr>
        <w:t>بعد</w:t>
      </w:r>
      <w:r w:rsidR="006B6731">
        <w:rPr>
          <w:rFonts w:hint="cs"/>
          <w:rtl/>
          <w:lang w:bidi="ar-EG"/>
        </w:rPr>
        <w:t xml:space="preserve"> موافقة لجنة الدراسات </w:t>
      </w:r>
      <w:r w:rsidR="006B6731">
        <w:rPr>
          <w:lang w:bidi="ar-EG"/>
        </w:rPr>
        <w:t>11</w:t>
      </w:r>
      <w:r w:rsidR="006B6731">
        <w:rPr>
          <w:rFonts w:hint="cs"/>
          <w:rtl/>
          <w:lang w:bidi="ar-EG"/>
        </w:rPr>
        <w:t xml:space="preserve"> </w:t>
      </w:r>
      <w:r w:rsidR="00834C37">
        <w:rPr>
          <w:rFonts w:hint="cs"/>
          <w:rtl/>
          <w:lang w:bidi="ar-EG"/>
        </w:rPr>
        <w:t xml:space="preserve">لقطاع تقييس الاتصالات بالاتحاد الدولي للاتصالات </w:t>
      </w:r>
      <w:r w:rsidR="00834C37">
        <w:rPr>
          <w:lang w:bidi="ar-EG"/>
        </w:rPr>
        <w:t>(ITU-T)</w:t>
      </w:r>
      <w:r w:rsidR="006B6731">
        <w:rPr>
          <w:rFonts w:hint="cs"/>
          <w:rtl/>
          <w:lang w:bidi="ar-EG"/>
        </w:rPr>
        <w:t xml:space="preserve"> </w:t>
      </w:r>
      <w:r w:rsidR="00240CD9">
        <w:rPr>
          <w:rFonts w:hint="cs"/>
          <w:rtl/>
          <w:lang w:bidi="ar-EG"/>
        </w:rPr>
        <w:t>في جلستها العامة الافتراضية</w:t>
      </w:r>
      <w:r w:rsidR="007B4F21">
        <w:rPr>
          <w:rFonts w:hint="cs"/>
          <w:rtl/>
          <w:lang w:bidi="ar-EG"/>
        </w:rPr>
        <w:t xml:space="preserve"> </w:t>
      </w:r>
      <w:r w:rsidR="00240CD9">
        <w:rPr>
          <w:rFonts w:hint="cs"/>
          <w:rtl/>
          <w:lang w:bidi="ar-EG"/>
        </w:rPr>
        <w:t>(</w:t>
      </w:r>
      <w:r w:rsidR="00240CD9">
        <w:rPr>
          <w:lang w:bidi="ar-EG"/>
        </w:rPr>
        <w:t>10</w:t>
      </w:r>
      <w:r w:rsidR="00240CD9">
        <w:rPr>
          <w:rFonts w:hint="cs"/>
          <w:rtl/>
          <w:lang w:bidi="ar-EG"/>
        </w:rPr>
        <w:t xml:space="preserve"> ديسمبر </w:t>
      </w:r>
      <w:r w:rsidR="00240CD9">
        <w:rPr>
          <w:lang w:bidi="ar-EG"/>
        </w:rPr>
        <w:t>2021</w:t>
      </w:r>
      <w:r w:rsidR="00240CD9">
        <w:rPr>
          <w:rFonts w:hint="cs"/>
          <w:rtl/>
          <w:lang w:bidi="ar-EG"/>
        </w:rPr>
        <w:t xml:space="preserve">)، </w:t>
      </w:r>
      <w:r>
        <w:rPr>
          <w:color w:val="000000"/>
          <w:rtl/>
        </w:rPr>
        <w:t xml:space="preserve">يسرني أن أعلن عن إنشاء </w:t>
      </w:r>
      <w:r w:rsidR="007B4F21" w:rsidRPr="007B4F21">
        <w:rPr>
          <w:rFonts w:hint="cs"/>
          <w:b/>
          <w:bCs/>
          <w:color w:val="000000"/>
          <w:rtl/>
        </w:rPr>
        <w:t>فريق متخصص</w:t>
      </w:r>
      <w:r w:rsidR="007B4F21">
        <w:rPr>
          <w:rFonts w:hint="cs"/>
          <w:color w:val="000000"/>
          <w:rtl/>
        </w:rPr>
        <w:t xml:space="preserve"> جديد </w:t>
      </w:r>
      <w:r w:rsidR="007B4F21" w:rsidRPr="00E93F22">
        <w:rPr>
          <w:rFonts w:hint="cs"/>
          <w:b/>
          <w:bCs/>
          <w:color w:val="000000"/>
          <w:rtl/>
        </w:rPr>
        <w:t>يُعنى</w:t>
      </w:r>
      <w:r w:rsidR="007B4F21">
        <w:rPr>
          <w:rFonts w:hint="cs"/>
          <w:color w:val="000000"/>
          <w:rtl/>
        </w:rPr>
        <w:t xml:space="preserve"> </w:t>
      </w:r>
      <w:r w:rsidR="007B4F21">
        <w:rPr>
          <w:rFonts w:hint="cs"/>
          <w:b/>
          <w:bCs/>
          <w:spacing w:val="-2"/>
          <w:rtl/>
          <w:lang w:bidi="ar-EG"/>
        </w:rPr>
        <w:t>ب</w:t>
      </w:r>
      <w:r w:rsidR="007B4F21" w:rsidRPr="00F16BB4">
        <w:rPr>
          <w:rFonts w:hint="cs"/>
          <w:b/>
          <w:bCs/>
          <w:spacing w:val="-2"/>
          <w:rtl/>
          <w:lang w:bidi="ar-EG"/>
        </w:rPr>
        <w:t>اتحادات منصات اختبار الاتصالات المتنقلة الدولية-2020 وما</w:t>
      </w:r>
      <w:r w:rsidR="007B4F21" w:rsidRPr="00F16BB4">
        <w:rPr>
          <w:rFonts w:hint="eastAsia"/>
          <w:b/>
          <w:bCs/>
          <w:spacing w:val="-2"/>
          <w:rtl/>
          <w:lang w:bidi="ar-EG"/>
        </w:rPr>
        <w:t> </w:t>
      </w:r>
      <w:r w:rsidR="007B4F21" w:rsidRPr="00F16BB4">
        <w:rPr>
          <w:rFonts w:hint="cs"/>
          <w:b/>
          <w:bCs/>
          <w:spacing w:val="-2"/>
          <w:rtl/>
          <w:lang w:bidi="ar-EG"/>
        </w:rPr>
        <w:t>بعدها</w:t>
      </w:r>
      <w:r w:rsidR="007B4F21">
        <w:rPr>
          <w:rFonts w:hint="cs"/>
          <w:b/>
          <w:bCs/>
          <w:spacing w:val="-2"/>
          <w:rtl/>
          <w:lang w:bidi="ar-EG"/>
        </w:rPr>
        <w:t xml:space="preserve"> </w:t>
      </w:r>
      <w:r w:rsidR="006060ED">
        <w:rPr>
          <w:b/>
          <w:bCs/>
          <w:spacing w:val="-2"/>
          <w:lang w:bidi="ar-EG"/>
        </w:rPr>
        <w:t>(</w:t>
      </w:r>
      <w:r w:rsidR="007B4F21">
        <w:rPr>
          <w:b/>
          <w:bCs/>
          <w:spacing w:val="-2"/>
          <w:lang w:bidi="ar-EG"/>
        </w:rPr>
        <w:t>FG-TBFxG)</w:t>
      </w:r>
      <w:r w:rsidR="007B4F21">
        <w:rPr>
          <w:rFonts w:hint="cs"/>
          <w:b/>
          <w:bCs/>
          <w:spacing w:val="-2"/>
          <w:rtl/>
          <w:lang w:bidi="ar-EG"/>
        </w:rPr>
        <w:t>.</w:t>
      </w:r>
      <w:r>
        <w:rPr>
          <w:rFonts w:hint="cs"/>
          <w:color w:val="000000"/>
          <w:rtl/>
          <w:lang w:val="en-GB"/>
        </w:rPr>
        <w:t xml:space="preserve"> </w:t>
      </w:r>
      <w:r>
        <w:rPr>
          <w:rFonts w:hint="cs"/>
          <w:rtl/>
          <w:lang w:val="en-GB" w:bidi="ar-SY"/>
        </w:rPr>
        <w:t xml:space="preserve">وسيعقد الفريق المتخصص </w:t>
      </w:r>
      <w:r w:rsidR="007B4F21">
        <w:rPr>
          <w:rFonts w:hint="cs"/>
          <w:rtl/>
          <w:lang w:val="en-GB"/>
        </w:rPr>
        <w:t>اجتماعه الأول</w:t>
      </w:r>
      <w:r>
        <w:rPr>
          <w:rFonts w:hint="cs"/>
          <w:rtl/>
          <w:lang w:val="en-GB" w:bidi="ar-SY"/>
        </w:rPr>
        <w:t xml:space="preserve"> في</w:t>
      </w:r>
      <w:r w:rsidR="007B4F21">
        <w:rPr>
          <w:rFonts w:hint="cs"/>
          <w:rtl/>
          <w:lang w:val="en-GB" w:bidi="ar-SY"/>
        </w:rPr>
        <w:t xml:space="preserve"> الفترة</w:t>
      </w:r>
      <w:r>
        <w:rPr>
          <w:rFonts w:hint="cs"/>
          <w:rtl/>
          <w:lang w:val="en-GB" w:bidi="ar-SY"/>
        </w:rPr>
        <w:t xml:space="preserve"> </w:t>
      </w:r>
      <w:r w:rsidR="007B4F21">
        <w:rPr>
          <w:lang w:val="en-GB" w:bidi="ar-SY"/>
        </w:rPr>
        <w:t>7-4</w:t>
      </w:r>
      <w:r>
        <w:rPr>
          <w:rFonts w:hint="cs"/>
          <w:rtl/>
          <w:lang w:val="en-GB"/>
        </w:rPr>
        <w:t xml:space="preserve"> </w:t>
      </w:r>
      <w:r w:rsidR="007B4F21">
        <w:rPr>
          <w:rFonts w:hint="cs"/>
          <w:rtl/>
          <w:lang w:val="en-GB"/>
        </w:rPr>
        <w:t>أبريل</w:t>
      </w:r>
      <w:r>
        <w:rPr>
          <w:rFonts w:hint="cs"/>
          <w:rtl/>
          <w:lang w:val="en-GB"/>
        </w:rPr>
        <w:t xml:space="preserve"> </w:t>
      </w:r>
      <w:r>
        <w:rPr>
          <w:lang w:val="en-GB"/>
        </w:rPr>
        <w:t>202</w:t>
      </w:r>
      <w:r w:rsidR="007B4F21">
        <w:rPr>
          <w:lang w:val="en-GB"/>
        </w:rPr>
        <w:t>2</w:t>
      </w:r>
      <w:r>
        <w:rPr>
          <w:rFonts w:hint="cs"/>
          <w:rtl/>
          <w:lang w:val="en-GB"/>
        </w:rPr>
        <w:t>.</w:t>
      </w:r>
    </w:p>
    <w:p w14:paraId="259EC997" w14:textId="759BEC80" w:rsidR="00F16BB4" w:rsidRPr="004B7BB1" w:rsidRDefault="00F16BB4" w:rsidP="006060ED">
      <w:pPr>
        <w:rPr>
          <w:rtl/>
          <w:lang w:bidi="ar-EG"/>
        </w:rPr>
      </w:pPr>
      <w:r w:rsidRPr="004B7BB1">
        <w:t>2</w:t>
      </w:r>
      <w:r w:rsidRPr="004B7BB1">
        <w:rPr>
          <w:rtl/>
          <w:lang w:bidi="ar-EG"/>
        </w:rPr>
        <w:tab/>
      </w:r>
      <w:r w:rsidR="007B4F21" w:rsidRPr="004B7BB1">
        <w:rPr>
          <w:rtl/>
          <w:lang w:bidi="ar-EG"/>
        </w:rPr>
        <w:t>و</w:t>
      </w:r>
      <w:r w:rsidR="00F41BC2" w:rsidRPr="004B7BB1">
        <w:rPr>
          <w:rtl/>
          <w:lang w:bidi="ar-EG"/>
        </w:rPr>
        <w:t>تحت رئاسة</w:t>
      </w:r>
      <w:r w:rsidR="007B4F21" w:rsidRPr="004B7BB1">
        <w:rPr>
          <w:rtl/>
          <w:lang w:bidi="ar-EG"/>
        </w:rPr>
        <w:t xml:space="preserve"> السيد </w:t>
      </w:r>
      <w:r w:rsidR="0075220D" w:rsidRPr="004B7BB1">
        <w:rPr>
          <w:rtl/>
          <w:lang w:bidi="ar-EG"/>
        </w:rPr>
        <w:t>جوليو</w:t>
      </w:r>
      <w:r w:rsidR="007B4F21" w:rsidRPr="004B7BB1">
        <w:rPr>
          <w:rtl/>
          <w:lang w:bidi="ar-EG"/>
        </w:rPr>
        <w:t xml:space="preserve"> </w:t>
      </w:r>
      <w:r w:rsidR="0075220D" w:rsidRPr="004B7BB1">
        <w:rPr>
          <w:rtl/>
          <w:lang w:bidi="ar-EG"/>
        </w:rPr>
        <w:t>ماجوريه (الشركة الإيطالية للاتصالات، إيطاليا)،</w:t>
      </w:r>
      <w:r w:rsidR="00D80B61" w:rsidRPr="004B7BB1">
        <w:rPr>
          <w:lang w:bidi="ar-EG"/>
        </w:rPr>
        <w:t xml:space="preserve"> </w:t>
      </w:r>
      <w:r w:rsidR="0075220D" w:rsidRPr="004B7BB1">
        <w:rPr>
          <w:rtl/>
          <w:lang w:bidi="ar-EG"/>
        </w:rPr>
        <w:t xml:space="preserve">وكمنصة لتنسيق </w:t>
      </w:r>
      <w:r w:rsidR="00F41BC2" w:rsidRPr="004B7BB1">
        <w:rPr>
          <w:rtl/>
          <w:lang w:bidi="ar-EG"/>
        </w:rPr>
        <w:t xml:space="preserve">مواصفات </w:t>
      </w:r>
      <w:r w:rsidR="00DE384C" w:rsidRPr="004B7BB1">
        <w:rPr>
          <w:rtl/>
          <w:lang w:bidi="ar-EG"/>
        </w:rPr>
        <w:t>منصات الاختبار في جميع ال</w:t>
      </w:r>
      <w:r w:rsidR="00D80B61" w:rsidRPr="004B7BB1">
        <w:rPr>
          <w:rtl/>
          <w:lang w:bidi="ar-EG"/>
        </w:rPr>
        <w:t>منظمات</w:t>
      </w:r>
      <w:r w:rsidR="00A1274E" w:rsidRPr="004B7BB1">
        <w:rPr>
          <w:rtl/>
          <w:lang w:bidi="ar-EG"/>
        </w:rPr>
        <w:t>/المنتديات</w:t>
      </w:r>
      <w:r w:rsidR="00D80B61" w:rsidRPr="004B7BB1">
        <w:rPr>
          <w:rtl/>
          <w:lang w:bidi="ar-EG"/>
        </w:rPr>
        <w:t xml:space="preserve"> المعنية بوضع المعايير</w:t>
      </w:r>
      <w:r w:rsidR="000B319C" w:rsidRPr="004B7BB1">
        <w:rPr>
          <w:rtl/>
          <w:lang w:bidi="ar-EG"/>
        </w:rPr>
        <w:t>،</w:t>
      </w:r>
      <w:r w:rsidR="006060ED" w:rsidRPr="004B7BB1">
        <w:rPr>
          <w:rtl/>
          <w:lang w:bidi="ar-EG"/>
        </w:rPr>
        <w:t xml:space="preserve"> </w:t>
      </w:r>
      <w:r w:rsidR="00C52B10" w:rsidRPr="004B7BB1">
        <w:rPr>
          <w:rtl/>
          <w:lang w:bidi="ar-EG"/>
        </w:rPr>
        <w:t>سيعمد الفريق المتخص</w:t>
      </w:r>
      <w:r w:rsidR="00E24143" w:rsidRPr="004B7BB1">
        <w:rPr>
          <w:rtl/>
          <w:lang w:bidi="ar-EG"/>
        </w:rPr>
        <w:t>ص المشار إليه</w:t>
      </w:r>
      <w:r w:rsidR="00C52B10" w:rsidRPr="004B7BB1">
        <w:rPr>
          <w:rtl/>
          <w:lang w:bidi="ar-EG"/>
        </w:rPr>
        <w:t xml:space="preserve"> إلى إنشاء السطوح البينية لبرمجة التطبيقات </w:t>
      </w:r>
      <w:r w:rsidR="00C52B10" w:rsidRPr="004B7BB1">
        <w:rPr>
          <w:lang w:bidi="ar-EG"/>
        </w:rPr>
        <w:t>(API)</w:t>
      </w:r>
      <w:r w:rsidR="00C52B10" w:rsidRPr="004B7BB1">
        <w:rPr>
          <w:rtl/>
          <w:lang w:bidi="ar-EG"/>
        </w:rPr>
        <w:t xml:space="preserve"> اللازمة</w:t>
      </w:r>
      <w:r w:rsidR="00E93F22" w:rsidRPr="004B7BB1">
        <w:rPr>
          <w:rtl/>
          <w:lang w:bidi="ar-EG"/>
        </w:rPr>
        <w:t>،</w:t>
      </w:r>
      <w:r w:rsidR="00C52B10" w:rsidRPr="004B7BB1">
        <w:rPr>
          <w:rtl/>
          <w:lang w:bidi="ar-EG"/>
        </w:rPr>
        <w:t xml:space="preserve"> وفقاً للنموذج المرجعي لاتحادات منصات الاختبار المحدد في التوصية </w:t>
      </w:r>
      <w:hyperlink r:id="rId10" w:history="1">
        <w:r w:rsidR="002353F7" w:rsidRPr="004B7BB1">
          <w:rPr>
            <w:rStyle w:val="Hyperlink"/>
          </w:rPr>
          <w:t>ITU-T Q.4068</w:t>
        </w:r>
      </w:hyperlink>
      <w:r w:rsidR="00115A86" w:rsidRPr="004B7BB1">
        <w:rPr>
          <w:rtl/>
        </w:rPr>
        <w:t>،</w:t>
      </w:r>
      <w:r w:rsidR="00115A86" w:rsidRPr="004B7BB1">
        <w:rPr>
          <w:rtl/>
          <w:lang w:bidi="ar-EG"/>
        </w:rPr>
        <w:t xml:space="preserve"> التي وُضعت </w:t>
      </w:r>
      <w:r w:rsidR="00605483" w:rsidRPr="004B7BB1">
        <w:rPr>
          <w:rtl/>
          <w:lang w:bidi="ar-EG"/>
        </w:rPr>
        <w:t>بالتعاون مع</w:t>
      </w:r>
      <w:r w:rsidR="002353F7" w:rsidRPr="004B7BB1">
        <w:rPr>
          <w:rtl/>
          <w:lang w:bidi="ar-EG"/>
        </w:rPr>
        <w:t xml:space="preserve"> </w:t>
      </w:r>
      <w:r w:rsidR="002353F7" w:rsidRPr="004B7BB1">
        <w:rPr>
          <w:color w:val="000000"/>
          <w:shd w:val="clear" w:color="auto" w:fill="FFFFFF"/>
          <w:rtl/>
        </w:rPr>
        <w:t>اللجنة التقنية المعنية باختبار قابلية التشغيل البيني التابعة للمعهد الأوروبي لمعايير الاتصالات</w:t>
      </w:r>
      <w:r w:rsidR="004B7BB1" w:rsidRPr="004B7BB1">
        <w:rPr>
          <w:rFonts w:hint="cs"/>
          <w:rtl/>
          <w:lang w:bidi="ar-EG"/>
        </w:rPr>
        <w:t> </w:t>
      </w:r>
      <w:r w:rsidR="00605483" w:rsidRPr="004B7BB1">
        <w:rPr>
          <w:lang w:bidi="ar-EG"/>
        </w:rPr>
        <w:t>(ETSI</w:t>
      </w:r>
      <w:r w:rsidR="00AC7664" w:rsidRPr="004B7BB1">
        <w:rPr>
          <w:lang w:bidi="ar-EG"/>
        </w:rPr>
        <w:t> </w:t>
      </w:r>
      <w:r w:rsidR="00605483" w:rsidRPr="004B7BB1">
        <w:rPr>
          <w:lang w:bidi="ar-EG"/>
        </w:rPr>
        <w:t>TC INT)</w:t>
      </w:r>
      <w:r w:rsidR="00605483" w:rsidRPr="004B7BB1">
        <w:rPr>
          <w:rtl/>
          <w:lang w:bidi="ar-EG"/>
        </w:rPr>
        <w:t xml:space="preserve">، </w:t>
      </w:r>
      <w:r w:rsidR="00D44733" w:rsidRPr="004B7BB1">
        <w:rPr>
          <w:rtl/>
          <w:lang w:bidi="ar-EG"/>
        </w:rPr>
        <w:t>و</w:t>
      </w:r>
      <w:r w:rsidR="00605483" w:rsidRPr="004B7BB1">
        <w:rPr>
          <w:rtl/>
          <w:lang w:bidi="ar-EG"/>
        </w:rPr>
        <w:t xml:space="preserve">سيحدد </w:t>
      </w:r>
      <w:r w:rsidR="00E93F22" w:rsidRPr="004B7BB1">
        <w:rPr>
          <w:rtl/>
          <w:lang w:bidi="ar-EG"/>
        </w:rPr>
        <w:t xml:space="preserve">الفريق </w:t>
      </w:r>
      <w:r w:rsidR="00605483" w:rsidRPr="004B7BB1">
        <w:rPr>
          <w:rtl/>
          <w:lang w:bidi="ar-EG"/>
        </w:rPr>
        <w:t>مجموعة من حالات استخدام منصات الاختبار</w:t>
      </w:r>
      <w:r w:rsidR="00426D10" w:rsidRPr="004B7BB1">
        <w:rPr>
          <w:rtl/>
          <w:lang w:bidi="ar-EG"/>
        </w:rPr>
        <w:t xml:space="preserve"> المتحدة</w:t>
      </w:r>
      <w:r w:rsidR="00605483" w:rsidRPr="004B7BB1">
        <w:rPr>
          <w:rtl/>
          <w:lang w:bidi="ar-EG"/>
        </w:rPr>
        <w:t xml:space="preserve"> والسطوح البينية لبرمجة</w:t>
      </w:r>
      <w:r w:rsidR="004B7BB1">
        <w:rPr>
          <w:rFonts w:hint="cs"/>
          <w:rtl/>
          <w:lang w:bidi="ar-EG"/>
        </w:rPr>
        <w:t> </w:t>
      </w:r>
      <w:r w:rsidR="00605483" w:rsidRPr="004B7BB1">
        <w:rPr>
          <w:rtl/>
          <w:lang w:bidi="ar-EG"/>
        </w:rPr>
        <w:t>التطبيقات.</w:t>
      </w:r>
    </w:p>
    <w:p w14:paraId="634CE2D5" w14:textId="4C591DEE" w:rsidR="00F16BB4" w:rsidRDefault="002353F7" w:rsidP="00AC7664">
      <w:pPr>
        <w:rPr>
          <w:rtl/>
          <w:lang w:bidi="ar-EG"/>
        </w:rPr>
      </w:pPr>
      <w:r>
        <w:rPr>
          <w:rFonts w:hint="cs"/>
          <w:rtl/>
          <w:lang w:bidi="ar-EG"/>
        </w:rPr>
        <w:t>ويشجع الفريق المتخصص</w:t>
      </w:r>
      <w:r w:rsidR="00E24143">
        <w:rPr>
          <w:rFonts w:hint="cs"/>
          <w:rtl/>
          <w:lang w:bidi="ar-EG"/>
        </w:rPr>
        <w:t xml:space="preserve"> </w:t>
      </w:r>
      <w:r>
        <w:rPr>
          <w:rFonts w:hint="cs"/>
          <w:rtl/>
          <w:lang w:bidi="ar-EG"/>
        </w:rPr>
        <w:t>جميع</w:t>
      </w:r>
      <w:r w:rsidR="00E93F22">
        <w:rPr>
          <w:rFonts w:hint="cs"/>
          <w:rtl/>
          <w:lang w:bidi="ar-EG"/>
        </w:rPr>
        <w:t xml:space="preserve"> المعنيين من</w:t>
      </w:r>
      <w:r>
        <w:rPr>
          <w:rFonts w:hint="cs"/>
          <w:rtl/>
          <w:lang w:bidi="ar-EG"/>
        </w:rPr>
        <w:t xml:space="preserve"> أصحاب المصلحة</w:t>
      </w:r>
      <w:r w:rsidR="00E93F22">
        <w:rPr>
          <w:rFonts w:hint="cs"/>
          <w:rtl/>
          <w:lang w:bidi="ar-EG"/>
        </w:rPr>
        <w:t xml:space="preserve"> والمنظمات</w:t>
      </w:r>
      <w:r w:rsidR="00D634F2">
        <w:rPr>
          <w:rFonts w:hint="cs"/>
          <w:rtl/>
          <w:lang w:bidi="ar-EG"/>
        </w:rPr>
        <w:t>/المنتديات</w:t>
      </w:r>
      <w:r w:rsidR="00E93F22">
        <w:rPr>
          <w:rFonts w:hint="cs"/>
          <w:rtl/>
          <w:lang w:bidi="ar-EG"/>
        </w:rPr>
        <w:t xml:space="preserve"> المعنية بوضع المعايير على المشاركة في أنشطته والقيام بما يلي:</w:t>
      </w:r>
    </w:p>
    <w:p w14:paraId="241BA3C5" w14:textId="3F0143CD" w:rsidR="00F16BB4" w:rsidRPr="00AC7664" w:rsidRDefault="00F16BB4" w:rsidP="00AC7664">
      <w:pPr>
        <w:pStyle w:val="enumlev1"/>
        <w:rPr>
          <w:rtl/>
        </w:rPr>
      </w:pPr>
      <w:r w:rsidRPr="00AC7664">
        <w:rPr>
          <w:rFonts w:hint="cs"/>
          <w:rtl/>
        </w:rPr>
        <w:t>-</w:t>
      </w:r>
      <w:r w:rsidRPr="00AC7664">
        <w:rPr>
          <w:rtl/>
        </w:rPr>
        <w:tab/>
      </w:r>
      <w:r w:rsidR="009222EB" w:rsidRPr="00AC7664">
        <w:rPr>
          <w:rFonts w:hint="cs"/>
          <w:rtl/>
        </w:rPr>
        <w:t>المساهمة في إنشاء السطوح البينية لبرمجة التطبيقات، المقررة في النموذج المرجعي لاتحادات منصات الاختبار</w:t>
      </w:r>
      <w:r w:rsidRPr="00AC7664">
        <w:rPr>
          <w:rFonts w:hint="cs"/>
          <w:rtl/>
        </w:rPr>
        <w:t>؛</w:t>
      </w:r>
    </w:p>
    <w:p w14:paraId="424E80AF" w14:textId="1754608F" w:rsidR="00F16BB4" w:rsidRPr="00AC7664" w:rsidRDefault="00F16BB4" w:rsidP="00AC7664">
      <w:pPr>
        <w:pStyle w:val="enumlev1"/>
        <w:rPr>
          <w:rtl/>
        </w:rPr>
      </w:pPr>
      <w:r w:rsidRPr="00AC7664">
        <w:rPr>
          <w:rFonts w:hint="cs"/>
          <w:rtl/>
        </w:rPr>
        <w:t>-</w:t>
      </w:r>
      <w:r w:rsidRPr="00AC7664">
        <w:rPr>
          <w:rtl/>
        </w:rPr>
        <w:tab/>
      </w:r>
      <w:r w:rsidR="00282262" w:rsidRPr="00AC7664">
        <w:rPr>
          <w:rFonts w:hint="cs"/>
          <w:rtl/>
        </w:rPr>
        <w:t>تقاسم</w:t>
      </w:r>
      <w:r w:rsidRPr="00AC7664">
        <w:rPr>
          <w:rtl/>
        </w:rPr>
        <w:t xml:space="preserve"> عبء</w:t>
      </w:r>
      <w:r w:rsidR="009222EB" w:rsidRPr="00AC7664">
        <w:rPr>
          <w:rFonts w:hint="cs"/>
          <w:rtl/>
        </w:rPr>
        <w:t xml:space="preserve"> العمل</w:t>
      </w:r>
      <w:r w:rsidR="00C77041" w:rsidRPr="00AC7664">
        <w:rPr>
          <w:rFonts w:hint="cs"/>
          <w:rtl/>
        </w:rPr>
        <w:t>، على أساس التنسيق والتعاون،</w:t>
      </w:r>
      <w:r w:rsidR="009222EB" w:rsidRPr="00AC7664">
        <w:rPr>
          <w:rFonts w:hint="cs"/>
          <w:rtl/>
        </w:rPr>
        <w:t xml:space="preserve"> </w:t>
      </w:r>
      <w:r w:rsidR="00C77041" w:rsidRPr="00AC7664">
        <w:rPr>
          <w:rFonts w:hint="cs"/>
          <w:rtl/>
        </w:rPr>
        <w:t>فيما يتعلق</w:t>
      </w:r>
      <w:r w:rsidRPr="00AC7664">
        <w:rPr>
          <w:rtl/>
        </w:rPr>
        <w:t xml:space="preserve"> </w:t>
      </w:r>
      <w:r w:rsidR="00C77041" w:rsidRPr="00AC7664">
        <w:rPr>
          <w:rFonts w:hint="cs"/>
          <w:rtl/>
        </w:rPr>
        <w:t>بتوصيف</w:t>
      </w:r>
      <w:r w:rsidR="00E24143" w:rsidRPr="00AC7664">
        <w:rPr>
          <w:rFonts w:hint="cs"/>
          <w:rtl/>
        </w:rPr>
        <w:t xml:space="preserve"> وتقييس</w:t>
      </w:r>
      <w:r w:rsidR="00C77041" w:rsidRPr="00AC7664">
        <w:rPr>
          <w:rFonts w:hint="cs"/>
          <w:rtl/>
        </w:rPr>
        <w:t xml:space="preserve"> </w:t>
      </w:r>
      <w:r w:rsidRPr="00AC7664">
        <w:rPr>
          <w:rtl/>
        </w:rPr>
        <w:t xml:space="preserve">السطوح البينية لبرمجة التطبيقات </w:t>
      </w:r>
      <w:r w:rsidR="00C77041" w:rsidRPr="00AC7664">
        <w:rPr>
          <w:rFonts w:hint="cs"/>
          <w:rtl/>
        </w:rPr>
        <w:t>و</w:t>
      </w:r>
      <w:r w:rsidRPr="00AC7664">
        <w:rPr>
          <w:rFonts w:hint="cs"/>
          <w:rtl/>
        </w:rPr>
        <w:t xml:space="preserve">وضع </w:t>
      </w:r>
      <w:r w:rsidRPr="00AC7664">
        <w:rPr>
          <w:rtl/>
        </w:rPr>
        <w:t xml:space="preserve">خرائط </w:t>
      </w:r>
      <w:r w:rsidR="00C77041" w:rsidRPr="00AC7664">
        <w:rPr>
          <w:rFonts w:hint="cs"/>
          <w:rtl/>
        </w:rPr>
        <w:t>ال</w:t>
      </w:r>
      <w:r w:rsidRPr="00AC7664">
        <w:rPr>
          <w:rtl/>
        </w:rPr>
        <w:t>ط</w:t>
      </w:r>
      <w:r w:rsidR="009222EB" w:rsidRPr="00AC7664">
        <w:rPr>
          <w:rFonts w:hint="cs"/>
          <w:rtl/>
        </w:rPr>
        <w:t>رق</w:t>
      </w:r>
      <w:r w:rsidR="00C77041" w:rsidRPr="00AC7664">
        <w:rPr>
          <w:rFonts w:hint="cs"/>
          <w:rtl/>
        </w:rPr>
        <w:t>؛</w:t>
      </w:r>
    </w:p>
    <w:p w14:paraId="4DBEB302" w14:textId="548F2345" w:rsidR="00F16BB4" w:rsidRPr="00AC7664" w:rsidRDefault="00F16BB4" w:rsidP="00AC7664">
      <w:pPr>
        <w:pStyle w:val="enumlev1"/>
        <w:rPr>
          <w:rtl/>
        </w:rPr>
      </w:pPr>
      <w:r w:rsidRPr="00AC7664">
        <w:rPr>
          <w:rFonts w:hint="cs"/>
          <w:rtl/>
        </w:rPr>
        <w:t>-</w:t>
      </w:r>
      <w:r w:rsidRPr="00AC7664">
        <w:rPr>
          <w:rtl/>
        </w:rPr>
        <w:tab/>
      </w:r>
      <w:r w:rsidR="00282262" w:rsidRPr="00AC7664">
        <w:rPr>
          <w:rFonts w:hint="cs"/>
          <w:rtl/>
        </w:rPr>
        <w:t xml:space="preserve">استحداث حالات استخدام وخدمات جديدة </w:t>
      </w:r>
      <w:r w:rsidRPr="00AC7664">
        <w:rPr>
          <w:rtl/>
        </w:rPr>
        <w:t xml:space="preserve">لموردي </w:t>
      </w:r>
      <w:r w:rsidRPr="00AC7664">
        <w:rPr>
          <w:rFonts w:hint="cs"/>
          <w:rtl/>
        </w:rPr>
        <w:t>منصات</w:t>
      </w:r>
      <w:r w:rsidRPr="00AC7664">
        <w:rPr>
          <w:rtl/>
        </w:rPr>
        <w:t xml:space="preserve"> الاختبار </w:t>
      </w:r>
      <w:r w:rsidR="00282262" w:rsidRPr="00AC7664">
        <w:rPr>
          <w:rFonts w:hint="cs"/>
          <w:rtl/>
        </w:rPr>
        <w:t>تُستمد</w:t>
      </w:r>
      <w:r w:rsidRPr="00AC7664">
        <w:rPr>
          <w:rtl/>
        </w:rPr>
        <w:t xml:space="preserve"> من النموذج المرجعي لاتحادات</w:t>
      </w:r>
      <w:r w:rsidRPr="00AC7664">
        <w:rPr>
          <w:rFonts w:hint="cs"/>
          <w:rtl/>
        </w:rPr>
        <w:t xml:space="preserve"> منصات</w:t>
      </w:r>
      <w:r w:rsidRPr="00AC7664">
        <w:rPr>
          <w:rtl/>
        </w:rPr>
        <w:t xml:space="preserve"> الاختبار</w:t>
      </w:r>
      <w:r w:rsidR="00282262" w:rsidRPr="00AC7664">
        <w:rPr>
          <w:rFonts w:hint="cs"/>
          <w:rtl/>
        </w:rPr>
        <w:t xml:space="preserve"> وما يقترن به من سطوح بينية لبرمجة التطبيقات، من قب</w:t>
      </w:r>
      <w:r w:rsidR="00426D10" w:rsidRPr="00AC7664">
        <w:rPr>
          <w:rFonts w:hint="cs"/>
          <w:rtl/>
        </w:rPr>
        <w:t>ي</w:t>
      </w:r>
      <w:r w:rsidR="00282262" w:rsidRPr="00AC7664">
        <w:rPr>
          <w:rFonts w:hint="cs"/>
          <w:rtl/>
        </w:rPr>
        <w:t xml:space="preserve">ل </w:t>
      </w:r>
      <w:r w:rsidR="00426D10" w:rsidRPr="00AC7664">
        <w:rPr>
          <w:rFonts w:hint="cs"/>
          <w:rtl/>
        </w:rPr>
        <w:t xml:space="preserve">"منصة الاختبار كخدمة" </w:t>
      </w:r>
      <w:r w:rsidR="00426D10" w:rsidRPr="00AC7664">
        <w:t>(</w:t>
      </w:r>
      <w:proofErr w:type="spellStart"/>
      <w:r w:rsidR="00426D10" w:rsidRPr="00AC7664">
        <w:t>TaaS</w:t>
      </w:r>
      <w:proofErr w:type="spellEnd"/>
      <w:r w:rsidR="00426D10" w:rsidRPr="00AC7664">
        <w:t>)</w:t>
      </w:r>
      <w:r w:rsidR="00426D10" w:rsidRPr="00AC7664">
        <w:rPr>
          <w:rFonts w:hint="cs"/>
          <w:rtl/>
        </w:rPr>
        <w:t>.</w:t>
      </w:r>
    </w:p>
    <w:p w14:paraId="021CBF86" w14:textId="105DE6A9" w:rsidR="00F16BB4" w:rsidRDefault="00F16BB4" w:rsidP="004B7BB1">
      <w:pPr>
        <w:keepNext/>
        <w:keepLines/>
        <w:rPr>
          <w:rtl/>
          <w:lang w:eastAsia="ja-JP"/>
        </w:rPr>
      </w:pPr>
      <w:r>
        <w:rPr>
          <w:lang w:bidi="ar-EG"/>
        </w:rPr>
        <w:lastRenderedPageBreak/>
        <w:t>3</w:t>
      </w:r>
      <w:r>
        <w:rPr>
          <w:rtl/>
          <w:lang w:bidi="ar-EG"/>
        </w:rPr>
        <w:tab/>
      </w:r>
      <w:r w:rsidR="00E24143">
        <w:rPr>
          <w:rFonts w:hint="cs"/>
          <w:rtl/>
          <w:lang w:eastAsia="ja-JP"/>
        </w:rPr>
        <w:t>و</w:t>
      </w:r>
      <w:r>
        <w:rPr>
          <w:rFonts w:hint="cs"/>
          <w:rtl/>
          <w:lang w:eastAsia="ja-JP"/>
        </w:rPr>
        <w:t>سيؤدي</w:t>
      </w:r>
      <w:r w:rsidR="00E24143">
        <w:rPr>
          <w:rFonts w:hint="cs"/>
          <w:rtl/>
          <w:lang w:eastAsia="ja-JP"/>
        </w:rPr>
        <w:t xml:space="preserve"> الفريق المتخصص</w:t>
      </w:r>
      <w:r w:rsidR="00837C0C">
        <w:rPr>
          <w:rFonts w:hint="cs"/>
          <w:rtl/>
          <w:lang w:eastAsia="ja-JP"/>
        </w:rPr>
        <w:t xml:space="preserve"> </w:t>
      </w:r>
      <w:r w:rsidR="00D90456">
        <w:rPr>
          <w:rFonts w:hint="cs"/>
          <w:rtl/>
          <w:lang w:eastAsia="ja-JP"/>
        </w:rPr>
        <w:t>دوراً ك</w:t>
      </w:r>
      <w:r>
        <w:rPr>
          <w:rFonts w:hint="cs"/>
          <w:rtl/>
          <w:lang w:eastAsia="ja-JP"/>
        </w:rPr>
        <w:t xml:space="preserve">منصة </w:t>
      </w:r>
      <w:r w:rsidR="00AB15FB">
        <w:rPr>
          <w:rFonts w:hint="cs"/>
          <w:rtl/>
          <w:lang w:eastAsia="ja-JP"/>
        </w:rPr>
        <w:t>ل</w:t>
      </w:r>
      <w:r>
        <w:rPr>
          <w:rFonts w:hint="cs"/>
          <w:rtl/>
          <w:lang w:eastAsia="ja-JP"/>
        </w:rPr>
        <w:t>تبادل الآراء و</w:t>
      </w:r>
      <w:r w:rsidR="00E24143">
        <w:rPr>
          <w:rFonts w:hint="cs"/>
          <w:rtl/>
          <w:lang w:eastAsia="ja-JP"/>
        </w:rPr>
        <w:t>استحداث</w:t>
      </w:r>
      <w:r>
        <w:rPr>
          <w:rFonts w:hint="cs"/>
          <w:rtl/>
          <w:lang w:eastAsia="ja-JP"/>
        </w:rPr>
        <w:t xml:space="preserve"> مجموعة من النواتج</w:t>
      </w:r>
      <w:r w:rsidR="00E24143">
        <w:rPr>
          <w:rFonts w:hint="cs"/>
          <w:rtl/>
          <w:lang w:eastAsia="ja-JP"/>
        </w:rPr>
        <w:t xml:space="preserve">، </w:t>
      </w:r>
      <w:r w:rsidR="00D44733">
        <w:rPr>
          <w:rFonts w:hint="cs"/>
          <w:rtl/>
          <w:lang w:eastAsia="ja-JP"/>
        </w:rPr>
        <w:t xml:space="preserve">كما </w:t>
      </w:r>
      <w:r w:rsidR="00E24143">
        <w:rPr>
          <w:rFonts w:hint="cs"/>
          <w:rtl/>
          <w:lang w:eastAsia="ja-JP"/>
        </w:rPr>
        <w:t xml:space="preserve">سيشكل </w:t>
      </w:r>
      <w:r w:rsidR="00AB15FB">
        <w:rPr>
          <w:rFonts w:hint="cs"/>
          <w:rtl/>
          <w:lang w:eastAsia="ja-JP"/>
        </w:rPr>
        <w:t>منصة لمختلف أصحاب المصلحة ل</w:t>
      </w:r>
      <w:r w:rsidR="007772DE">
        <w:rPr>
          <w:rFonts w:hint="cs"/>
          <w:rtl/>
          <w:lang w:eastAsia="ja-JP" w:bidi="ar-EG"/>
        </w:rPr>
        <w:t>يشاركوه</w:t>
      </w:r>
      <w:r w:rsidR="00D44733">
        <w:rPr>
          <w:rFonts w:hint="cs"/>
          <w:rtl/>
          <w:lang w:eastAsia="ja-JP"/>
        </w:rPr>
        <w:t xml:space="preserve"> مبادراتهم ومشاريعهم </w:t>
      </w:r>
      <w:r w:rsidR="00E06521">
        <w:rPr>
          <w:rFonts w:hint="cs"/>
          <w:rtl/>
          <w:lang w:eastAsia="ja-JP"/>
        </w:rPr>
        <w:t>بما يتفق</w:t>
      </w:r>
      <w:r w:rsidR="00D44733">
        <w:rPr>
          <w:rFonts w:hint="cs"/>
          <w:rtl/>
          <w:lang w:eastAsia="ja-JP"/>
        </w:rPr>
        <w:t xml:space="preserve"> </w:t>
      </w:r>
      <w:r w:rsidR="005F56F7">
        <w:rPr>
          <w:rFonts w:hint="cs"/>
          <w:rtl/>
          <w:lang w:eastAsia="ja-JP"/>
        </w:rPr>
        <w:t>و</w:t>
      </w:r>
      <w:r w:rsidR="00E06521">
        <w:rPr>
          <w:rFonts w:hint="cs"/>
          <w:rtl/>
          <w:lang w:eastAsia="ja-JP"/>
        </w:rPr>
        <w:t>ا</w:t>
      </w:r>
      <w:r w:rsidR="00D44733">
        <w:rPr>
          <w:rFonts w:hint="cs"/>
          <w:rtl/>
          <w:lang w:eastAsia="ja-JP"/>
        </w:rPr>
        <w:t>لرؤية المحددة والنظام الإيكولوجي المنشود لاتحادات منصات الاختبار.</w:t>
      </w:r>
      <w:r>
        <w:rPr>
          <w:rFonts w:hint="cs"/>
          <w:rtl/>
          <w:lang w:eastAsia="ja-JP"/>
        </w:rPr>
        <w:t xml:space="preserve"> </w:t>
      </w:r>
      <w:r w:rsidR="00D44733">
        <w:rPr>
          <w:rFonts w:hint="cs"/>
          <w:rtl/>
          <w:lang w:eastAsia="ja-JP"/>
        </w:rPr>
        <w:t xml:space="preserve">وسيضع الفريق </w:t>
      </w:r>
      <w:r w:rsidR="00D132E7">
        <w:rPr>
          <w:rFonts w:hint="cs"/>
          <w:rtl/>
          <w:lang w:eastAsia="ja-JP"/>
        </w:rPr>
        <w:t>المواصفات التقنية التي قد تصبح الأساس الذي سيُستند إليه في مواصلة أعمال التقييس في مجال اتحادات منصات الاختبار.</w:t>
      </w:r>
    </w:p>
    <w:p w14:paraId="022BC867" w14:textId="79259893" w:rsidR="00F16BB4" w:rsidRPr="00F1576D" w:rsidRDefault="00F16BB4" w:rsidP="00910038">
      <w:pPr>
        <w:rPr>
          <w:spacing w:val="4"/>
        </w:rPr>
      </w:pPr>
      <w:r w:rsidRPr="00F1576D">
        <w:rPr>
          <w:spacing w:val="4"/>
          <w:lang w:eastAsia="ja-JP"/>
        </w:rPr>
        <w:t>4</w:t>
      </w:r>
      <w:r w:rsidRPr="00F1576D">
        <w:rPr>
          <w:spacing w:val="4"/>
          <w:rtl/>
          <w:lang w:eastAsia="ja-JP" w:bidi="ar-EG"/>
        </w:rPr>
        <w:tab/>
      </w:r>
      <w:r w:rsidR="00D132E7" w:rsidRPr="00F1576D">
        <w:rPr>
          <w:rFonts w:hint="cs"/>
          <w:spacing w:val="4"/>
          <w:rtl/>
          <w:lang w:eastAsia="ja-JP" w:bidi="ar-EG"/>
        </w:rPr>
        <w:t>و</w:t>
      </w:r>
      <w:r w:rsidRPr="00F1576D">
        <w:rPr>
          <w:spacing w:val="4"/>
          <w:rtl/>
          <w:lang w:bidi="ar-EG"/>
        </w:rPr>
        <w:t xml:space="preserve">المشاركة </w:t>
      </w:r>
      <w:r w:rsidRPr="00F1576D">
        <w:rPr>
          <w:spacing w:val="4"/>
          <w:rtl/>
          <w:lang w:bidi="ar-SY"/>
        </w:rPr>
        <w:t>في الفريق المتخصص</w:t>
      </w:r>
      <w:r w:rsidR="007772DE" w:rsidRPr="00F1576D">
        <w:rPr>
          <w:rFonts w:hint="cs"/>
          <w:spacing w:val="4"/>
          <w:rtl/>
          <w:lang w:bidi="ar-SY"/>
        </w:rPr>
        <w:t xml:space="preserve"> المعني </w:t>
      </w:r>
      <w:r w:rsidR="007772DE" w:rsidRPr="00F1576D">
        <w:rPr>
          <w:rFonts w:hint="cs"/>
          <w:spacing w:val="4"/>
          <w:rtl/>
          <w:lang w:bidi="ar-EG"/>
        </w:rPr>
        <w:t>باتحادات منصات اختبار الاتصالات المتنقلة الدولية-2020 وما</w:t>
      </w:r>
      <w:r w:rsidR="007772DE" w:rsidRPr="00F1576D">
        <w:rPr>
          <w:rFonts w:hint="eastAsia"/>
          <w:spacing w:val="4"/>
          <w:rtl/>
          <w:lang w:bidi="ar-EG"/>
        </w:rPr>
        <w:t> </w:t>
      </w:r>
      <w:r w:rsidR="007772DE" w:rsidRPr="00F1576D">
        <w:rPr>
          <w:rFonts w:hint="cs"/>
          <w:spacing w:val="4"/>
          <w:rtl/>
          <w:lang w:bidi="ar-EG"/>
        </w:rPr>
        <w:t>بعدها</w:t>
      </w:r>
      <w:r w:rsidR="0047619A" w:rsidRPr="00F1576D">
        <w:rPr>
          <w:rFonts w:hint="cs"/>
          <w:spacing w:val="4"/>
          <w:rtl/>
          <w:lang w:bidi="ar-SY"/>
        </w:rPr>
        <w:t xml:space="preserve"> مجانية</w:t>
      </w:r>
      <w:r w:rsidR="0046687B" w:rsidRPr="00F1576D">
        <w:rPr>
          <w:rFonts w:hint="cs"/>
          <w:spacing w:val="4"/>
          <w:rtl/>
          <w:lang w:bidi="ar-SY"/>
        </w:rPr>
        <w:t xml:space="preserve"> </w:t>
      </w:r>
      <w:r w:rsidR="0047619A" w:rsidRPr="00F1576D">
        <w:rPr>
          <w:rFonts w:hint="cs"/>
          <w:spacing w:val="4"/>
          <w:rtl/>
          <w:lang w:bidi="ar-EG"/>
        </w:rPr>
        <w:t xml:space="preserve">وبابها </w:t>
      </w:r>
      <w:r w:rsidRPr="00F1576D">
        <w:rPr>
          <w:spacing w:val="4"/>
          <w:rtl/>
          <w:lang w:bidi="ar-EG"/>
        </w:rPr>
        <w:t xml:space="preserve">مفتوح </w:t>
      </w:r>
      <w:r w:rsidR="0047619A" w:rsidRPr="00F1576D">
        <w:rPr>
          <w:rFonts w:hint="cs"/>
          <w:spacing w:val="4"/>
          <w:rtl/>
          <w:lang w:bidi="ar-EG"/>
        </w:rPr>
        <w:t xml:space="preserve">لجميع الأفراد </w:t>
      </w:r>
      <w:r w:rsidR="00900F25" w:rsidRPr="00F1576D">
        <w:rPr>
          <w:rFonts w:hint="cs"/>
          <w:spacing w:val="4"/>
          <w:rtl/>
          <w:lang w:bidi="ar-EG"/>
        </w:rPr>
        <w:t>من</w:t>
      </w:r>
      <w:r w:rsidR="0047619A" w:rsidRPr="00F1576D">
        <w:rPr>
          <w:rFonts w:hint="cs"/>
          <w:spacing w:val="4"/>
          <w:rtl/>
          <w:lang w:bidi="ar-EG"/>
        </w:rPr>
        <w:t xml:space="preserve"> البلدان الأعضاء في </w:t>
      </w:r>
      <w:r w:rsidRPr="00F1576D">
        <w:rPr>
          <w:spacing w:val="4"/>
          <w:rtl/>
          <w:lang w:bidi="ar-EG"/>
        </w:rPr>
        <w:t xml:space="preserve">الاتحاد </w:t>
      </w:r>
      <w:r w:rsidR="0047619A" w:rsidRPr="00F1576D">
        <w:rPr>
          <w:rFonts w:hint="cs"/>
          <w:spacing w:val="4"/>
          <w:rtl/>
          <w:lang w:bidi="ar-EG"/>
        </w:rPr>
        <w:t>الراغبين</w:t>
      </w:r>
      <w:r w:rsidRPr="00F1576D">
        <w:rPr>
          <w:spacing w:val="4"/>
          <w:rtl/>
          <w:lang w:bidi="ar-EG"/>
        </w:rPr>
        <w:t xml:space="preserve"> في المساهمة </w:t>
      </w:r>
      <w:r w:rsidR="00400FBE" w:rsidRPr="00F1576D">
        <w:rPr>
          <w:rFonts w:hint="cs"/>
          <w:spacing w:val="4"/>
          <w:rtl/>
          <w:lang w:bidi="ar-EG"/>
        </w:rPr>
        <w:t>في أعماله بفعالية</w:t>
      </w:r>
      <w:r w:rsidRPr="00F1576D">
        <w:rPr>
          <w:spacing w:val="4"/>
          <w:rtl/>
          <w:lang w:bidi="ar-SY"/>
        </w:rPr>
        <w:t>.</w:t>
      </w:r>
      <w:r w:rsidRPr="00F1576D">
        <w:rPr>
          <w:spacing w:val="4"/>
          <w:rtl/>
          <w:lang w:bidi="ar-EG"/>
        </w:rPr>
        <w:t xml:space="preserve"> ويشمل ذلك </w:t>
      </w:r>
      <w:r w:rsidR="00400FBE" w:rsidRPr="00F1576D">
        <w:rPr>
          <w:rFonts w:hint="cs"/>
          <w:spacing w:val="4"/>
          <w:rtl/>
          <w:lang w:bidi="ar-EG"/>
        </w:rPr>
        <w:t>الأفراد الأعضاء</w:t>
      </w:r>
      <w:r w:rsidRPr="00F1576D">
        <w:rPr>
          <w:spacing w:val="4"/>
          <w:rtl/>
          <w:lang w:bidi="ar-EG"/>
        </w:rPr>
        <w:t xml:space="preserve"> أيضاً في المنظمات الدولية والإقليمية والوطنية.</w:t>
      </w:r>
      <w:r w:rsidRPr="00F1576D">
        <w:rPr>
          <w:rFonts w:hint="cs"/>
          <w:spacing w:val="4"/>
          <w:rtl/>
          <w:lang w:bidi="ar-EG"/>
        </w:rPr>
        <w:t xml:space="preserve"> </w:t>
      </w:r>
      <w:r w:rsidR="00400FBE" w:rsidRPr="00F1576D">
        <w:rPr>
          <w:rFonts w:hint="cs"/>
          <w:spacing w:val="4"/>
          <w:rtl/>
          <w:lang w:bidi="ar-EG"/>
        </w:rPr>
        <w:t xml:space="preserve">ويشجع الفريق المتخصص التعاون مع </w:t>
      </w:r>
      <w:r w:rsidR="00400FBE" w:rsidRPr="00F1576D">
        <w:rPr>
          <w:rFonts w:hint="cs"/>
          <w:spacing w:val="4"/>
          <w:rtl/>
        </w:rPr>
        <w:t>ال</w:t>
      </w:r>
      <w:r w:rsidRPr="00F1576D">
        <w:rPr>
          <w:rFonts w:hint="cs"/>
          <w:spacing w:val="4"/>
          <w:rtl/>
          <w:lang w:bidi="ar-EG"/>
        </w:rPr>
        <w:t>منظمات/</w:t>
      </w:r>
      <w:r w:rsidR="00D634F2" w:rsidRPr="00F1576D">
        <w:rPr>
          <w:rFonts w:hint="cs"/>
          <w:spacing w:val="4"/>
          <w:rtl/>
          <w:lang w:bidi="ar-EG"/>
        </w:rPr>
        <w:t>ال</w:t>
      </w:r>
      <w:r w:rsidRPr="00F1576D">
        <w:rPr>
          <w:rFonts w:hint="cs"/>
          <w:spacing w:val="4"/>
          <w:rtl/>
          <w:lang w:bidi="ar-EG"/>
        </w:rPr>
        <w:t>اتحادات</w:t>
      </w:r>
      <w:r w:rsidR="00D634F2" w:rsidRPr="00F1576D">
        <w:rPr>
          <w:rFonts w:hint="cs"/>
          <w:spacing w:val="4"/>
          <w:rtl/>
          <w:lang w:bidi="ar-EG"/>
        </w:rPr>
        <w:t xml:space="preserve"> المعنية</w:t>
      </w:r>
      <w:r w:rsidRPr="00F1576D">
        <w:rPr>
          <w:rFonts w:hint="cs"/>
          <w:spacing w:val="4"/>
          <w:rtl/>
          <w:lang w:bidi="ar-EG"/>
        </w:rPr>
        <w:t xml:space="preserve"> </w:t>
      </w:r>
      <w:r w:rsidR="00D634F2" w:rsidRPr="00F1576D">
        <w:rPr>
          <w:rFonts w:hint="cs"/>
          <w:spacing w:val="4"/>
          <w:rtl/>
          <w:lang w:bidi="ar-EG"/>
        </w:rPr>
        <w:t>ب</w:t>
      </w:r>
      <w:r w:rsidRPr="00F1576D">
        <w:rPr>
          <w:rFonts w:hint="cs"/>
          <w:spacing w:val="4"/>
          <w:rtl/>
          <w:lang w:bidi="ar-EG"/>
        </w:rPr>
        <w:t>وضع المعايير</w:t>
      </w:r>
      <w:r w:rsidR="00D634F2" w:rsidRPr="00F1576D">
        <w:rPr>
          <w:rFonts w:hint="cs"/>
          <w:spacing w:val="4"/>
          <w:rtl/>
          <w:lang w:bidi="ar-EG"/>
        </w:rPr>
        <w:t xml:space="preserve">، </w:t>
      </w:r>
      <w:r w:rsidRPr="00F1576D">
        <w:rPr>
          <w:rFonts w:hint="cs"/>
          <w:spacing w:val="4"/>
          <w:rtl/>
          <w:lang w:bidi="ar-EG"/>
        </w:rPr>
        <w:t>و</w:t>
      </w:r>
      <w:r w:rsidR="00D634F2" w:rsidRPr="00F1576D">
        <w:rPr>
          <w:rFonts w:hint="cs"/>
          <w:spacing w:val="4"/>
          <w:rtl/>
          <w:lang w:bidi="ar-EG"/>
        </w:rPr>
        <w:t>ال</w:t>
      </w:r>
      <w:r w:rsidRPr="00F1576D">
        <w:rPr>
          <w:rFonts w:hint="cs"/>
          <w:spacing w:val="4"/>
          <w:rtl/>
          <w:lang w:bidi="ar-EG"/>
        </w:rPr>
        <w:t>مجتمعات البح</w:t>
      </w:r>
      <w:r w:rsidR="00D634F2" w:rsidRPr="00F1576D">
        <w:rPr>
          <w:rFonts w:hint="cs"/>
          <w:spacing w:val="4"/>
          <w:rtl/>
          <w:lang w:bidi="ar-EG"/>
        </w:rPr>
        <w:t>ثية</w:t>
      </w:r>
      <w:r w:rsidRPr="00F1576D">
        <w:rPr>
          <w:rFonts w:hint="cs"/>
          <w:spacing w:val="4"/>
          <w:rtl/>
          <w:lang w:bidi="ar-EG"/>
        </w:rPr>
        <w:t>،</w:t>
      </w:r>
      <w:r w:rsidRPr="00F1576D">
        <w:rPr>
          <w:spacing w:val="4"/>
          <w:rtl/>
          <w:lang w:bidi="ar-EG"/>
        </w:rPr>
        <w:t xml:space="preserve"> </w:t>
      </w:r>
      <w:r w:rsidRPr="00F1576D">
        <w:rPr>
          <w:rFonts w:hint="cs"/>
          <w:spacing w:val="4"/>
          <w:rtl/>
          <w:lang w:bidi="ar-EG"/>
        </w:rPr>
        <w:t>والباحث</w:t>
      </w:r>
      <w:r w:rsidR="00D634F2" w:rsidRPr="00F1576D">
        <w:rPr>
          <w:rFonts w:hint="cs"/>
          <w:spacing w:val="4"/>
          <w:rtl/>
          <w:lang w:bidi="ar-EG"/>
        </w:rPr>
        <w:t>ي</w:t>
      </w:r>
      <w:r w:rsidRPr="00F1576D">
        <w:rPr>
          <w:rFonts w:hint="cs"/>
          <w:spacing w:val="4"/>
          <w:rtl/>
          <w:lang w:bidi="ar-EG"/>
        </w:rPr>
        <w:t xml:space="preserve">ن في </w:t>
      </w:r>
      <w:r w:rsidR="007A00E4" w:rsidRPr="00F1576D">
        <w:rPr>
          <w:rFonts w:hint="cs"/>
          <w:spacing w:val="4"/>
          <w:rtl/>
          <w:lang w:bidi="ar-EG"/>
        </w:rPr>
        <w:t xml:space="preserve">مجال </w:t>
      </w:r>
      <w:r w:rsidR="007E1F94" w:rsidRPr="00F1576D">
        <w:rPr>
          <w:rFonts w:hint="cs"/>
          <w:spacing w:val="4"/>
          <w:rtl/>
          <w:lang w:bidi="ar-EG"/>
        </w:rPr>
        <w:t>الاتصالات المتنقلة الدولية-</w:t>
      </w:r>
      <w:r w:rsidR="007E1F94" w:rsidRPr="00F1576D">
        <w:rPr>
          <w:spacing w:val="4"/>
          <w:lang w:bidi="ar-EG"/>
        </w:rPr>
        <w:t>2020</w:t>
      </w:r>
      <w:r w:rsidRPr="00F1576D">
        <w:rPr>
          <w:spacing w:val="4"/>
          <w:rtl/>
          <w:lang w:bidi="ar-EG"/>
        </w:rPr>
        <w:t xml:space="preserve"> وما بعده</w:t>
      </w:r>
      <w:r w:rsidRPr="00F1576D">
        <w:rPr>
          <w:rFonts w:hint="cs"/>
          <w:spacing w:val="4"/>
          <w:rtl/>
          <w:lang w:bidi="ar-EG"/>
        </w:rPr>
        <w:t>ا،</w:t>
      </w:r>
      <w:r w:rsidRPr="00F1576D">
        <w:rPr>
          <w:spacing w:val="4"/>
          <w:rtl/>
          <w:lang w:bidi="ar-EG"/>
        </w:rPr>
        <w:t xml:space="preserve"> </w:t>
      </w:r>
      <w:r w:rsidR="009812AC" w:rsidRPr="00F1576D">
        <w:rPr>
          <w:rFonts w:hint="cs"/>
          <w:spacing w:val="4"/>
          <w:rtl/>
          <w:lang w:bidi="ar-EG"/>
        </w:rPr>
        <w:t xml:space="preserve">وكذلك </w:t>
      </w:r>
      <w:r w:rsidR="00910038" w:rsidRPr="00F1576D">
        <w:rPr>
          <w:rFonts w:hint="cs"/>
          <w:spacing w:val="4"/>
          <w:rtl/>
          <w:lang w:bidi="ar-EG"/>
        </w:rPr>
        <w:t xml:space="preserve">مع </w:t>
      </w:r>
      <w:r w:rsidR="009812AC" w:rsidRPr="00F1576D">
        <w:rPr>
          <w:rFonts w:hint="cs"/>
          <w:spacing w:val="4"/>
          <w:rtl/>
          <w:lang w:bidi="ar-EG"/>
        </w:rPr>
        <w:t>مستخدمي</w:t>
      </w:r>
      <w:r w:rsidR="00900F25" w:rsidRPr="00F1576D">
        <w:rPr>
          <w:rFonts w:hint="cs"/>
          <w:spacing w:val="4"/>
          <w:rtl/>
          <w:lang w:bidi="ar-EG"/>
        </w:rPr>
        <w:t xml:space="preserve"> </w:t>
      </w:r>
      <w:r w:rsidRPr="00F1576D">
        <w:rPr>
          <w:rFonts w:hint="cs"/>
          <w:spacing w:val="4"/>
          <w:rtl/>
          <w:lang w:bidi="ar-EG"/>
        </w:rPr>
        <w:t>منصات</w:t>
      </w:r>
      <w:r w:rsidRPr="00F1576D">
        <w:rPr>
          <w:spacing w:val="4"/>
          <w:rtl/>
          <w:lang w:bidi="ar-EG"/>
        </w:rPr>
        <w:t xml:space="preserve"> الاختبار</w:t>
      </w:r>
      <w:r w:rsidR="009812AC" w:rsidRPr="00F1576D">
        <w:rPr>
          <w:rFonts w:hint="cs"/>
          <w:spacing w:val="4"/>
          <w:rtl/>
          <w:lang w:bidi="ar-EG"/>
        </w:rPr>
        <w:t xml:space="preserve"> من أوساط </w:t>
      </w:r>
      <w:r w:rsidR="000B319C" w:rsidRPr="00F1576D">
        <w:rPr>
          <w:rFonts w:hint="cs"/>
          <w:spacing w:val="4"/>
          <w:rtl/>
          <w:lang w:bidi="ar-EG"/>
        </w:rPr>
        <w:t>ال</w:t>
      </w:r>
      <w:r w:rsidR="009812AC" w:rsidRPr="00F1576D">
        <w:rPr>
          <w:rFonts w:hint="cs"/>
          <w:spacing w:val="4"/>
          <w:rtl/>
          <w:lang w:bidi="ar-EG"/>
        </w:rPr>
        <w:t>صناعة</w:t>
      </w:r>
      <w:r w:rsidRPr="00F1576D">
        <w:rPr>
          <w:rFonts w:hint="cs"/>
          <w:spacing w:val="4"/>
          <w:rtl/>
          <w:lang w:bidi="ar-EG"/>
        </w:rPr>
        <w:t xml:space="preserve">، </w:t>
      </w:r>
      <w:r w:rsidRPr="00F1576D">
        <w:rPr>
          <w:spacing w:val="4"/>
          <w:rtl/>
          <w:lang w:bidi="ar-EG"/>
        </w:rPr>
        <w:t>ومورد</w:t>
      </w:r>
      <w:r w:rsidR="007A00E4" w:rsidRPr="00F1576D">
        <w:rPr>
          <w:rFonts w:hint="cs"/>
          <w:spacing w:val="4"/>
          <w:rtl/>
          <w:lang w:bidi="ar-EG"/>
        </w:rPr>
        <w:t>ي</w:t>
      </w:r>
      <w:r w:rsidRPr="00F1576D">
        <w:rPr>
          <w:rFonts w:hint="cs"/>
          <w:spacing w:val="4"/>
          <w:rtl/>
          <w:lang w:bidi="ar-EG"/>
        </w:rPr>
        <w:t xml:space="preserve"> منصات</w:t>
      </w:r>
      <w:r w:rsidRPr="00F1576D">
        <w:rPr>
          <w:spacing w:val="4"/>
          <w:rtl/>
          <w:lang w:bidi="ar-EG"/>
        </w:rPr>
        <w:t xml:space="preserve"> </w:t>
      </w:r>
      <w:r w:rsidRPr="00F1576D">
        <w:rPr>
          <w:rFonts w:hint="cs"/>
          <w:spacing w:val="4"/>
          <w:rtl/>
          <w:lang w:bidi="ar-EG"/>
        </w:rPr>
        <w:t>اختبار</w:t>
      </w:r>
      <w:r w:rsidRPr="00F1576D">
        <w:rPr>
          <w:spacing w:val="4"/>
          <w:rtl/>
          <w:lang w:bidi="ar-EG"/>
        </w:rPr>
        <w:t xml:space="preserve"> </w:t>
      </w:r>
      <w:r w:rsidR="009812AC" w:rsidRPr="00F1576D">
        <w:rPr>
          <w:rFonts w:hint="cs"/>
          <w:spacing w:val="4"/>
          <w:rtl/>
          <w:lang w:bidi="ar-EG"/>
        </w:rPr>
        <w:t>الاتصالات المتنقلة الدولية-</w:t>
      </w:r>
      <w:r w:rsidR="009812AC" w:rsidRPr="00F1576D">
        <w:rPr>
          <w:spacing w:val="4"/>
          <w:lang w:bidi="ar-EG"/>
        </w:rPr>
        <w:t>2020</w:t>
      </w:r>
      <w:r w:rsidR="009812AC" w:rsidRPr="00F1576D">
        <w:rPr>
          <w:spacing w:val="4"/>
          <w:rtl/>
          <w:lang w:bidi="ar-EG"/>
        </w:rPr>
        <w:t xml:space="preserve"> </w:t>
      </w:r>
      <w:r w:rsidR="009812AC" w:rsidRPr="00F1576D">
        <w:rPr>
          <w:rFonts w:hint="cs"/>
          <w:spacing w:val="4"/>
          <w:rtl/>
          <w:lang w:bidi="ar-EG"/>
        </w:rPr>
        <w:t>وغيرها من منصات الاختبار</w:t>
      </w:r>
      <w:r w:rsidRPr="00F1576D">
        <w:rPr>
          <w:rFonts w:hint="cs"/>
          <w:spacing w:val="4"/>
          <w:rtl/>
          <w:lang w:bidi="ar-EG"/>
        </w:rPr>
        <w:t>،</w:t>
      </w:r>
      <w:r w:rsidRPr="00F1576D">
        <w:rPr>
          <w:spacing w:val="4"/>
          <w:rtl/>
          <w:lang w:bidi="ar-EG"/>
        </w:rPr>
        <w:t xml:space="preserve"> ومقدم</w:t>
      </w:r>
      <w:r w:rsidR="009812AC" w:rsidRPr="00F1576D">
        <w:rPr>
          <w:rFonts w:hint="cs"/>
          <w:spacing w:val="4"/>
          <w:rtl/>
          <w:lang w:bidi="ar-EG"/>
        </w:rPr>
        <w:t>ي</w:t>
      </w:r>
      <w:r w:rsidRPr="00F1576D">
        <w:rPr>
          <w:spacing w:val="4"/>
          <w:rtl/>
          <w:lang w:bidi="ar-EG"/>
        </w:rPr>
        <w:t xml:space="preserve"> خدمات </w:t>
      </w:r>
      <w:r w:rsidRPr="00F1576D">
        <w:rPr>
          <w:rFonts w:hint="cs"/>
          <w:spacing w:val="4"/>
          <w:rtl/>
          <w:lang w:bidi="ar-EG"/>
        </w:rPr>
        <w:t>الاتصالات</w:t>
      </w:r>
      <w:r w:rsidR="009812AC" w:rsidRPr="00F1576D">
        <w:rPr>
          <w:rFonts w:hint="cs"/>
          <w:spacing w:val="4"/>
          <w:rtl/>
          <w:lang w:bidi="ar-EG"/>
        </w:rPr>
        <w:t xml:space="preserve"> </w:t>
      </w:r>
      <w:r w:rsidR="009812AC" w:rsidRPr="00F1576D">
        <w:rPr>
          <w:spacing w:val="4"/>
          <w:lang w:bidi="ar-EG"/>
        </w:rPr>
        <w:t>(CSP)</w:t>
      </w:r>
      <w:r w:rsidRPr="00F1576D">
        <w:rPr>
          <w:rFonts w:hint="cs"/>
          <w:spacing w:val="4"/>
          <w:rtl/>
          <w:lang w:bidi="ar-EG"/>
        </w:rPr>
        <w:t xml:space="preserve">، </w:t>
      </w:r>
      <w:r w:rsidR="009812AC" w:rsidRPr="00F1576D">
        <w:rPr>
          <w:rFonts w:hint="cs"/>
          <w:spacing w:val="4"/>
          <w:rtl/>
          <w:lang w:bidi="ar-EG"/>
        </w:rPr>
        <w:t>ومشغلي</w:t>
      </w:r>
      <w:r w:rsidR="00910038" w:rsidRPr="00F1576D">
        <w:rPr>
          <w:rFonts w:hint="cs"/>
          <w:spacing w:val="4"/>
          <w:rtl/>
          <w:lang w:bidi="ar-EG"/>
        </w:rPr>
        <w:t xml:space="preserve"> الشبكات، فضلاً عن بائعي/موردي</w:t>
      </w:r>
      <w:r w:rsidRPr="00F1576D">
        <w:rPr>
          <w:spacing w:val="4"/>
          <w:rtl/>
          <w:lang w:bidi="ar-EG"/>
        </w:rPr>
        <w:t xml:space="preserve"> البن</w:t>
      </w:r>
      <w:r w:rsidR="009812AC" w:rsidRPr="00F1576D">
        <w:rPr>
          <w:rFonts w:hint="cs"/>
          <w:spacing w:val="4"/>
          <w:rtl/>
          <w:lang w:bidi="ar-EG"/>
        </w:rPr>
        <w:t>ى</w:t>
      </w:r>
      <w:r w:rsidRPr="00F1576D">
        <w:rPr>
          <w:spacing w:val="4"/>
          <w:rtl/>
          <w:lang w:bidi="ar-EG"/>
        </w:rPr>
        <w:t xml:space="preserve"> التحتية </w:t>
      </w:r>
      <w:r w:rsidR="00910038" w:rsidRPr="00F1576D">
        <w:rPr>
          <w:rFonts w:hint="cs"/>
          <w:spacing w:val="4"/>
          <w:rtl/>
          <w:lang w:bidi="ar-EG"/>
        </w:rPr>
        <w:t>ل</w:t>
      </w:r>
      <w:r w:rsidR="00676732" w:rsidRPr="00F1576D">
        <w:rPr>
          <w:rFonts w:hint="cs"/>
          <w:spacing w:val="4"/>
          <w:rtl/>
          <w:lang w:bidi="ar-EG"/>
        </w:rPr>
        <w:t xml:space="preserve">فائدة </w:t>
      </w:r>
      <w:r w:rsidR="00910038" w:rsidRPr="00F1576D">
        <w:rPr>
          <w:rFonts w:hint="cs"/>
          <w:spacing w:val="4"/>
          <w:rtl/>
          <w:lang w:bidi="ar-EG"/>
        </w:rPr>
        <w:t xml:space="preserve">قطاع </w:t>
      </w:r>
      <w:r w:rsidRPr="00F1576D">
        <w:rPr>
          <w:spacing w:val="4"/>
          <w:rtl/>
          <w:lang w:bidi="ar-EG"/>
        </w:rPr>
        <w:t>تكنولوجيا المعلومات والاتصالات والقطاعات الرأسية</w:t>
      </w:r>
      <w:r w:rsidRPr="00F1576D">
        <w:rPr>
          <w:rFonts w:hint="cs"/>
          <w:spacing w:val="4"/>
          <w:rtl/>
          <w:lang w:bidi="ar-EG"/>
        </w:rPr>
        <w:t>،</w:t>
      </w:r>
      <w:r w:rsidRPr="00F1576D">
        <w:rPr>
          <w:spacing w:val="4"/>
          <w:rtl/>
          <w:lang w:bidi="ar-EG"/>
        </w:rPr>
        <w:t xml:space="preserve"> </w:t>
      </w:r>
      <w:r w:rsidRPr="00F1576D">
        <w:rPr>
          <w:rFonts w:hint="cs"/>
          <w:spacing w:val="4"/>
          <w:rtl/>
          <w:lang w:bidi="ar-EG"/>
        </w:rPr>
        <w:t>و</w:t>
      </w:r>
      <w:r w:rsidRPr="00F1576D">
        <w:rPr>
          <w:spacing w:val="4"/>
          <w:rtl/>
          <w:lang w:bidi="ar-EG"/>
        </w:rPr>
        <w:t>مشاريع</w:t>
      </w:r>
      <w:r w:rsidR="000B319C" w:rsidRPr="00F1576D">
        <w:rPr>
          <w:rFonts w:hint="cs"/>
          <w:spacing w:val="4"/>
          <w:rtl/>
          <w:lang w:bidi="ar-EG"/>
        </w:rPr>
        <w:t xml:space="preserve"> البرمجيات والمعدات</w:t>
      </w:r>
      <w:r w:rsidRPr="00F1576D">
        <w:rPr>
          <w:spacing w:val="4"/>
          <w:rtl/>
          <w:lang w:bidi="ar-EG"/>
        </w:rPr>
        <w:t xml:space="preserve"> </w:t>
      </w:r>
      <w:r w:rsidR="00910038" w:rsidRPr="00F1576D">
        <w:rPr>
          <w:rFonts w:hint="cs"/>
          <w:spacing w:val="4"/>
          <w:rtl/>
          <w:lang w:bidi="ar-EG"/>
        </w:rPr>
        <w:t>ال</w:t>
      </w:r>
      <w:r w:rsidRPr="00F1576D">
        <w:rPr>
          <w:spacing w:val="4"/>
          <w:rtl/>
          <w:lang w:bidi="ar-EG"/>
        </w:rPr>
        <w:t>مفتوحة المصدر</w:t>
      </w:r>
      <w:r w:rsidR="00910038" w:rsidRPr="00F1576D">
        <w:rPr>
          <w:rFonts w:hint="cs"/>
          <w:spacing w:val="4"/>
          <w:rtl/>
          <w:lang w:bidi="ar-EG"/>
        </w:rPr>
        <w:t xml:space="preserve">، </w:t>
      </w:r>
      <w:r w:rsidRPr="00F1576D">
        <w:rPr>
          <w:spacing w:val="4"/>
          <w:rtl/>
          <w:lang w:bidi="ar-EG"/>
        </w:rPr>
        <w:t>وال</w:t>
      </w:r>
      <w:r w:rsidR="00910038" w:rsidRPr="00F1576D">
        <w:rPr>
          <w:rFonts w:hint="cs"/>
          <w:spacing w:val="4"/>
          <w:rtl/>
          <w:lang w:bidi="ar-EG"/>
        </w:rPr>
        <w:t>هيئات التنظيمية.</w:t>
      </w:r>
    </w:p>
    <w:p w14:paraId="3168B3E7" w14:textId="46D1D1FA" w:rsidR="00F16BB4" w:rsidRDefault="00CB2505" w:rsidP="00AC7664">
      <w:r w:rsidRPr="00EB6F00">
        <w:rPr>
          <w:rFonts w:hint="cs"/>
          <w:rtl/>
        </w:rPr>
        <w:t>وجميع المهتمين بمتابعة هذه الأعمال</w:t>
      </w:r>
      <w:r w:rsidR="00F16BB4" w:rsidRPr="00EB6F00">
        <w:rPr>
          <w:rFonts w:hint="cs"/>
          <w:rtl/>
        </w:rPr>
        <w:t xml:space="preserve"> أو المشاركة فيه</w:t>
      </w:r>
      <w:r w:rsidRPr="00EB6F00">
        <w:rPr>
          <w:rFonts w:hint="cs"/>
          <w:rtl/>
        </w:rPr>
        <w:t>ا مدعو</w:t>
      </w:r>
      <w:r w:rsidR="00E06521" w:rsidRPr="00EB6F00">
        <w:rPr>
          <w:rFonts w:hint="cs"/>
          <w:rtl/>
        </w:rPr>
        <w:t>ّ</w:t>
      </w:r>
      <w:r w:rsidRPr="00EB6F00">
        <w:rPr>
          <w:rFonts w:hint="cs"/>
          <w:rtl/>
        </w:rPr>
        <w:t>ون</w:t>
      </w:r>
      <w:r w:rsidR="00F16BB4" w:rsidRPr="00EB6F00">
        <w:rPr>
          <w:rFonts w:hint="cs"/>
          <w:rtl/>
        </w:rPr>
        <w:t xml:space="preserve"> إلى </w:t>
      </w:r>
      <w:r w:rsidRPr="00EB6F00">
        <w:rPr>
          <w:rFonts w:hint="cs"/>
          <w:rtl/>
          <w:lang w:bidi="ar-EG"/>
        </w:rPr>
        <w:t xml:space="preserve">الانضمام </w:t>
      </w:r>
      <w:r w:rsidR="00F16BB4" w:rsidRPr="00EB6F00">
        <w:rPr>
          <w:rFonts w:hint="cs"/>
          <w:rtl/>
        </w:rPr>
        <w:t xml:space="preserve">إلى </w:t>
      </w:r>
      <w:r w:rsidRPr="00EB6F00">
        <w:rPr>
          <w:rFonts w:hint="cs"/>
          <w:rtl/>
        </w:rPr>
        <w:t xml:space="preserve">القائمة البريدية التي خصصها الفريق المتخصص لذلك: </w:t>
      </w:r>
      <w:hyperlink r:id="rId11" w:history="1">
        <w:r w:rsidRPr="00EB6F00">
          <w:rPr>
            <w:rStyle w:val="Hyperlink"/>
          </w:rPr>
          <w:t>fgtbf@lists.itu.int</w:t>
        </w:r>
      </w:hyperlink>
      <w:r w:rsidRPr="00EB6F00">
        <w:rPr>
          <w:rFonts w:hint="cs"/>
          <w:rtl/>
        </w:rPr>
        <w:t>. و</w:t>
      </w:r>
      <w:r w:rsidR="00F16BB4" w:rsidRPr="00EB6F00">
        <w:rPr>
          <w:rFonts w:hint="cs"/>
          <w:rtl/>
        </w:rPr>
        <w:t xml:space="preserve">يمكن الاطلاع على </w:t>
      </w:r>
      <w:r w:rsidR="00F31271" w:rsidRPr="00EB6F00">
        <w:rPr>
          <w:rFonts w:hint="cs"/>
          <w:rtl/>
        </w:rPr>
        <w:t>تفاصيل</w:t>
      </w:r>
      <w:r w:rsidR="00F16BB4" w:rsidRPr="00EB6F00">
        <w:rPr>
          <w:rFonts w:hint="cs"/>
          <w:rtl/>
        </w:rPr>
        <w:t xml:space="preserve"> كيفية الانضمام</w:t>
      </w:r>
      <w:r w:rsidR="00F31271" w:rsidRPr="00EB6F00">
        <w:rPr>
          <w:rFonts w:hint="cs"/>
          <w:rtl/>
        </w:rPr>
        <w:t xml:space="preserve"> إليها</w:t>
      </w:r>
      <w:r w:rsidR="00F16BB4" w:rsidRPr="00EB6F00">
        <w:rPr>
          <w:rFonts w:hint="cs"/>
          <w:rtl/>
        </w:rPr>
        <w:t xml:space="preserve"> في </w:t>
      </w:r>
      <w:r w:rsidR="00BB64A5">
        <w:rPr>
          <w:rFonts w:hint="cs"/>
          <w:rtl/>
        </w:rPr>
        <w:t>الصفحة الإلكترونية التالية</w:t>
      </w:r>
      <w:r w:rsidR="00F16BB4" w:rsidRPr="00EB6F00">
        <w:rPr>
          <w:rFonts w:hint="cs"/>
          <w:rtl/>
        </w:rPr>
        <w:t xml:space="preserve">: </w:t>
      </w:r>
      <w:hyperlink r:id="rId12" w:history="1">
        <w:r w:rsidR="00DD4A3D" w:rsidRPr="00EB6F00">
          <w:rPr>
            <w:rStyle w:val="Hyperlink"/>
          </w:rPr>
          <w:t>www.itu.int/go/fgtbf</w:t>
        </w:r>
      </w:hyperlink>
      <w:r w:rsidR="00F16BB4" w:rsidRPr="00EB6F00">
        <w:rPr>
          <w:rFonts w:hint="cs"/>
          <w:rtl/>
        </w:rPr>
        <w:t>.</w:t>
      </w:r>
    </w:p>
    <w:p w14:paraId="591F145A" w14:textId="553E4454" w:rsidR="00F16BB4" w:rsidRDefault="00F16BB4" w:rsidP="00F16BB4">
      <w:pPr>
        <w:rPr>
          <w:rtl/>
          <w:lang w:val="en-GB"/>
        </w:rPr>
      </w:pPr>
      <w:r w:rsidRPr="00EB6F00">
        <w:rPr>
          <w:lang w:bidi="ar-EG"/>
        </w:rPr>
        <w:t>5</w:t>
      </w:r>
      <w:r w:rsidRPr="00EB6F00">
        <w:rPr>
          <w:rtl/>
          <w:lang w:bidi="ar-EG"/>
        </w:rPr>
        <w:tab/>
      </w:r>
      <w:r w:rsidR="00CA4CDF" w:rsidRPr="00EB6F00">
        <w:rPr>
          <w:rFonts w:hint="cs"/>
          <w:rtl/>
          <w:lang w:bidi="ar-EG"/>
        </w:rPr>
        <w:t xml:space="preserve">وسيعمل الفريق المتخصص بموجب الإجراءات </w:t>
      </w:r>
      <w:r w:rsidR="00944147" w:rsidRPr="00EB6F00">
        <w:rPr>
          <w:rFonts w:hint="cs"/>
          <w:rtl/>
          <w:lang w:bidi="ar-EG"/>
        </w:rPr>
        <w:t>الم</w:t>
      </w:r>
      <w:r w:rsidR="00667C80" w:rsidRPr="00EB6F00">
        <w:rPr>
          <w:rFonts w:hint="cs"/>
          <w:rtl/>
          <w:lang w:bidi="ar-EG"/>
        </w:rPr>
        <w:t>نصوص عليها</w:t>
      </w:r>
      <w:r w:rsidR="00CA4CDF" w:rsidRPr="00EB6F00">
        <w:rPr>
          <w:rFonts w:hint="cs"/>
          <w:rtl/>
          <w:lang w:bidi="ar-EG"/>
        </w:rPr>
        <w:t xml:space="preserve"> في</w:t>
      </w:r>
      <w:r w:rsidR="00CA4CDF" w:rsidRPr="00EB6F00">
        <w:rPr>
          <w:rFonts w:hint="eastAsia"/>
          <w:rtl/>
          <w:lang w:bidi="ar-EG"/>
        </w:rPr>
        <w:t> </w:t>
      </w:r>
      <w:hyperlink r:id="rId13" w:history="1">
        <w:r w:rsidR="00CA4CDF" w:rsidRPr="00EB6F00">
          <w:rPr>
            <w:rStyle w:val="Hyperlink"/>
            <w:rFonts w:hint="cs"/>
            <w:rtl/>
            <w:lang w:bidi="ar-EG"/>
          </w:rPr>
          <w:t>التوصية</w:t>
        </w:r>
        <w:r w:rsidR="00CA4CDF" w:rsidRPr="00EB6F00">
          <w:rPr>
            <w:rStyle w:val="Hyperlink"/>
            <w:rFonts w:hint="eastAsia"/>
            <w:rtl/>
            <w:lang w:bidi="ar-EG"/>
          </w:rPr>
          <w:t> </w:t>
        </w:r>
        <w:r w:rsidR="00CA4CDF" w:rsidRPr="00EB6F00">
          <w:rPr>
            <w:rStyle w:val="Hyperlink"/>
            <w:lang w:bidi="ar-EG"/>
          </w:rPr>
          <w:t>ITU</w:t>
        </w:r>
        <w:r w:rsidR="00CA4CDF" w:rsidRPr="00EB6F00">
          <w:rPr>
            <w:rStyle w:val="Hyperlink"/>
            <w:lang w:bidi="ar-EG"/>
          </w:rPr>
          <w:noBreakHyphen/>
          <w:t>T A.7</w:t>
        </w:r>
      </w:hyperlink>
      <w:r w:rsidR="00CA4CDF" w:rsidRPr="00EB6F00">
        <w:rPr>
          <w:rFonts w:hint="cs"/>
          <w:rtl/>
          <w:lang w:bidi="ar-EG"/>
        </w:rPr>
        <w:t xml:space="preserve"> وضمن الاختصاصات المتفق عليها</w:t>
      </w:r>
      <w:r w:rsidR="00944147" w:rsidRPr="00EB6F00">
        <w:rPr>
          <w:rFonts w:hint="cs"/>
          <w:rtl/>
          <w:lang w:bidi="ar-EG"/>
        </w:rPr>
        <w:t xml:space="preserve"> </w:t>
      </w:r>
      <w:r w:rsidR="000B319C" w:rsidRPr="00EB6F00">
        <w:rPr>
          <w:rFonts w:hint="cs"/>
          <w:rtl/>
          <w:lang w:bidi="ar-EG"/>
        </w:rPr>
        <w:t xml:space="preserve">الواردة </w:t>
      </w:r>
      <w:r w:rsidR="00CA4CDF" w:rsidRPr="00EB6F00">
        <w:rPr>
          <w:rFonts w:hint="cs"/>
          <w:rtl/>
          <w:lang w:bidi="ar-EG"/>
        </w:rPr>
        <w:t xml:space="preserve">في </w:t>
      </w:r>
      <w:r w:rsidR="00CA4CDF" w:rsidRPr="00EB6F00">
        <w:rPr>
          <w:rFonts w:hint="cs"/>
          <w:b/>
          <w:bCs/>
          <w:rtl/>
          <w:lang w:bidi="ar-EG"/>
        </w:rPr>
        <w:t xml:space="preserve">الملحق </w:t>
      </w:r>
      <w:r w:rsidR="00CA4CDF" w:rsidRPr="00EB6F00">
        <w:rPr>
          <w:b/>
          <w:bCs/>
          <w:lang w:bidi="ar-EG"/>
        </w:rPr>
        <w:t>1</w:t>
      </w:r>
      <w:r w:rsidR="00CA4CDF" w:rsidRPr="00EB6F00">
        <w:rPr>
          <w:rFonts w:hint="cs"/>
          <w:rtl/>
          <w:lang w:bidi="ar-EG"/>
        </w:rPr>
        <w:t>. و</w:t>
      </w:r>
      <w:r w:rsidR="00944147" w:rsidRPr="00EB6F00">
        <w:rPr>
          <w:rFonts w:hint="cs"/>
          <w:rtl/>
          <w:lang w:bidi="ar-EG"/>
        </w:rPr>
        <w:t>تحد</w:t>
      </w:r>
      <w:r w:rsidR="00FA23E2" w:rsidRPr="00EB6F00">
        <w:rPr>
          <w:rFonts w:hint="cs"/>
          <w:rtl/>
          <w:lang w:bidi="ar-EG"/>
        </w:rPr>
        <w:t>َّ</w:t>
      </w:r>
      <w:r w:rsidR="00944147" w:rsidRPr="00EB6F00">
        <w:rPr>
          <w:rFonts w:hint="cs"/>
          <w:rtl/>
          <w:lang w:bidi="ar-EG"/>
        </w:rPr>
        <w:t>د</w:t>
      </w:r>
      <w:r w:rsidR="00CA4CDF" w:rsidRPr="00EB6F00">
        <w:rPr>
          <w:rFonts w:hint="cs"/>
          <w:rtl/>
          <w:lang w:bidi="ar-EG"/>
        </w:rPr>
        <w:t xml:space="preserve"> مدة ولاي</w:t>
      </w:r>
      <w:r w:rsidR="007B25DA" w:rsidRPr="00EB6F00">
        <w:rPr>
          <w:rFonts w:hint="cs"/>
          <w:rtl/>
          <w:lang w:bidi="ar-EG"/>
        </w:rPr>
        <w:t xml:space="preserve">ته </w:t>
      </w:r>
      <w:r w:rsidR="0075796A" w:rsidRPr="00EB6F00">
        <w:rPr>
          <w:rFonts w:hint="cs"/>
          <w:rtl/>
          <w:lang w:bidi="ar-EG"/>
        </w:rPr>
        <w:t>بعام واحد</w:t>
      </w:r>
      <w:r w:rsidR="00CA4CDF" w:rsidRPr="00EB6F00">
        <w:rPr>
          <w:rFonts w:hint="cs"/>
          <w:rtl/>
          <w:lang w:bidi="ar-EG"/>
        </w:rPr>
        <w:t xml:space="preserve"> اعتباراً من </w:t>
      </w:r>
      <w:r w:rsidR="0075796A" w:rsidRPr="00EB6F00">
        <w:rPr>
          <w:rFonts w:hint="cs"/>
          <w:rtl/>
          <w:lang w:bidi="ar-EG"/>
        </w:rPr>
        <w:t>اجتماعه الأول</w:t>
      </w:r>
      <w:r w:rsidR="00CA4CDF" w:rsidRPr="00EB6F00">
        <w:rPr>
          <w:rFonts w:hint="cs"/>
          <w:rtl/>
          <w:lang w:bidi="ar-EG"/>
        </w:rPr>
        <w:t xml:space="preserve">، </w:t>
      </w:r>
      <w:r w:rsidR="00E06521" w:rsidRPr="00EB6F00">
        <w:rPr>
          <w:rFonts w:hint="cs"/>
          <w:rtl/>
          <w:lang w:bidi="ar-EG"/>
        </w:rPr>
        <w:t>ويجوز</w:t>
      </w:r>
      <w:r w:rsidR="0075796A" w:rsidRPr="00EB6F00">
        <w:rPr>
          <w:rFonts w:hint="cs"/>
          <w:rtl/>
          <w:lang w:bidi="ar-EG"/>
        </w:rPr>
        <w:t xml:space="preserve"> </w:t>
      </w:r>
      <w:r w:rsidR="00CA4CDF" w:rsidRPr="00EB6F00">
        <w:rPr>
          <w:rFonts w:hint="cs"/>
          <w:rtl/>
          <w:lang w:bidi="ar-EG"/>
        </w:rPr>
        <w:t xml:space="preserve">تمديدها </w:t>
      </w:r>
      <w:r w:rsidR="0075796A" w:rsidRPr="00EB6F00">
        <w:rPr>
          <w:rFonts w:hint="cs"/>
          <w:rtl/>
          <w:lang w:bidi="ar-EG"/>
        </w:rPr>
        <w:t>لعام آخر</w:t>
      </w:r>
      <w:r w:rsidR="00CA4CDF" w:rsidRPr="00EB6F00">
        <w:rPr>
          <w:rFonts w:hint="cs"/>
          <w:rtl/>
          <w:lang w:bidi="ar-EG"/>
        </w:rPr>
        <w:t xml:space="preserve"> رهناً بموافقة لجنة الدراسات</w:t>
      </w:r>
      <w:r w:rsidR="0075796A" w:rsidRPr="00EB6F00">
        <w:rPr>
          <w:rFonts w:hint="cs"/>
          <w:rtl/>
          <w:lang w:bidi="ar-EG"/>
        </w:rPr>
        <w:t xml:space="preserve"> </w:t>
      </w:r>
      <w:r w:rsidR="000B319C" w:rsidRPr="00EB6F00">
        <w:rPr>
          <w:rFonts w:hint="cs"/>
          <w:rtl/>
          <w:lang w:bidi="ar-EG"/>
        </w:rPr>
        <w:t>الرئيسية</w:t>
      </w:r>
      <w:r w:rsidR="00CA4CDF" w:rsidRPr="00EB6F00">
        <w:rPr>
          <w:rFonts w:hint="cs"/>
          <w:rtl/>
          <w:lang w:bidi="ar-EG"/>
        </w:rPr>
        <w:t>،</w:t>
      </w:r>
      <w:r w:rsidR="0075796A" w:rsidRPr="00EB6F00">
        <w:rPr>
          <w:rFonts w:hint="cs"/>
          <w:rtl/>
          <w:lang w:bidi="ar-EG"/>
        </w:rPr>
        <w:t xml:space="preserve"> </w:t>
      </w:r>
      <w:r w:rsidR="007B25DA" w:rsidRPr="00EB6F00">
        <w:rPr>
          <w:rFonts w:hint="cs"/>
          <w:rtl/>
          <w:lang w:bidi="ar-EG"/>
        </w:rPr>
        <w:t xml:space="preserve">وهي </w:t>
      </w:r>
      <w:r w:rsidR="00CA4CDF" w:rsidRPr="00EB6F00">
        <w:rPr>
          <w:rFonts w:hint="cs"/>
          <w:rtl/>
          <w:lang w:bidi="ar-EG"/>
        </w:rPr>
        <w:t xml:space="preserve">لجنة الدراسات </w:t>
      </w:r>
      <w:r w:rsidR="00CA4CDF" w:rsidRPr="00EB6F00">
        <w:rPr>
          <w:lang w:val="en-GB" w:bidi="ar-EG"/>
        </w:rPr>
        <w:t>11</w:t>
      </w:r>
      <w:r w:rsidR="0075796A" w:rsidRPr="00EB6F00">
        <w:rPr>
          <w:rFonts w:hint="cs"/>
          <w:rtl/>
          <w:lang w:val="en-GB"/>
        </w:rPr>
        <w:t xml:space="preserve"> لقطاع تقييس الاتصالات بالاتحاد.</w:t>
      </w:r>
    </w:p>
    <w:p w14:paraId="4BE4E899" w14:textId="25BA9D75" w:rsidR="00CA4CDF" w:rsidRDefault="00CA4CDF" w:rsidP="00AC7664">
      <w:pPr>
        <w:rPr>
          <w:rtl/>
        </w:rPr>
      </w:pPr>
      <w:r>
        <w:t>6</w:t>
      </w:r>
      <w:r>
        <w:rPr>
          <w:rtl/>
          <w:lang w:bidi="ar-EG"/>
        </w:rPr>
        <w:tab/>
      </w:r>
      <w:r w:rsidR="00E06521">
        <w:rPr>
          <w:rFonts w:hint="cs"/>
          <w:rtl/>
          <w:lang w:bidi="ar-EG"/>
        </w:rPr>
        <w:t>وسيعقد الفريق المتخصص اجتماعه الأول</w:t>
      </w:r>
      <w:r>
        <w:rPr>
          <w:rFonts w:hint="cs"/>
          <w:rtl/>
          <w:lang w:bidi="ar-EG"/>
        </w:rPr>
        <w:t xml:space="preserve"> ب</w:t>
      </w:r>
      <w:r w:rsidR="007B25DA">
        <w:rPr>
          <w:rFonts w:hint="cs"/>
          <w:rtl/>
          <w:lang w:bidi="ar-EG"/>
        </w:rPr>
        <w:t>نسق</w:t>
      </w:r>
      <w:r>
        <w:rPr>
          <w:rFonts w:hint="cs"/>
          <w:rtl/>
          <w:lang w:bidi="ar-EG"/>
        </w:rPr>
        <w:t xml:space="preserve"> افتراضي </w:t>
      </w:r>
      <w:r w:rsidR="007B25DA">
        <w:rPr>
          <w:rFonts w:hint="cs"/>
          <w:rtl/>
          <w:lang w:bidi="ar-EG"/>
        </w:rPr>
        <w:t xml:space="preserve">في الفترة الممتدة </w:t>
      </w:r>
      <w:r>
        <w:rPr>
          <w:rFonts w:hint="cs"/>
          <w:rtl/>
          <w:lang w:bidi="ar-EG"/>
        </w:rPr>
        <w:t xml:space="preserve">من </w:t>
      </w:r>
      <w:r w:rsidR="007B25DA">
        <w:rPr>
          <w:lang w:val="en-GB" w:bidi="ar-EG"/>
        </w:rPr>
        <w:t>4</w:t>
      </w:r>
      <w:r>
        <w:rPr>
          <w:rFonts w:hint="cs"/>
          <w:rtl/>
          <w:lang w:bidi="ar-EG"/>
        </w:rPr>
        <w:t xml:space="preserve"> </w:t>
      </w:r>
      <w:r>
        <w:rPr>
          <w:rFonts w:hint="cs"/>
          <w:rtl/>
        </w:rPr>
        <w:t xml:space="preserve">إلى </w:t>
      </w:r>
      <w:r>
        <w:rPr>
          <w:lang w:val="en-GB"/>
        </w:rPr>
        <w:t>7</w:t>
      </w:r>
      <w:r>
        <w:rPr>
          <w:rFonts w:hint="cs"/>
          <w:rtl/>
          <w:lang w:bidi="ar-EG"/>
        </w:rPr>
        <w:t xml:space="preserve"> </w:t>
      </w:r>
      <w:r w:rsidR="007B25DA">
        <w:rPr>
          <w:rFonts w:hint="cs"/>
          <w:rtl/>
        </w:rPr>
        <w:t>أبريل</w:t>
      </w:r>
      <w:r>
        <w:rPr>
          <w:rFonts w:hint="cs"/>
          <w:rtl/>
          <w:lang w:bidi="ar-EG"/>
        </w:rPr>
        <w:t xml:space="preserve"> </w:t>
      </w:r>
      <w:r>
        <w:rPr>
          <w:lang w:val="en-GB" w:bidi="ar-EG"/>
        </w:rPr>
        <w:t>202</w:t>
      </w:r>
      <w:r w:rsidR="007B25DA">
        <w:rPr>
          <w:lang w:val="en-GB" w:bidi="ar-EG"/>
        </w:rPr>
        <w:t>2</w:t>
      </w:r>
      <w:r>
        <w:rPr>
          <w:rFonts w:hint="cs"/>
          <w:rtl/>
          <w:lang w:bidi="ar-EG"/>
        </w:rPr>
        <w:t xml:space="preserve"> (من الساعة </w:t>
      </w:r>
      <w:r>
        <w:rPr>
          <w:lang w:val="en-GB" w:bidi="ar-EG"/>
        </w:rPr>
        <w:t>1</w:t>
      </w:r>
      <w:r w:rsidR="00E06521">
        <w:rPr>
          <w:lang w:val="en-GB" w:bidi="ar-EG"/>
        </w:rPr>
        <w:t>2</w:t>
      </w:r>
      <w:r>
        <w:rPr>
          <w:lang w:val="en-GB" w:bidi="ar-EG"/>
        </w:rPr>
        <w:t>:00</w:t>
      </w:r>
      <w:r>
        <w:rPr>
          <w:rFonts w:hint="cs"/>
          <w:rtl/>
          <w:lang w:bidi="ar-EG"/>
        </w:rPr>
        <w:t xml:space="preserve"> </w:t>
      </w:r>
      <w:r>
        <w:rPr>
          <w:rFonts w:hint="cs"/>
          <w:rtl/>
        </w:rPr>
        <w:t xml:space="preserve">إلى الساعة </w:t>
      </w:r>
      <w:r>
        <w:rPr>
          <w:lang w:val="en-GB"/>
        </w:rPr>
        <w:t>1</w:t>
      </w:r>
      <w:r w:rsidR="00E06521">
        <w:rPr>
          <w:lang w:val="en-GB"/>
        </w:rPr>
        <w:t>7</w:t>
      </w:r>
      <w:r>
        <w:rPr>
          <w:lang w:val="en-GB"/>
        </w:rPr>
        <w:t>:00</w:t>
      </w:r>
      <w:r>
        <w:rPr>
          <w:rFonts w:hint="cs"/>
          <w:rtl/>
          <w:lang w:bidi="ar-EG"/>
        </w:rPr>
        <w:t xml:space="preserve"> </w:t>
      </w:r>
      <w:r>
        <w:rPr>
          <w:rFonts w:hint="cs"/>
          <w:rtl/>
        </w:rPr>
        <w:t xml:space="preserve">بتوقيت جنيف). </w:t>
      </w:r>
      <w:r w:rsidRPr="0046678F">
        <w:rPr>
          <w:rFonts w:hint="cs"/>
          <w:rtl/>
        </w:rPr>
        <w:t xml:space="preserve">وتشمل </w:t>
      </w:r>
      <w:r w:rsidRPr="00586757">
        <w:rPr>
          <w:rFonts w:hint="cs"/>
          <w:rtl/>
        </w:rPr>
        <w:t>أهداف</w:t>
      </w:r>
      <w:r w:rsidRPr="0046678F">
        <w:rPr>
          <w:rFonts w:hint="cs"/>
          <w:rtl/>
        </w:rPr>
        <w:t xml:space="preserve"> الاجتماع الأول ما يلي:</w:t>
      </w:r>
    </w:p>
    <w:p w14:paraId="59C636AC" w14:textId="2EBA01C5" w:rsidR="00CA4CDF" w:rsidRPr="00AC7664" w:rsidRDefault="00CA4CDF" w:rsidP="00AC7664">
      <w:pPr>
        <w:pStyle w:val="enumlev1"/>
        <w:rPr>
          <w:rtl/>
        </w:rPr>
      </w:pPr>
      <w:r w:rsidRPr="00AC7664">
        <w:rPr>
          <w:rFonts w:hint="cs"/>
          <w:rtl/>
        </w:rPr>
        <w:t>-</w:t>
      </w:r>
      <w:r w:rsidRPr="00AC7664">
        <w:rPr>
          <w:rtl/>
        </w:rPr>
        <w:tab/>
      </w:r>
      <w:r w:rsidR="008801B6" w:rsidRPr="00AC7664">
        <w:rPr>
          <w:rFonts w:hint="cs"/>
          <w:rtl/>
        </w:rPr>
        <w:t xml:space="preserve">إقرار نطاق </w:t>
      </w:r>
      <w:r w:rsidR="00457815" w:rsidRPr="00AC7664">
        <w:rPr>
          <w:rFonts w:hint="cs"/>
          <w:rtl/>
        </w:rPr>
        <w:t>اختصاص</w:t>
      </w:r>
      <w:r w:rsidR="008801B6" w:rsidRPr="00AC7664">
        <w:rPr>
          <w:rFonts w:hint="cs"/>
          <w:rtl/>
        </w:rPr>
        <w:t xml:space="preserve"> الفريق المتخصص</w:t>
      </w:r>
      <w:r w:rsidRPr="00AC7664">
        <w:rPr>
          <w:rFonts w:hint="cs"/>
          <w:rtl/>
        </w:rPr>
        <w:t>؛</w:t>
      </w:r>
    </w:p>
    <w:p w14:paraId="510612F9" w14:textId="66D3CD32" w:rsidR="00CA4CDF" w:rsidRPr="00AC7664" w:rsidRDefault="00CA4CDF" w:rsidP="00AC7664">
      <w:pPr>
        <w:pStyle w:val="enumlev1"/>
        <w:rPr>
          <w:rtl/>
        </w:rPr>
      </w:pPr>
      <w:r w:rsidRPr="00AC7664">
        <w:rPr>
          <w:rFonts w:hint="cs"/>
          <w:rtl/>
        </w:rPr>
        <w:t>-</w:t>
      </w:r>
      <w:r w:rsidRPr="00AC7664">
        <w:rPr>
          <w:rtl/>
        </w:rPr>
        <w:tab/>
      </w:r>
      <w:r w:rsidR="00457815" w:rsidRPr="00AC7664">
        <w:rPr>
          <w:rFonts w:hint="cs"/>
          <w:rtl/>
        </w:rPr>
        <w:t xml:space="preserve">إنشاء أفرقة عمل </w:t>
      </w:r>
      <w:r w:rsidR="00AC7664">
        <w:t>(</w:t>
      </w:r>
      <w:r w:rsidR="00457815" w:rsidRPr="00AC7664">
        <w:t>WG</w:t>
      </w:r>
      <w:r w:rsidR="00AC7664">
        <w:t>)</w:t>
      </w:r>
      <w:r w:rsidR="00457815" w:rsidRPr="00AC7664">
        <w:rPr>
          <w:rFonts w:hint="cs"/>
          <w:rtl/>
        </w:rPr>
        <w:t xml:space="preserve"> تابعة له</w:t>
      </w:r>
      <w:r w:rsidRPr="00AC7664">
        <w:rPr>
          <w:rFonts w:hint="cs"/>
          <w:rtl/>
        </w:rPr>
        <w:t>؛</w:t>
      </w:r>
    </w:p>
    <w:p w14:paraId="02265798" w14:textId="319B2CDC" w:rsidR="00CA4CDF" w:rsidRPr="00AC7664" w:rsidRDefault="00CA4CDF" w:rsidP="00AC7664">
      <w:pPr>
        <w:pStyle w:val="enumlev1"/>
        <w:rPr>
          <w:rtl/>
        </w:rPr>
      </w:pPr>
      <w:r w:rsidRPr="00AC7664">
        <w:rPr>
          <w:rFonts w:hint="cs"/>
          <w:rtl/>
        </w:rPr>
        <w:t>-</w:t>
      </w:r>
      <w:r w:rsidRPr="00AC7664">
        <w:rPr>
          <w:rtl/>
        </w:rPr>
        <w:tab/>
      </w:r>
      <w:r w:rsidR="00457815" w:rsidRPr="00AC7664">
        <w:rPr>
          <w:rFonts w:hint="cs"/>
          <w:rtl/>
        </w:rPr>
        <w:t>تعيين رئيس الفريق المتخصص، بما في ذلك نواب الرئيس ورؤساء أفرقة العمل</w:t>
      </w:r>
      <w:r w:rsidRPr="00AC7664">
        <w:rPr>
          <w:rFonts w:hint="cs"/>
          <w:rtl/>
        </w:rPr>
        <w:t>؛</w:t>
      </w:r>
    </w:p>
    <w:p w14:paraId="2E88A84C" w14:textId="50D037D6" w:rsidR="00CA4CDF" w:rsidRPr="00AC7664" w:rsidRDefault="00CA4CDF" w:rsidP="00AC7664">
      <w:pPr>
        <w:pStyle w:val="enumlev1"/>
      </w:pPr>
      <w:r w:rsidRPr="00AC7664">
        <w:rPr>
          <w:rFonts w:hint="cs"/>
          <w:rtl/>
        </w:rPr>
        <w:t>-</w:t>
      </w:r>
      <w:r w:rsidRPr="00AC7664">
        <w:tab/>
      </w:r>
      <w:r w:rsidRPr="00AC7664">
        <w:rPr>
          <w:rFonts w:hint="cs"/>
          <w:rtl/>
        </w:rPr>
        <w:t xml:space="preserve">الاتفاق على </w:t>
      </w:r>
      <w:r w:rsidR="009211DC" w:rsidRPr="00AC7664">
        <w:rPr>
          <w:rFonts w:hint="cs"/>
          <w:rtl/>
        </w:rPr>
        <w:t xml:space="preserve">وضع </w:t>
      </w:r>
      <w:r w:rsidRPr="00AC7664">
        <w:rPr>
          <w:rtl/>
        </w:rPr>
        <w:t xml:space="preserve">خارطة طريق </w:t>
      </w:r>
      <w:r w:rsidR="008801B6" w:rsidRPr="00AC7664">
        <w:rPr>
          <w:rFonts w:hint="cs"/>
          <w:rtl/>
        </w:rPr>
        <w:t>لل</w:t>
      </w:r>
      <w:r w:rsidRPr="00AC7664">
        <w:rPr>
          <w:rtl/>
        </w:rPr>
        <w:t>فريق</w:t>
      </w:r>
      <w:r w:rsidR="008801B6" w:rsidRPr="00AC7664">
        <w:rPr>
          <w:rFonts w:hint="cs"/>
          <w:rtl/>
        </w:rPr>
        <w:t xml:space="preserve"> المتخصص</w:t>
      </w:r>
      <w:r w:rsidRPr="00AC7664">
        <w:rPr>
          <w:rtl/>
        </w:rPr>
        <w:t xml:space="preserve"> </w:t>
      </w:r>
      <w:r w:rsidR="005D2EAA" w:rsidRPr="00AC7664">
        <w:rPr>
          <w:rFonts w:hint="cs"/>
          <w:rtl/>
        </w:rPr>
        <w:t>بشأن</w:t>
      </w:r>
      <w:r w:rsidRPr="00AC7664">
        <w:rPr>
          <w:rtl/>
        </w:rPr>
        <w:t xml:space="preserve"> النواتج المتوقعة </w:t>
      </w:r>
      <w:r w:rsidRPr="00AC7664">
        <w:rPr>
          <w:rFonts w:hint="cs"/>
          <w:rtl/>
        </w:rPr>
        <w:t xml:space="preserve">والجداول الزمنية </w:t>
      </w:r>
      <w:r w:rsidRPr="00AC7664">
        <w:rPr>
          <w:rtl/>
        </w:rPr>
        <w:t xml:space="preserve">ونطاقات </w:t>
      </w:r>
      <w:r w:rsidR="005D2EAA" w:rsidRPr="00AC7664">
        <w:rPr>
          <w:rFonts w:hint="cs"/>
          <w:rtl/>
        </w:rPr>
        <w:t>النواتج</w:t>
      </w:r>
      <w:r w:rsidRPr="00AC7664">
        <w:rPr>
          <w:rtl/>
        </w:rPr>
        <w:t xml:space="preserve"> والمحررين</w:t>
      </w:r>
      <w:r w:rsidR="005D2EAA" w:rsidRPr="00AC7664">
        <w:rPr>
          <w:rFonts w:hint="cs"/>
          <w:rtl/>
        </w:rPr>
        <w:t xml:space="preserve">، </w:t>
      </w:r>
      <w:r w:rsidRPr="00AC7664">
        <w:rPr>
          <w:rtl/>
        </w:rPr>
        <w:t xml:space="preserve">وإسناد المسؤوليات إلى مختلف </w:t>
      </w:r>
      <w:r w:rsidR="008801B6" w:rsidRPr="00AC7664">
        <w:rPr>
          <w:rFonts w:hint="cs"/>
          <w:rtl/>
        </w:rPr>
        <w:t>أفرقة العمل التابعة له</w:t>
      </w:r>
      <w:r w:rsidRPr="00AC7664">
        <w:rPr>
          <w:rFonts w:hint="cs"/>
          <w:rtl/>
        </w:rPr>
        <w:t>؛</w:t>
      </w:r>
    </w:p>
    <w:p w14:paraId="4BAD3D48" w14:textId="499B264E" w:rsidR="00CA4CDF" w:rsidRPr="00AC7664" w:rsidRDefault="00CA4CDF" w:rsidP="00AC7664">
      <w:pPr>
        <w:pStyle w:val="enumlev1"/>
        <w:rPr>
          <w:rtl/>
        </w:rPr>
      </w:pPr>
      <w:r w:rsidRPr="00AC7664">
        <w:rPr>
          <w:rFonts w:hint="cs"/>
          <w:rtl/>
        </w:rPr>
        <w:t>-</w:t>
      </w:r>
      <w:r w:rsidRPr="00AC7664">
        <w:tab/>
      </w:r>
      <w:r w:rsidRPr="00AC7664">
        <w:rPr>
          <w:rFonts w:hint="cs"/>
          <w:rtl/>
        </w:rPr>
        <w:t>الاتفاق على أساليب عمل الفريق</w:t>
      </w:r>
      <w:r w:rsidR="008801B6" w:rsidRPr="00AC7664">
        <w:rPr>
          <w:rFonts w:hint="cs"/>
          <w:rtl/>
        </w:rPr>
        <w:t xml:space="preserve"> المتخصص</w:t>
      </w:r>
      <w:r w:rsidRPr="00AC7664">
        <w:rPr>
          <w:rFonts w:hint="cs"/>
          <w:rtl/>
        </w:rPr>
        <w:t xml:space="preserve"> استناداً إلى التوصية </w:t>
      </w:r>
      <w:r w:rsidRPr="00AC7664">
        <w:t>ITU-T A.7</w:t>
      </w:r>
      <w:r w:rsidRPr="00AC7664">
        <w:rPr>
          <w:rFonts w:hint="cs"/>
          <w:rtl/>
        </w:rPr>
        <w:t>؛</w:t>
      </w:r>
    </w:p>
    <w:p w14:paraId="5014CC8C" w14:textId="5A80D2E5" w:rsidR="00CA4CDF" w:rsidRPr="00AC7664" w:rsidRDefault="00CA4CDF" w:rsidP="00AC7664">
      <w:pPr>
        <w:pStyle w:val="enumlev1"/>
        <w:rPr>
          <w:rtl/>
        </w:rPr>
      </w:pPr>
      <w:r w:rsidRPr="00AC7664">
        <w:rPr>
          <w:rFonts w:hint="cs"/>
          <w:rtl/>
        </w:rPr>
        <w:t>-</w:t>
      </w:r>
      <w:r w:rsidRPr="00AC7664">
        <w:tab/>
      </w:r>
      <w:r w:rsidRPr="00AC7664">
        <w:rPr>
          <w:rFonts w:hint="cs"/>
          <w:rtl/>
        </w:rPr>
        <w:t>الاتفاق على خطط اجتماعات الفريق</w:t>
      </w:r>
      <w:r w:rsidR="008801B6" w:rsidRPr="00AC7664">
        <w:rPr>
          <w:rFonts w:hint="cs"/>
          <w:rtl/>
        </w:rPr>
        <w:t xml:space="preserve"> المتخصص</w:t>
      </w:r>
      <w:r w:rsidRPr="00AC7664">
        <w:rPr>
          <w:rFonts w:hint="cs"/>
          <w:rtl/>
        </w:rPr>
        <w:t xml:space="preserve"> المقبلة، بما </w:t>
      </w:r>
      <w:r w:rsidR="00167710" w:rsidRPr="00AC7664">
        <w:rPr>
          <w:rFonts w:hint="cs"/>
          <w:rtl/>
        </w:rPr>
        <w:t>يشمل</w:t>
      </w:r>
      <w:r w:rsidR="008801B6" w:rsidRPr="00AC7664">
        <w:rPr>
          <w:rFonts w:hint="cs"/>
          <w:rtl/>
        </w:rPr>
        <w:t xml:space="preserve"> </w:t>
      </w:r>
      <w:r w:rsidRPr="00AC7664">
        <w:rPr>
          <w:rFonts w:hint="cs"/>
          <w:rtl/>
        </w:rPr>
        <w:t>تواتر الاجتماعات؛</w:t>
      </w:r>
    </w:p>
    <w:p w14:paraId="48F7E516" w14:textId="3B203193" w:rsidR="00CA4CDF" w:rsidRPr="00AC7664" w:rsidRDefault="00CA4CDF" w:rsidP="00AC7664">
      <w:pPr>
        <w:pStyle w:val="enumlev1"/>
        <w:rPr>
          <w:rtl/>
        </w:rPr>
      </w:pPr>
      <w:r w:rsidRPr="00AC7664">
        <w:rPr>
          <w:rFonts w:hint="cs"/>
          <w:rtl/>
        </w:rPr>
        <w:t>-</w:t>
      </w:r>
      <w:r w:rsidRPr="00AC7664">
        <w:rPr>
          <w:rtl/>
        </w:rPr>
        <w:tab/>
        <w:t>استعراض المساهمات الخطية والتحديد الأولي ل</w:t>
      </w:r>
      <w:r w:rsidR="00EE4FB1" w:rsidRPr="00AC7664">
        <w:rPr>
          <w:rFonts w:hint="cs"/>
          <w:rtl/>
        </w:rPr>
        <w:t>نطاق ال</w:t>
      </w:r>
      <w:r w:rsidRPr="00AC7664">
        <w:rPr>
          <w:rtl/>
        </w:rPr>
        <w:t>نواتج</w:t>
      </w:r>
      <w:r w:rsidRPr="00AC7664">
        <w:rPr>
          <w:rFonts w:hint="cs"/>
          <w:rtl/>
        </w:rPr>
        <w:t>.</w:t>
      </w:r>
    </w:p>
    <w:p w14:paraId="2CA45D7E" w14:textId="24FCEDDE" w:rsidR="00CA4CDF" w:rsidRDefault="00CA4CDF" w:rsidP="00AC7664">
      <w:pPr>
        <w:rPr>
          <w:color w:val="000000"/>
          <w:rtl/>
        </w:rPr>
      </w:pPr>
      <w:r w:rsidRPr="003E55A9">
        <w:rPr>
          <w:lang w:bidi="ar-SY"/>
        </w:rPr>
        <w:t>7</w:t>
      </w:r>
      <w:r w:rsidRPr="003E55A9">
        <w:rPr>
          <w:rtl/>
          <w:lang w:bidi="ar-EG"/>
        </w:rPr>
        <w:tab/>
      </w:r>
      <w:r w:rsidR="00F75313" w:rsidRPr="003E55A9">
        <w:rPr>
          <w:rFonts w:hint="cs"/>
          <w:rtl/>
          <w:lang w:bidi="ar-EG"/>
        </w:rPr>
        <w:t>وتشكل المساهمات الخطية عاملاً أساسياً في نجاح الأفرقة المتخصصة</w:t>
      </w:r>
      <w:r w:rsidR="005F56F7" w:rsidRPr="003E55A9">
        <w:rPr>
          <w:rFonts w:hint="cs"/>
          <w:rtl/>
          <w:lang w:bidi="ar-EG"/>
        </w:rPr>
        <w:t xml:space="preserve"> في نهاية المطاف</w:t>
      </w:r>
      <w:r w:rsidR="00837C0C" w:rsidRPr="003E55A9">
        <w:rPr>
          <w:rFonts w:hint="cs"/>
          <w:rtl/>
          <w:lang w:bidi="ar-EG"/>
        </w:rPr>
        <w:t xml:space="preserve">، ويشجَّع بقوة على </w:t>
      </w:r>
      <w:r w:rsidR="005F56F7" w:rsidRPr="003E55A9">
        <w:rPr>
          <w:rFonts w:hint="cs"/>
          <w:rtl/>
          <w:lang w:bidi="ar-EG"/>
        </w:rPr>
        <w:t>أن تقدَّم</w:t>
      </w:r>
      <w:r w:rsidR="0046687B" w:rsidRPr="003E55A9">
        <w:rPr>
          <w:rFonts w:hint="cs"/>
          <w:rtl/>
          <w:lang w:bidi="ar-EG"/>
        </w:rPr>
        <w:t xml:space="preserve"> هذه المساهمات</w:t>
      </w:r>
      <w:r w:rsidR="00837C0C" w:rsidRPr="003E55A9">
        <w:rPr>
          <w:rFonts w:hint="cs"/>
          <w:rtl/>
          <w:lang w:bidi="ar-EG"/>
        </w:rPr>
        <w:t xml:space="preserve"> </w:t>
      </w:r>
      <w:r w:rsidR="005F56F7" w:rsidRPr="003E55A9">
        <w:rPr>
          <w:rFonts w:hint="cs"/>
          <w:color w:val="000000"/>
          <w:rtl/>
        </w:rPr>
        <w:t>بما يتفق مع ا</w:t>
      </w:r>
      <w:r w:rsidRPr="003E55A9">
        <w:rPr>
          <w:color w:val="000000"/>
          <w:rtl/>
        </w:rPr>
        <w:t xml:space="preserve">لاختصاصات </w:t>
      </w:r>
      <w:r w:rsidR="00837C0C" w:rsidRPr="003E55A9">
        <w:rPr>
          <w:rFonts w:hint="cs"/>
          <w:color w:val="000000"/>
          <w:rtl/>
        </w:rPr>
        <w:t xml:space="preserve">المبينة </w:t>
      </w:r>
      <w:r w:rsidRPr="003E55A9">
        <w:rPr>
          <w:color w:val="000000"/>
          <w:rtl/>
        </w:rPr>
        <w:t xml:space="preserve">في </w:t>
      </w:r>
      <w:r w:rsidRPr="003E55A9">
        <w:rPr>
          <w:b/>
          <w:bCs/>
          <w:color w:val="000000"/>
          <w:rtl/>
        </w:rPr>
        <w:t>الملحق 1</w:t>
      </w:r>
      <w:r w:rsidRPr="003E55A9">
        <w:rPr>
          <w:color w:val="000000"/>
          <w:rtl/>
        </w:rPr>
        <w:t xml:space="preserve">، </w:t>
      </w:r>
      <w:r w:rsidR="005F56F7" w:rsidRPr="003E55A9">
        <w:rPr>
          <w:rFonts w:hint="cs"/>
          <w:color w:val="000000"/>
          <w:rtl/>
        </w:rPr>
        <w:t>و</w:t>
      </w:r>
      <w:r w:rsidR="00ED4874" w:rsidRPr="003E55A9">
        <w:rPr>
          <w:rFonts w:hint="cs"/>
          <w:color w:val="000000"/>
          <w:rtl/>
        </w:rPr>
        <w:t xml:space="preserve">أن </w:t>
      </w:r>
      <w:r w:rsidR="00C55FE8" w:rsidRPr="003E55A9">
        <w:rPr>
          <w:rFonts w:hint="cs"/>
          <w:color w:val="000000"/>
          <w:rtl/>
        </w:rPr>
        <w:t xml:space="preserve">تعالج </w:t>
      </w:r>
      <w:r w:rsidRPr="003E55A9">
        <w:rPr>
          <w:rFonts w:hint="cs"/>
          <w:color w:val="000000"/>
          <w:rtl/>
        </w:rPr>
        <w:t xml:space="preserve">الأهداف </w:t>
      </w:r>
      <w:r w:rsidR="00EB6F00">
        <w:rPr>
          <w:rFonts w:hint="cs"/>
          <w:color w:val="000000"/>
          <w:rtl/>
        </w:rPr>
        <w:t>الواردة</w:t>
      </w:r>
      <w:r w:rsidR="00EB6F00" w:rsidRPr="003E55A9">
        <w:rPr>
          <w:rFonts w:hint="cs"/>
          <w:color w:val="000000"/>
          <w:rtl/>
        </w:rPr>
        <w:t xml:space="preserve"> </w:t>
      </w:r>
      <w:r w:rsidRPr="003E55A9">
        <w:rPr>
          <w:rFonts w:hint="cs"/>
          <w:color w:val="000000"/>
          <w:rtl/>
        </w:rPr>
        <w:t xml:space="preserve">أعلاه </w:t>
      </w:r>
      <w:r w:rsidR="00ED4874" w:rsidRPr="00EB6F00">
        <w:rPr>
          <w:rFonts w:hint="cs"/>
          <w:color w:val="000000"/>
          <w:rtl/>
        </w:rPr>
        <w:t>حفزاً</w:t>
      </w:r>
      <w:r w:rsidR="00ED4874" w:rsidRPr="003E55A9">
        <w:rPr>
          <w:rFonts w:hint="cs"/>
          <w:color w:val="000000"/>
          <w:rtl/>
        </w:rPr>
        <w:t xml:space="preserve"> ل</w:t>
      </w:r>
      <w:r w:rsidRPr="003E55A9">
        <w:rPr>
          <w:color w:val="000000"/>
          <w:rtl/>
        </w:rPr>
        <w:t>وضع خطة أولية لإعداد</w:t>
      </w:r>
      <w:r w:rsidR="0048247D">
        <w:rPr>
          <w:rFonts w:hint="cs"/>
          <w:color w:val="000000"/>
          <w:rtl/>
        </w:rPr>
        <w:t> </w:t>
      </w:r>
      <w:r w:rsidRPr="003E55A9">
        <w:rPr>
          <w:color w:val="000000"/>
          <w:rtl/>
        </w:rPr>
        <w:t>النواتج</w:t>
      </w:r>
      <w:r w:rsidRPr="003E55A9">
        <w:rPr>
          <w:rFonts w:hint="cs"/>
          <w:color w:val="000000"/>
          <w:rtl/>
        </w:rPr>
        <w:t>.</w:t>
      </w:r>
    </w:p>
    <w:p w14:paraId="5BE9BFEC" w14:textId="469B90C3" w:rsidR="00CA4CDF" w:rsidRPr="00F1576D" w:rsidRDefault="00CA4CDF" w:rsidP="00CA4CDF">
      <w:pPr>
        <w:rPr>
          <w:b/>
          <w:bCs/>
          <w:spacing w:val="6"/>
          <w:rtl/>
          <w:lang w:val="en-GB"/>
        </w:rPr>
      </w:pPr>
      <w:r w:rsidRPr="00F1576D">
        <w:rPr>
          <w:color w:val="000000"/>
          <w:spacing w:val="6"/>
          <w:rtl/>
        </w:rPr>
        <w:t xml:space="preserve">وينبغي </w:t>
      </w:r>
      <w:r w:rsidR="00167710" w:rsidRPr="00F1576D">
        <w:rPr>
          <w:rFonts w:hint="cs"/>
          <w:color w:val="000000"/>
          <w:spacing w:val="6"/>
          <w:rtl/>
          <w:lang w:bidi="ar-EG"/>
        </w:rPr>
        <w:t>تقديم</w:t>
      </w:r>
      <w:r w:rsidRPr="00F1576D">
        <w:rPr>
          <w:color w:val="000000"/>
          <w:spacing w:val="6"/>
          <w:rtl/>
        </w:rPr>
        <w:t xml:space="preserve"> المساهمات </w:t>
      </w:r>
      <w:r w:rsidR="00ED4874" w:rsidRPr="00F1576D">
        <w:rPr>
          <w:rFonts w:hint="cs"/>
          <w:color w:val="000000"/>
          <w:spacing w:val="6"/>
          <w:rtl/>
        </w:rPr>
        <w:t>الخطية</w:t>
      </w:r>
      <w:r w:rsidRPr="00F1576D">
        <w:rPr>
          <w:color w:val="000000"/>
          <w:spacing w:val="6"/>
          <w:rtl/>
        </w:rPr>
        <w:t xml:space="preserve"> إلى </w:t>
      </w:r>
      <w:r w:rsidR="00ED4874" w:rsidRPr="00F1576D">
        <w:rPr>
          <w:rFonts w:hint="cs"/>
          <w:color w:val="000000"/>
          <w:spacing w:val="6"/>
          <w:rtl/>
        </w:rPr>
        <w:t>الأمانة</w:t>
      </w:r>
      <w:r w:rsidRPr="00F1576D">
        <w:rPr>
          <w:rFonts w:hint="cs"/>
          <w:color w:val="000000"/>
          <w:spacing w:val="6"/>
          <w:rtl/>
        </w:rPr>
        <w:t xml:space="preserve"> </w:t>
      </w:r>
      <w:r w:rsidRPr="00F1576D">
        <w:rPr>
          <w:color w:val="000000"/>
          <w:spacing w:val="6"/>
        </w:rPr>
        <w:t>(</w:t>
      </w:r>
      <w:hyperlink r:id="rId14" w:history="1">
        <w:r w:rsidR="00AC7664" w:rsidRPr="00F1576D">
          <w:rPr>
            <w:rStyle w:val="Hyperlink"/>
            <w:spacing w:val="6"/>
          </w:rPr>
          <w:t>tsbfgtbf@itu.int</w:t>
        </w:r>
      </w:hyperlink>
      <w:r w:rsidRPr="00F1576D">
        <w:rPr>
          <w:color w:val="000000"/>
          <w:spacing w:val="6"/>
        </w:rPr>
        <w:t>)</w:t>
      </w:r>
      <w:r w:rsidRPr="00F1576D">
        <w:rPr>
          <w:rFonts w:hint="cs"/>
          <w:color w:val="000000"/>
          <w:spacing w:val="6"/>
          <w:rtl/>
        </w:rPr>
        <w:t xml:space="preserve"> </w:t>
      </w:r>
      <w:r w:rsidR="00922EE2" w:rsidRPr="00F1576D">
        <w:rPr>
          <w:rFonts w:hint="cs"/>
          <w:color w:val="000000"/>
          <w:spacing w:val="6"/>
          <w:rtl/>
        </w:rPr>
        <w:t>ب</w:t>
      </w:r>
      <w:r w:rsidRPr="00F1576D">
        <w:rPr>
          <w:color w:val="000000"/>
          <w:spacing w:val="6"/>
          <w:rtl/>
        </w:rPr>
        <w:t>نسق إلكتروني باست</w:t>
      </w:r>
      <w:r w:rsidR="00922EE2" w:rsidRPr="00F1576D">
        <w:rPr>
          <w:rFonts w:hint="cs"/>
          <w:color w:val="000000"/>
          <w:spacing w:val="6"/>
          <w:rtl/>
        </w:rPr>
        <w:t>خدام</w:t>
      </w:r>
      <w:r w:rsidRPr="00F1576D">
        <w:rPr>
          <w:color w:val="000000"/>
          <w:spacing w:val="6"/>
          <w:rtl/>
        </w:rPr>
        <w:t xml:space="preserve"> النماذج المتاحة </w:t>
      </w:r>
      <w:r w:rsidR="00922EE2" w:rsidRPr="00F1576D">
        <w:rPr>
          <w:rFonts w:hint="cs"/>
          <w:color w:val="000000"/>
          <w:spacing w:val="6"/>
          <w:rtl/>
        </w:rPr>
        <w:t>في</w:t>
      </w:r>
      <w:r w:rsidR="00F1576D">
        <w:rPr>
          <w:rFonts w:hint="cs"/>
          <w:color w:val="000000"/>
          <w:spacing w:val="6"/>
          <w:rtl/>
        </w:rPr>
        <w:t> </w:t>
      </w:r>
      <w:r w:rsidRPr="00F1576D">
        <w:rPr>
          <w:b/>
          <w:bCs/>
          <w:spacing w:val="6"/>
          <w:rtl/>
        </w:rPr>
        <w:t>الصفحة الرئيسية للفريق</w:t>
      </w:r>
      <w:r w:rsidRPr="00F1576D">
        <w:rPr>
          <w:rFonts w:hint="cs"/>
          <w:b/>
          <w:bCs/>
          <w:spacing w:val="6"/>
          <w:rtl/>
        </w:rPr>
        <w:t xml:space="preserve"> </w:t>
      </w:r>
      <w:r w:rsidR="00922EE2" w:rsidRPr="00F1576D">
        <w:rPr>
          <w:rFonts w:hint="cs"/>
          <w:b/>
          <w:bCs/>
          <w:spacing w:val="6"/>
          <w:rtl/>
        </w:rPr>
        <w:t xml:space="preserve">المتخصص </w:t>
      </w:r>
      <w:r w:rsidR="00922EE2" w:rsidRPr="00A93000">
        <w:rPr>
          <w:spacing w:val="6"/>
        </w:rPr>
        <w:t>(</w:t>
      </w:r>
      <w:hyperlink r:id="rId15" w:history="1">
        <w:r w:rsidR="00AC7664" w:rsidRPr="00A93000">
          <w:rPr>
            <w:rStyle w:val="Hyperlink"/>
            <w:spacing w:val="6"/>
          </w:rPr>
          <w:t>www.itu.int/go/fgtbf</w:t>
        </w:r>
      </w:hyperlink>
      <w:r w:rsidR="00922EE2" w:rsidRPr="00A93000">
        <w:rPr>
          <w:spacing w:val="6"/>
        </w:rPr>
        <w:t>)</w:t>
      </w:r>
      <w:r w:rsidRPr="00F1576D">
        <w:rPr>
          <w:rFonts w:hint="cs"/>
          <w:b/>
          <w:bCs/>
          <w:spacing w:val="6"/>
          <w:rtl/>
        </w:rPr>
        <w:t xml:space="preserve">. والموعد النهائي لتقديم المساهمات إلى </w:t>
      </w:r>
      <w:r w:rsidR="009B2B19" w:rsidRPr="00F1576D">
        <w:rPr>
          <w:rFonts w:hint="cs"/>
          <w:b/>
          <w:bCs/>
          <w:spacing w:val="6"/>
          <w:rtl/>
        </w:rPr>
        <w:t>اجتماعه الأول</w:t>
      </w:r>
      <w:r w:rsidR="00922EE2" w:rsidRPr="00F1576D">
        <w:rPr>
          <w:rFonts w:hint="cs"/>
          <w:b/>
          <w:bCs/>
          <w:spacing w:val="6"/>
          <w:rtl/>
        </w:rPr>
        <w:t xml:space="preserve"> </w:t>
      </w:r>
      <w:r w:rsidRPr="00F1576D">
        <w:rPr>
          <w:rFonts w:hint="cs"/>
          <w:b/>
          <w:bCs/>
          <w:spacing w:val="6"/>
          <w:rtl/>
        </w:rPr>
        <w:t xml:space="preserve">هو </w:t>
      </w:r>
      <w:r w:rsidRPr="00F1576D">
        <w:rPr>
          <w:b/>
          <w:bCs/>
          <w:spacing w:val="6"/>
          <w:lang w:val="en-GB"/>
        </w:rPr>
        <w:t>28</w:t>
      </w:r>
      <w:r w:rsidRPr="00F1576D">
        <w:rPr>
          <w:rFonts w:hint="cs"/>
          <w:b/>
          <w:bCs/>
          <w:spacing w:val="6"/>
          <w:rtl/>
          <w:lang w:val="en-GB" w:bidi="ar-EG"/>
        </w:rPr>
        <w:t xml:space="preserve"> </w:t>
      </w:r>
      <w:r w:rsidRPr="00F1576D">
        <w:rPr>
          <w:rFonts w:hint="cs"/>
          <w:b/>
          <w:bCs/>
          <w:spacing w:val="6"/>
          <w:rtl/>
          <w:lang w:val="en-GB"/>
        </w:rPr>
        <w:t>مارس</w:t>
      </w:r>
      <w:r w:rsidR="00AC7664" w:rsidRPr="00F1576D">
        <w:rPr>
          <w:rFonts w:hint="eastAsia"/>
          <w:b/>
          <w:bCs/>
          <w:spacing w:val="6"/>
          <w:rtl/>
          <w:lang w:val="en-GB"/>
        </w:rPr>
        <w:t> </w:t>
      </w:r>
      <w:r w:rsidRPr="00F1576D">
        <w:rPr>
          <w:b/>
          <w:bCs/>
          <w:spacing w:val="6"/>
          <w:lang w:val="en-GB"/>
        </w:rPr>
        <w:t>2022</w:t>
      </w:r>
      <w:r w:rsidRPr="00F1576D">
        <w:rPr>
          <w:rFonts w:hint="cs"/>
          <w:b/>
          <w:bCs/>
          <w:spacing w:val="6"/>
          <w:rtl/>
          <w:lang w:val="en-GB"/>
        </w:rPr>
        <w:t>.</w:t>
      </w:r>
    </w:p>
    <w:p w14:paraId="368951AB" w14:textId="256C7A99" w:rsidR="00CA4CDF" w:rsidRDefault="00CA4CDF" w:rsidP="00CA4CDF">
      <w:pPr>
        <w:rPr>
          <w:rtl/>
          <w:lang w:bidi="ar-EG"/>
        </w:rPr>
      </w:pPr>
      <w:r>
        <w:t>8</w:t>
      </w:r>
      <w:r>
        <w:rPr>
          <w:rtl/>
          <w:lang w:bidi="ar-EG"/>
        </w:rPr>
        <w:tab/>
      </w:r>
      <w:r w:rsidR="000360C6">
        <w:rPr>
          <w:rFonts w:hint="cs"/>
          <w:rtl/>
          <w:lang w:bidi="ar-EG"/>
        </w:rPr>
        <w:t xml:space="preserve">وسيُتاح </w:t>
      </w:r>
      <w:r>
        <w:rPr>
          <w:rFonts w:hint="cs"/>
          <w:rtl/>
          <w:lang w:bidi="ar-EG"/>
        </w:rPr>
        <w:t>قبل</w:t>
      </w:r>
      <w:r w:rsidR="000360C6">
        <w:rPr>
          <w:rFonts w:hint="cs"/>
          <w:rtl/>
          <w:lang w:bidi="ar-EG"/>
        </w:rPr>
        <w:t xml:space="preserve"> </w:t>
      </w:r>
      <w:r>
        <w:rPr>
          <w:rFonts w:hint="cs"/>
          <w:rtl/>
          <w:lang w:bidi="ar-EG"/>
        </w:rPr>
        <w:t xml:space="preserve">الاجتماع </w:t>
      </w:r>
      <w:r w:rsidR="000360C6">
        <w:rPr>
          <w:rFonts w:hint="cs"/>
          <w:rtl/>
          <w:lang w:bidi="ar-EG"/>
        </w:rPr>
        <w:t xml:space="preserve">الاطلاع </w:t>
      </w:r>
      <w:r>
        <w:rPr>
          <w:rFonts w:hint="cs"/>
          <w:rtl/>
          <w:lang w:bidi="ar-EG"/>
        </w:rPr>
        <w:t xml:space="preserve">على </w:t>
      </w:r>
      <w:r w:rsidR="0048247D">
        <w:rPr>
          <w:rFonts w:hint="cs"/>
          <w:rtl/>
          <w:lang w:bidi="ar-EG"/>
        </w:rPr>
        <w:t xml:space="preserve">مشروع </w:t>
      </w:r>
      <w:r>
        <w:rPr>
          <w:rFonts w:hint="cs"/>
          <w:rtl/>
          <w:lang w:bidi="ar-EG"/>
        </w:rPr>
        <w:t xml:space="preserve">جدول </w:t>
      </w:r>
      <w:r w:rsidR="000360C6">
        <w:rPr>
          <w:rFonts w:hint="cs"/>
          <w:rtl/>
          <w:lang w:bidi="ar-EG"/>
        </w:rPr>
        <w:t>أعماله</w:t>
      </w:r>
      <w:r>
        <w:rPr>
          <w:rFonts w:hint="cs"/>
          <w:rtl/>
          <w:lang w:bidi="ar-EG"/>
        </w:rPr>
        <w:t xml:space="preserve"> ووثائق</w:t>
      </w:r>
      <w:r w:rsidR="009B2B19">
        <w:rPr>
          <w:rFonts w:hint="cs"/>
          <w:rtl/>
          <w:lang w:bidi="ar-EG"/>
        </w:rPr>
        <w:t>ه</w:t>
      </w:r>
      <w:r>
        <w:rPr>
          <w:rFonts w:hint="cs"/>
          <w:rtl/>
          <w:lang w:bidi="ar-EG"/>
        </w:rPr>
        <w:t xml:space="preserve"> و</w:t>
      </w:r>
      <w:r w:rsidR="009A0BBB">
        <w:rPr>
          <w:rFonts w:hint="cs"/>
          <w:rtl/>
          <w:lang w:bidi="ar-EG"/>
        </w:rPr>
        <w:t xml:space="preserve">غيرها من </w:t>
      </w:r>
      <w:r>
        <w:rPr>
          <w:rFonts w:hint="cs"/>
          <w:rtl/>
          <w:lang w:bidi="ar-EG"/>
        </w:rPr>
        <w:t>المعلومات العملية</w:t>
      </w:r>
      <w:r w:rsidR="009A0BBB">
        <w:rPr>
          <w:rFonts w:hint="cs"/>
          <w:rtl/>
          <w:lang w:bidi="ar-EG"/>
        </w:rPr>
        <w:t xml:space="preserve"> المتعلقة به، </w:t>
      </w:r>
      <w:r w:rsidR="000360C6">
        <w:rPr>
          <w:rFonts w:hint="cs"/>
          <w:rtl/>
          <w:lang w:bidi="ar-EG"/>
        </w:rPr>
        <w:t>في</w:t>
      </w:r>
      <w:r w:rsidR="0048247D">
        <w:rPr>
          <w:rFonts w:hint="eastAsia"/>
          <w:rtl/>
          <w:lang w:bidi="ar-EG"/>
        </w:rPr>
        <w:t> </w:t>
      </w:r>
      <w:hyperlink r:id="rId16" w:history="1">
        <w:r w:rsidRPr="003470F1">
          <w:rPr>
            <w:rStyle w:val="Hyperlink"/>
            <w:rtl/>
          </w:rPr>
          <w:t>الصفحة الرئيسية للفريق</w:t>
        </w:r>
        <w:r w:rsidR="009B2B19" w:rsidRPr="003470F1">
          <w:rPr>
            <w:rStyle w:val="Hyperlink"/>
            <w:rFonts w:hint="cs"/>
            <w:rtl/>
          </w:rPr>
          <w:t xml:space="preserve"> المتخصص</w:t>
        </w:r>
      </w:hyperlink>
      <w:r w:rsidRPr="00AC7664">
        <w:rPr>
          <w:rFonts w:hint="cs"/>
          <w:rtl/>
        </w:rPr>
        <w:t>.</w:t>
      </w:r>
      <w:r>
        <w:rPr>
          <w:rFonts w:hint="cs"/>
          <w:rtl/>
        </w:rPr>
        <w:t xml:space="preserve"> وست</w:t>
      </w:r>
      <w:r w:rsidR="003470F1">
        <w:rPr>
          <w:rFonts w:hint="cs"/>
          <w:rtl/>
        </w:rPr>
        <w:t>ُ</w:t>
      </w:r>
      <w:r>
        <w:rPr>
          <w:rFonts w:hint="cs"/>
          <w:rtl/>
        </w:rPr>
        <w:t>جر</w:t>
      </w:r>
      <w:r w:rsidR="003470F1">
        <w:rPr>
          <w:rFonts w:hint="cs"/>
          <w:rtl/>
        </w:rPr>
        <w:t>ى</w:t>
      </w:r>
      <w:r>
        <w:rPr>
          <w:rFonts w:hint="cs"/>
          <w:rtl/>
        </w:rPr>
        <w:t xml:space="preserve"> المناقشات باللغة الإنكليزية ف</w:t>
      </w:r>
      <w:r w:rsidR="000360C6">
        <w:rPr>
          <w:rFonts w:hint="cs"/>
          <w:rtl/>
        </w:rPr>
        <w:t>قط</w:t>
      </w:r>
      <w:r>
        <w:rPr>
          <w:rFonts w:hint="cs"/>
          <w:rtl/>
        </w:rPr>
        <w:t xml:space="preserve">. </w:t>
      </w:r>
      <w:r w:rsidR="000360C6">
        <w:rPr>
          <w:rFonts w:hint="cs"/>
          <w:rtl/>
          <w:lang w:bidi="ar-EG"/>
        </w:rPr>
        <w:t xml:space="preserve">كما </w:t>
      </w:r>
      <w:r w:rsidRPr="009919E5">
        <w:rPr>
          <w:rFonts w:hint="cs"/>
          <w:rtl/>
          <w:lang w:bidi="ar-EG"/>
        </w:rPr>
        <w:t>سي</w:t>
      </w:r>
      <w:r w:rsidR="000360C6">
        <w:rPr>
          <w:rFonts w:hint="cs"/>
          <w:rtl/>
          <w:lang w:bidi="ar-EG"/>
        </w:rPr>
        <w:t>ُ</w:t>
      </w:r>
      <w:r w:rsidRPr="009919E5">
        <w:rPr>
          <w:rFonts w:hint="cs"/>
          <w:rtl/>
          <w:lang w:bidi="ar-EG"/>
        </w:rPr>
        <w:t>تاح</w:t>
      </w:r>
      <w:r w:rsidRPr="009919E5">
        <w:rPr>
          <w:rFonts w:hint="eastAsia"/>
          <w:rtl/>
          <w:lang w:bidi="ar-EG"/>
        </w:rPr>
        <w:t> </w:t>
      </w:r>
      <w:r w:rsidR="000360C6">
        <w:rPr>
          <w:rFonts w:hint="cs"/>
          <w:rtl/>
          <w:lang w:bidi="ar-EG"/>
        </w:rPr>
        <w:t xml:space="preserve">الاطلاع على </w:t>
      </w:r>
      <w:r w:rsidR="009A0BBB">
        <w:rPr>
          <w:rFonts w:hint="cs"/>
          <w:rtl/>
          <w:lang w:bidi="ar-EG"/>
        </w:rPr>
        <w:t>ال</w:t>
      </w:r>
      <w:r w:rsidR="00167710">
        <w:rPr>
          <w:rFonts w:hint="cs"/>
          <w:rtl/>
          <w:lang w:bidi="ar-EG"/>
        </w:rPr>
        <w:t xml:space="preserve">معلومات </w:t>
      </w:r>
      <w:r w:rsidR="009A0BBB">
        <w:rPr>
          <w:rFonts w:hint="cs"/>
          <w:rtl/>
          <w:lang w:bidi="ar-EG"/>
        </w:rPr>
        <w:t>المتعلقة بت</w:t>
      </w:r>
      <w:r w:rsidR="003470F1">
        <w:rPr>
          <w:rFonts w:hint="cs"/>
          <w:rtl/>
          <w:lang w:bidi="ar-EG"/>
        </w:rPr>
        <w:t>فاصيل كيفية</w:t>
      </w:r>
      <w:r w:rsidRPr="009919E5">
        <w:rPr>
          <w:rFonts w:hint="cs"/>
          <w:rtl/>
          <w:lang w:bidi="ar-EG"/>
        </w:rPr>
        <w:t xml:space="preserve"> </w:t>
      </w:r>
      <w:r w:rsidR="0048247D">
        <w:rPr>
          <w:rFonts w:hint="cs"/>
          <w:rtl/>
          <w:lang w:bidi="ar-EG"/>
        </w:rPr>
        <w:t>المشاركة</w:t>
      </w:r>
      <w:r w:rsidRPr="009919E5">
        <w:rPr>
          <w:rFonts w:hint="cs"/>
          <w:rtl/>
          <w:lang w:bidi="ar-EG"/>
        </w:rPr>
        <w:t xml:space="preserve"> عن بُعد</w:t>
      </w:r>
      <w:r w:rsidR="009A0BBB">
        <w:rPr>
          <w:rFonts w:hint="cs"/>
          <w:rtl/>
          <w:lang w:bidi="ar-EG"/>
        </w:rPr>
        <w:t>،</w:t>
      </w:r>
      <w:r w:rsidRPr="009919E5">
        <w:rPr>
          <w:rFonts w:hint="cs"/>
          <w:rtl/>
          <w:lang w:bidi="ar-EG"/>
        </w:rPr>
        <w:t xml:space="preserve"> في الصفحة الإلكترونية للفريق المتخصص</w:t>
      </w:r>
      <w:r w:rsidR="003470F1">
        <w:rPr>
          <w:rFonts w:hint="cs"/>
          <w:rtl/>
          <w:lang w:bidi="ar-EG"/>
        </w:rPr>
        <w:t xml:space="preserve"> </w:t>
      </w:r>
      <w:r w:rsidR="003470F1" w:rsidRPr="00922EE2">
        <w:t>(</w:t>
      </w:r>
      <w:hyperlink r:id="rId17" w:history="1">
        <w:r w:rsidR="00B456EC" w:rsidRPr="0026401A">
          <w:rPr>
            <w:rStyle w:val="Hyperlink"/>
          </w:rPr>
          <w:t>www.itu.int/go/fgtbf</w:t>
        </w:r>
      </w:hyperlink>
      <w:r w:rsidR="003470F1" w:rsidRPr="00922EE2">
        <w:t>)</w:t>
      </w:r>
      <w:r w:rsidRPr="009919E5">
        <w:rPr>
          <w:rFonts w:hint="cs"/>
          <w:rtl/>
          <w:lang w:bidi="ar-EG"/>
        </w:rPr>
        <w:t>.</w:t>
      </w:r>
    </w:p>
    <w:p w14:paraId="6AE7DB20" w14:textId="724EC6CE" w:rsidR="00CA4CDF" w:rsidRDefault="00CA4CDF" w:rsidP="00B456EC">
      <w:pPr>
        <w:spacing w:after="120"/>
        <w:rPr>
          <w:rtl/>
        </w:rPr>
      </w:pPr>
      <w:r>
        <w:rPr>
          <w:lang w:bidi="ar-EG"/>
        </w:rPr>
        <w:t>9</w:t>
      </w:r>
      <w:r>
        <w:rPr>
          <w:rtl/>
          <w:lang w:bidi="ar-EG"/>
        </w:rPr>
        <w:tab/>
      </w:r>
      <w:r w:rsidRPr="007D1066">
        <w:rPr>
          <w:rFonts w:hint="cs"/>
          <w:rtl/>
          <w:lang w:bidi="ar-EG"/>
        </w:rPr>
        <w:t>ويُدعى المشاركون إلى تسجيل</w:t>
      </w:r>
      <w:r w:rsidR="009A424A">
        <w:rPr>
          <w:rFonts w:hint="cs"/>
          <w:rtl/>
          <w:lang w:bidi="ar-EG"/>
        </w:rPr>
        <w:t xml:space="preserve"> بياناتهم</w:t>
      </w:r>
      <w:r w:rsidRPr="007D1066">
        <w:rPr>
          <w:rFonts w:hint="cs"/>
          <w:rtl/>
          <w:lang w:bidi="ar-EG"/>
        </w:rPr>
        <w:t xml:space="preserve"> </w:t>
      </w:r>
      <w:r w:rsidR="00094DF1">
        <w:rPr>
          <w:rFonts w:hint="cs"/>
          <w:rtl/>
          <w:lang w:bidi="ar-EG"/>
        </w:rPr>
        <w:t>إلكترونياً</w:t>
      </w:r>
      <w:r w:rsidRPr="007D1066">
        <w:rPr>
          <w:rFonts w:hint="cs"/>
          <w:rtl/>
          <w:lang w:bidi="ar-EG"/>
        </w:rPr>
        <w:t xml:space="preserve"> في</w:t>
      </w:r>
      <w:r w:rsidRPr="007D1066">
        <w:rPr>
          <w:rFonts w:hint="eastAsia"/>
          <w:rtl/>
          <w:lang w:bidi="ar-EG"/>
        </w:rPr>
        <w:t> </w:t>
      </w:r>
      <w:r w:rsidRPr="007D1066">
        <w:rPr>
          <w:rFonts w:hint="cs"/>
          <w:rtl/>
          <w:lang w:bidi="ar-EG"/>
        </w:rPr>
        <w:t xml:space="preserve">أقرب وقت ممكن عبر </w:t>
      </w:r>
      <w:hyperlink r:id="rId18" w:history="1">
        <w:r w:rsidRPr="009B2B19">
          <w:rPr>
            <w:rStyle w:val="Hyperlink"/>
            <w:rtl/>
          </w:rPr>
          <w:t>الصفحة الرئيسية للفريق</w:t>
        </w:r>
        <w:r w:rsidR="009B2B19" w:rsidRPr="009B2B19">
          <w:rPr>
            <w:rStyle w:val="Hyperlink"/>
          </w:rPr>
          <w:t xml:space="preserve"> </w:t>
        </w:r>
        <w:r w:rsidR="009B2B19" w:rsidRPr="009B2B19">
          <w:rPr>
            <w:rStyle w:val="Hyperlink"/>
            <w:rFonts w:hint="cs"/>
            <w:rtl/>
            <w:lang w:bidi="ar-EG"/>
          </w:rPr>
          <w:t>المتخصص</w:t>
        </w:r>
      </w:hyperlink>
      <w:r w:rsidRPr="00B456EC">
        <w:rPr>
          <w:rFonts w:hint="cs"/>
          <w:rtl/>
        </w:rPr>
        <w:t>.</w:t>
      </w:r>
      <w:r w:rsidRPr="007D1066">
        <w:rPr>
          <w:rFonts w:hint="cs"/>
          <w:rtl/>
          <w:lang w:bidi="ar-EG"/>
        </w:rPr>
        <w:t xml:space="preserve"> </w:t>
      </w:r>
      <w:r w:rsidR="00922EE2">
        <w:rPr>
          <w:rFonts w:hint="cs"/>
          <w:b/>
          <w:bCs/>
          <w:u w:val="single"/>
          <w:rtl/>
        </w:rPr>
        <w:t>ويلزم</w:t>
      </w:r>
      <w:r w:rsidRPr="00CA4CDF">
        <w:rPr>
          <w:b/>
          <w:bCs/>
          <w:u w:val="single"/>
          <w:rtl/>
        </w:rPr>
        <w:t xml:space="preserve"> التسجيل </w:t>
      </w:r>
      <w:r w:rsidRPr="00CA4CDF">
        <w:rPr>
          <w:rFonts w:hint="cs"/>
          <w:b/>
          <w:bCs/>
          <w:u w:val="single"/>
          <w:rtl/>
        </w:rPr>
        <w:t>لحضور الاجتماع</w:t>
      </w:r>
      <w:r w:rsidR="00922EE2">
        <w:rPr>
          <w:rFonts w:hint="cs"/>
          <w:b/>
          <w:bCs/>
          <w:u w:val="single"/>
          <w:rtl/>
        </w:rPr>
        <w:t xml:space="preserve"> الافتراضي</w:t>
      </w:r>
      <w:r w:rsidRPr="007D1066">
        <w:rPr>
          <w:rFonts w:hint="cs"/>
          <w:rtl/>
        </w:rPr>
        <w:t>.</w:t>
      </w:r>
    </w:p>
    <w:tbl>
      <w:tblPr>
        <w:tblStyle w:val="TableGrid"/>
        <w:bidiVisual/>
        <w:tblW w:w="5000" w:type="pct"/>
        <w:jc w:val="center"/>
        <w:tblLayout w:type="fixed"/>
        <w:tblLook w:val="04A0" w:firstRow="1" w:lastRow="0" w:firstColumn="1" w:lastColumn="0" w:noHBand="0" w:noVBand="1"/>
      </w:tblPr>
      <w:tblGrid>
        <w:gridCol w:w="1982"/>
        <w:gridCol w:w="7647"/>
      </w:tblGrid>
      <w:tr w:rsidR="00CA4CDF" w:rsidRPr="00B456EC" w14:paraId="39AE90CE" w14:textId="77777777" w:rsidTr="000F0FDC">
        <w:trPr>
          <w:trHeight w:val="438"/>
          <w:jc w:val="center"/>
        </w:trPr>
        <w:tc>
          <w:tcPr>
            <w:tcW w:w="1982" w:type="dxa"/>
          </w:tcPr>
          <w:p w14:paraId="28AC645D" w14:textId="01E0B31E" w:rsidR="00CA4CDF" w:rsidRPr="00B456EC" w:rsidRDefault="00127987" w:rsidP="00F1576D">
            <w:pPr>
              <w:keepNext/>
              <w:keepLines/>
              <w:spacing w:after="120" w:line="320" w:lineRule="exact"/>
              <w:rPr>
                <w:rtl/>
                <w:lang w:bidi="ar-EG"/>
              </w:rPr>
            </w:pPr>
            <w:r w:rsidRPr="00B456EC">
              <w:lastRenderedPageBreak/>
              <w:t>28</w:t>
            </w:r>
            <w:r w:rsidRPr="00B456EC">
              <w:rPr>
                <w:rtl/>
                <w:lang w:bidi="ar-EG"/>
              </w:rPr>
              <w:t xml:space="preserve"> مارس </w:t>
            </w:r>
            <w:r w:rsidRPr="00B456EC">
              <w:rPr>
                <w:lang w:bidi="ar-EG"/>
              </w:rPr>
              <w:t>2022</w:t>
            </w:r>
          </w:p>
        </w:tc>
        <w:tc>
          <w:tcPr>
            <w:tcW w:w="7647" w:type="dxa"/>
          </w:tcPr>
          <w:p w14:paraId="7892FADB" w14:textId="28DD6E44" w:rsidR="00CA4CDF" w:rsidRPr="00826477" w:rsidRDefault="00EE4FB1" w:rsidP="00F1576D">
            <w:pPr>
              <w:keepNext/>
              <w:keepLines/>
              <w:spacing w:after="120" w:line="320" w:lineRule="exact"/>
              <w:rPr>
                <w:b/>
              </w:rPr>
            </w:pPr>
            <w:r w:rsidRPr="00826477">
              <w:rPr>
                <w:rtl/>
                <w:lang w:bidi="ar-SY"/>
              </w:rPr>
              <w:t>الموعد النهائي ل</w:t>
            </w:r>
            <w:r w:rsidR="00CA4CDF" w:rsidRPr="00826477">
              <w:rPr>
                <w:rtl/>
                <w:lang w:bidi="ar-SY"/>
              </w:rPr>
              <w:t xml:space="preserve">تقديم المساهمات الخطية (بالبريد الإلكتروني إلى </w:t>
            </w:r>
            <w:hyperlink r:id="rId19" w:history="1">
              <w:r w:rsidR="00B456EC" w:rsidRPr="00826477">
                <w:rPr>
                  <w:rStyle w:val="Hyperlink"/>
                </w:rPr>
                <w:t>tsbfgtbf@itu.int</w:t>
              </w:r>
            </w:hyperlink>
            <w:r w:rsidR="00CA4CDF" w:rsidRPr="00826477">
              <w:rPr>
                <w:rtl/>
              </w:rPr>
              <w:t>)</w:t>
            </w:r>
          </w:p>
        </w:tc>
      </w:tr>
      <w:tr w:rsidR="00CA4CDF" w:rsidRPr="00B456EC" w14:paraId="1E61570B" w14:textId="77777777" w:rsidTr="000F0FDC">
        <w:trPr>
          <w:trHeight w:val="449"/>
          <w:jc w:val="center"/>
        </w:trPr>
        <w:tc>
          <w:tcPr>
            <w:tcW w:w="1982" w:type="dxa"/>
          </w:tcPr>
          <w:p w14:paraId="78F60261" w14:textId="75FA4FC7" w:rsidR="00CA4CDF" w:rsidRPr="00B456EC" w:rsidRDefault="00127987" w:rsidP="00F1576D">
            <w:pPr>
              <w:keepNext/>
              <w:keepLines/>
              <w:spacing w:after="120" w:line="320" w:lineRule="exact"/>
              <w:rPr>
                <w:rtl/>
                <w:lang w:bidi="ar-EG"/>
              </w:rPr>
            </w:pPr>
            <w:r w:rsidRPr="00B456EC">
              <w:t>3</w:t>
            </w:r>
            <w:r w:rsidRPr="00B456EC">
              <w:rPr>
                <w:rtl/>
                <w:lang w:bidi="ar-EG"/>
              </w:rPr>
              <w:t xml:space="preserve"> أبريل </w:t>
            </w:r>
            <w:r w:rsidRPr="00B456EC">
              <w:rPr>
                <w:lang w:bidi="ar-EG"/>
              </w:rPr>
              <w:t>2022</w:t>
            </w:r>
          </w:p>
        </w:tc>
        <w:tc>
          <w:tcPr>
            <w:tcW w:w="7647" w:type="dxa"/>
          </w:tcPr>
          <w:p w14:paraId="10C63163" w14:textId="31863885" w:rsidR="00CA4CDF" w:rsidRPr="00B456EC" w:rsidRDefault="00EE4FB1" w:rsidP="00F1576D">
            <w:pPr>
              <w:keepNext/>
              <w:keepLines/>
              <w:spacing w:after="120" w:line="320" w:lineRule="exact"/>
              <w:rPr>
                <w:rtl/>
                <w:lang w:bidi="ar-EG"/>
              </w:rPr>
            </w:pPr>
            <w:r w:rsidRPr="00B456EC">
              <w:rPr>
                <w:rtl/>
              </w:rPr>
              <w:t xml:space="preserve">يُتاح </w:t>
            </w:r>
            <w:r w:rsidR="00CA4CDF" w:rsidRPr="00B456EC">
              <w:rPr>
                <w:rtl/>
              </w:rPr>
              <w:t>التسجيل المسبق</w:t>
            </w:r>
            <w:r w:rsidR="00CA4CDF" w:rsidRPr="00B456EC">
              <w:rPr>
                <w:rtl/>
                <w:lang w:bidi="ar-EG"/>
              </w:rPr>
              <w:t xml:space="preserve"> </w:t>
            </w:r>
            <w:r w:rsidR="004A4E89" w:rsidRPr="00B456EC">
              <w:rPr>
                <w:rtl/>
                <w:lang w:bidi="ar-EG"/>
              </w:rPr>
              <w:t>في الصفحة الإلكترونية للفريق المتخصص</w:t>
            </w:r>
            <w:r w:rsidR="00127987" w:rsidRPr="00B456EC">
              <w:rPr>
                <w:rtl/>
                <w:lang w:bidi="ar-EG"/>
              </w:rPr>
              <w:t xml:space="preserve"> </w:t>
            </w:r>
            <w:hyperlink r:id="rId20" w:history="1">
              <w:r w:rsidR="00B456EC" w:rsidRPr="0026401A">
                <w:rPr>
                  <w:rStyle w:val="Hyperlink"/>
                </w:rPr>
                <w:t>www.itu.int/go/fgtbf</w:t>
              </w:r>
            </w:hyperlink>
          </w:p>
        </w:tc>
      </w:tr>
    </w:tbl>
    <w:p w14:paraId="0C320549" w14:textId="7435801F" w:rsidR="00127987" w:rsidRDefault="004A4E89" w:rsidP="0048247D">
      <w:pPr>
        <w:keepNext/>
        <w:keepLines/>
        <w:spacing w:before="240"/>
        <w:rPr>
          <w:rtl/>
        </w:rPr>
      </w:pPr>
      <w:r>
        <w:rPr>
          <w:rFonts w:hint="cs"/>
          <w:rtl/>
        </w:rPr>
        <w:t>مع تمنياتي لكم باجتماع</w:t>
      </w:r>
      <w:r w:rsidR="00EE4FB1">
        <w:rPr>
          <w:rFonts w:hint="cs"/>
          <w:rtl/>
        </w:rPr>
        <w:t xml:space="preserve">ٍ </w:t>
      </w:r>
      <w:r>
        <w:rPr>
          <w:rFonts w:hint="cs"/>
          <w:rtl/>
        </w:rPr>
        <w:t>مثمر</w:t>
      </w:r>
      <w:r w:rsidR="00EE4FB1">
        <w:rPr>
          <w:rFonts w:hint="cs"/>
          <w:rtl/>
        </w:rPr>
        <w:t>ٍ</w:t>
      </w:r>
      <w:r>
        <w:rPr>
          <w:rFonts w:hint="cs"/>
          <w:rtl/>
        </w:rPr>
        <w:t xml:space="preserve"> وممتع</w:t>
      </w:r>
      <w:r w:rsidR="00127987" w:rsidRPr="007D1066">
        <w:rPr>
          <w:rFonts w:hint="cs"/>
          <w:rtl/>
        </w:rPr>
        <w:t>.</w:t>
      </w:r>
    </w:p>
    <w:tbl>
      <w:tblPr>
        <w:tblStyle w:val="TableGrid"/>
        <w:bidiVisual/>
        <w:tblW w:w="5000" w:type="pct"/>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1"/>
      </w:tblGrid>
      <w:tr w:rsidR="00127987" w:rsidRPr="00462F9D" w14:paraId="2F09FDF5" w14:textId="77777777" w:rsidTr="00DD4A3D">
        <w:trPr>
          <w:trHeight w:val="2182"/>
        </w:trPr>
        <w:tc>
          <w:tcPr>
            <w:tcW w:w="6421" w:type="dxa"/>
            <w:tcBorders>
              <w:top w:val="nil"/>
              <w:left w:val="nil"/>
              <w:bottom w:val="nil"/>
              <w:right w:val="single" w:sz="4" w:space="0" w:color="auto"/>
            </w:tcBorders>
            <w:vAlign w:val="center"/>
          </w:tcPr>
          <w:p w14:paraId="760170F2" w14:textId="3B05739E" w:rsidR="00127987" w:rsidRDefault="00127987" w:rsidP="000F0FDC">
            <w:pPr>
              <w:spacing w:before="240"/>
              <w:jc w:val="left"/>
              <w:rPr>
                <w:rtl/>
              </w:rPr>
            </w:pPr>
            <w:r>
              <w:rPr>
                <w:rFonts w:hint="cs"/>
                <w:rtl/>
              </w:rPr>
              <w:t>وتفضلوا بقبول فائق التقدير والاحترام.</w:t>
            </w:r>
          </w:p>
          <w:p w14:paraId="3056F34B" w14:textId="5B3147F1" w:rsidR="00127987" w:rsidRPr="00462F9D" w:rsidRDefault="007E00CB" w:rsidP="00BF0012">
            <w:pPr>
              <w:spacing w:before="960"/>
              <w:jc w:val="left"/>
              <w:rPr>
                <w:rtl/>
              </w:rPr>
            </w:pPr>
            <w:r>
              <w:rPr>
                <w:rFonts w:hint="cs"/>
                <w:noProof/>
                <w:rtl/>
                <w:lang w:val="ar-SA"/>
              </w:rPr>
              <w:drawing>
                <wp:anchor distT="0" distB="0" distL="114300" distR="114300" simplePos="0" relativeHeight="251658240" behindDoc="1" locked="0" layoutInCell="1" allowOverlap="1" wp14:anchorId="614F25FE" wp14:editId="475015AE">
                  <wp:simplePos x="0" y="0"/>
                  <wp:positionH relativeFrom="column">
                    <wp:posOffset>3199130</wp:posOffset>
                  </wp:positionH>
                  <wp:positionV relativeFrom="paragraph">
                    <wp:posOffset>50165</wp:posOffset>
                  </wp:positionV>
                  <wp:extent cx="720725" cy="498475"/>
                  <wp:effectExtent l="0" t="0" r="3175"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720725" cy="4984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27987">
              <w:rPr>
                <w:rFonts w:hint="cs"/>
                <w:rtl/>
              </w:rPr>
              <w:t>تشيساب</w:t>
            </w:r>
            <w:proofErr w:type="spellEnd"/>
            <w:r w:rsidR="00127987">
              <w:rPr>
                <w:rFonts w:hint="cs"/>
                <w:rtl/>
              </w:rPr>
              <w:t> لي</w:t>
            </w:r>
            <w:r w:rsidR="00127987">
              <w:rPr>
                <w:rtl/>
              </w:rPr>
              <w:br/>
            </w:r>
            <w:r w:rsidR="00127987">
              <w:rPr>
                <w:rFonts w:hint="cs"/>
                <w:rtl/>
              </w:rP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tcPr>
          <w:p w14:paraId="77AFD1A1" w14:textId="037C1AEC" w:rsidR="00127987" w:rsidRPr="00821CFF" w:rsidRDefault="0048247D" w:rsidP="000F0FDC">
            <w:pPr>
              <w:spacing w:before="0"/>
              <w:jc w:val="center"/>
              <w:rPr>
                <w:sz w:val="20"/>
                <w:szCs w:val="20"/>
                <w:rtl/>
                <w:lang w:bidi="ar-EG"/>
              </w:rPr>
            </w:pPr>
            <w:r w:rsidRPr="00D417C0">
              <w:rPr>
                <w:noProof/>
              </w:rPr>
              <w:drawing>
                <wp:inline distT="0" distB="0" distL="0" distR="0" wp14:anchorId="4B218216" wp14:editId="5F88623A">
                  <wp:extent cx="1470211" cy="146583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81390" cy="1476981"/>
                          </a:xfrm>
                          <a:prstGeom prst="rect">
                            <a:avLst/>
                          </a:prstGeom>
                        </pic:spPr>
                      </pic:pic>
                    </a:graphicData>
                  </a:graphic>
                </wp:inline>
              </w:drawing>
            </w:r>
          </w:p>
        </w:tc>
      </w:tr>
    </w:tbl>
    <w:p w14:paraId="1838A1C1" w14:textId="03D828A2" w:rsidR="00CA4CDF" w:rsidRPr="00CA4CDF" w:rsidRDefault="00127987" w:rsidP="00F1576D">
      <w:pPr>
        <w:spacing w:before="840"/>
        <w:rPr>
          <w:rtl/>
          <w:lang w:bidi="ar-EG"/>
        </w:rPr>
      </w:pPr>
      <w:r w:rsidRPr="00127987">
        <w:rPr>
          <w:rFonts w:hint="cs"/>
          <w:b/>
          <w:bCs/>
          <w:rtl/>
          <w:lang w:bidi="ar-EG"/>
        </w:rPr>
        <w:t>الملحق</w:t>
      </w:r>
      <w:r>
        <w:rPr>
          <w:rFonts w:hint="cs"/>
          <w:rtl/>
          <w:lang w:bidi="ar-EG"/>
        </w:rPr>
        <w:t xml:space="preserve">: </w:t>
      </w:r>
      <w:r>
        <w:rPr>
          <w:lang w:bidi="ar-EG"/>
        </w:rPr>
        <w:t>1</w:t>
      </w:r>
    </w:p>
    <w:p w14:paraId="75EA075A" w14:textId="15EDDAFC" w:rsidR="00127987" w:rsidRDefault="00127987">
      <w:pPr>
        <w:tabs>
          <w:tab w:val="clear" w:pos="794"/>
        </w:tabs>
        <w:bidi w:val="0"/>
        <w:spacing w:before="0" w:after="160" w:line="259" w:lineRule="auto"/>
        <w:jc w:val="left"/>
        <w:rPr>
          <w:rtl/>
          <w:lang w:bidi="ar-EG"/>
        </w:rPr>
      </w:pPr>
      <w:r>
        <w:rPr>
          <w:rtl/>
          <w:lang w:bidi="ar-EG"/>
        </w:rPr>
        <w:br w:type="page"/>
      </w:r>
    </w:p>
    <w:p w14:paraId="23E046EA" w14:textId="77777777" w:rsidR="00127987" w:rsidRPr="00127987" w:rsidRDefault="00127987" w:rsidP="00127987">
      <w:pPr>
        <w:pStyle w:val="AnnexNo0"/>
        <w:rPr>
          <w:b/>
          <w:bCs/>
        </w:rPr>
      </w:pPr>
      <w:r w:rsidRPr="00127987">
        <w:rPr>
          <w:b/>
          <w:bCs/>
        </w:rPr>
        <w:lastRenderedPageBreak/>
        <w:t>ANNEX 1</w:t>
      </w:r>
    </w:p>
    <w:p w14:paraId="6E0D35DA" w14:textId="77777777" w:rsidR="00127987" w:rsidRPr="00127987" w:rsidRDefault="00127987" w:rsidP="00127987">
      <w:pPr>
        <w:bidi w:val="0"/>
        <w:spacing w:before="240"/>
      </w:pPr>
      <w:r w:rsidRPr="00127987">
        <w:rPr>
          <w:b/>
          <w:bCs/>
        </w:rPr>
        <w:t>Source:</w:t>
      </w:r>
      <w:r w:rsidRPr="00127987">
        <w:t xml:space="preserve"> </w:t>
      </w:r>
      <w:hyperlink r:id="rId23" w:history="1">
        <w:r w:rsidRPr="00127987">
          <w:rPr>
            <w:rStyle w:val="Hyperlink"/>
          </w:rPr>
          <w:t>SG11-TD1804-R1/GEN</w:t>
        </w:r>
      </w:hyperlink>
    </w:p>
    <w:p w14:paraId="0BD7EAE7" w14:textId="77777777" w:rsidR="00127987" w:rsidRPr="00127987" w:rsidRDefault="00127987" w:rsidP="00127987">
      <w:pPr>
        <w:keepNext/>
        <w:keepLines/>
        <w:bidi w:val="0"/>
        <w:spacing w:before="240"/>
        <w:jc w:val="center"/>
        <w:rPr>
          <w:b/>
        </w:rPr>
      </w:pPr>
      <w:r w:rsidRPr="00127987">
        <w:rPr>
          <w:b/>
        </w:rPr>
        <w:t xml:space="preserve">Terms of Reference for the ITU-T Focus Group on </w:t>
      </w:r>
      <w:r w:rsidRPr="00127987">
        <w:rPr>
          <w:b/>
        </w:rPr>
        <w:br/>
        <w:t>“Testbeds Federations for IMT-2020 and beyond”</w:t>
      </w:r>
      <w:r w:rsidRPr="00127987">
        <w:rPr>
          <w:b/>
        </w:rPr>
        <w:br/>
        <w:t>(FG-TBFxG)</w:t>
      </w:r>
    </w:p>
    <w:p w14:paraId="755B5963" w14:textId="77777777" w:rsidR="00127987" w:rsidRPr="00127987" w:rsidRDefault="00127987" w:rsidP="00641C64">
      <w:pPr>
        <w:pStyle w:val="Heading1"/>
        <w:bidi w:val="0"/>
      </w:pPr>
      <w:r w:rsidRPr="00127987">
        <w:t>1.</w:t>
      </w:r>
      <w:r w:rsidRPr="00127987">
        <w:tab/>
        <w:t>Rationale and Scope</w:t>
      </w:r>
    </w:p>
    <w:p w14:paraId="4C811104" w14:textId="77777777" w:rsidR="00127987" w:rsidRPr="00127987" w:rsidRDefault="00127987" w:rsidP="00641C64">
      <w:pPr>
        <w:bidi w:val="0"/>
      </w:pPr>
      <w:r w:rsidRPr="00127987">
        <w:t>Over the years, ICT Research Communities (including publicly funded R&amp;D Projects in US, Europe, China, Japan, South Korea, and in many other parts of the world), together with the Industry, have been working on various topics on building and implementing Testbeds for various purposes, including ICT Testbeds and Testbeds for industrial sectors (such as certain applications in the areas of transportation, finance &amp; banking, healthcare, automotive, manufacturing, production plants, retail, entertainment &amp; broadcasting, etc., that leverage ICT technologies and infrastructures).</w:t>
      </w:r>
    </w:p>
    <w:p w14:paraId="0E76AF95" w14:textId="77777777" w:rsidR="00127987" w:rsidRPr="00127987" w:rsidRDefault="00127987" w:rsidP="00641C64">
      <w:pPr>
        <w:bidi w:val="0"/>
      </w:pPr>
      <w:r w:rsidRPr="00127987">
        <w:t xml:space="preserve">Today, there are many Testbeds available for Research purposes and many Testbeds continue to be built by the Research Communities and by the </w:t>
      </w:r>
      <w:proofErr w:type="gramStart"/>
      <w:r w:rsidRPr="00127987">
        <w:t>Industry</w:t>
      </w:r>
      <w:proofErr w:type="gramEnd"/>
      <w:r w:rsidRPr="00127987">
        <w:t xml:space="preserve"> as well. The </w:t>
      </w:r>
      <w:proofErr w:type="gramStart"/>
      <w:r w:rsidRPr="00127987">
        <w:t>Industry</w:t>
      </w:r>
      <w:proofErr w:type="gramEnd"/>
      <w:r w:rsidRPr="00127987">
        <w:t xml:space="preserve"> continues to build its own Testbeds that are used internally within organizations such as Network Operators (or Communications Service Providers) or Vendors, and in some cases some industrial Testbeds are useable to multiple organizations based on certain collaboration agreements that are closed only to the partners.</w:t>
      </w:r>
    </w:p>
    <w:p w14:paraId="7A3A9488" w14:textId="77777777" w:rsidR="00127987" w:rsidRPr="00127987" w:rsidRDefault="00127987" w:rsidP="00641C64">
      <w:pPr>
        <w:bidi w:val="0"/>
      </w:pPr>
      <w:r w:rsidRPr="00127987">
        <w:t>Over the years it has increasingly been experienced that singly isolated standalone Testbeds are not sufficient to test and trial out certain technology use cases because the use cases rather require the use of components and resources located in various Testbeds (due to the varying capabilities of the different Testbeds that need to be used, and due to the fact that it is more sustainable when the burden of investing in Testbed facilities is shared among various potential Testbed suppliers/providers). New ICT Technologies, Networks and Industry-oriented Applications are becoming increasingly complex to test using Standalone Testbeds. Hence, Federated Testbeds bring sustainability in fostering environments for quick innovations and testing of complex technologies and use cases, and for enabling quicker time to market for products and services.</w:t>
      </w:r>
    </w:p>
    <w:p w14:paraId="34612875" w14:textId="77777777" w:rsidR="00127987" w:rsidRPr="00127987" w:rsidRDefault="00127987" w:rsidP="00641C64">
      <w:pPr>
        <w:bidi w:val="0"/>
      </w:pPr>
      <w:r w:rsidRPr="00127987">
        <w:t>In this regard, federated testbeds may bring a lot of value to “research use-cases” and “industry real technology deployment use cases”. In general, there is an urgent need to build an Ecosystem for enabling Sustainable Testbeds Development, Evolutions, and Federations. This becomes important for the whole ICT Industry and different domains, especially in this era of automation and consideration of emerging impacts of pandemics like COVID-19 on products developments and lifecycle management.</w:t>
      </w:r>
    </w:p>
    <w:p w14:paraId="0E59DE82" w14:textId="77777777" w:rsidR="00127987" w:rsidRPr="00127987" w:rsidRDefault="00127987" w:rsidP="00641C64">
      <w:pPr>
        <w:bidi w:val="0"/>
      </w:pPr>
      <w:r w:rsidRPr="00127987">
        <w:t>ITU-T SG11 in close collaboration with ETSI TC INT developed draft Recommendation ITU-T Q.4068 “Open APIs for interoperable testbed federations” which defines a generic Reference Model for Testbeds Federations and describes the main elements of this Reference Model.</w:t>
      </w:r>
    </w:p>
    <w:p w14:paraId="28B9D813" w14:textId="77777777" w:rsidR="00127987" w:rsidRPr="00127987" w:rsidRDefault="00127987" w:rsidP="00641C64">
      <w:pPr>
        <w:bidi w:val="0"/>
      </w:pPr>
      <w:r w:rsidRPr="00127987">
        <w:t>In addition, ITU-T SG11, ETSI TC INT and IEEE co-organized Joint SDOs Brainstorming Workshop on Testbeds Federations for 5G and Beyond: Interoperability, Standardization, Reference Model and APIs which was held fully virtual on 15-16 March 2021 (</w:t>
      </w:r>
      <w:hyperlink r:id="rId24" w:history="1">
        <w:r w:rsidRPr="00127987">
          <w:rPr>
            <w:rStyle w:val="Hyperlink"/>
          </w:rPr>
          <w:t>www.itu.int/go/BTF4-5G</w:t>
        </w:r>
      </w:hyperlink>
      <w:r w:rsidRPr="00127987">
        <w:t>). It was noted that Research Communities and the Industry (Solutions vendors/suppliers, CSPs, Enterprises, and Standards Development Organizations (SDOs)/Fora) all have roles to play in this desired Ecosystem that should be built around the Testbeds Federations Reference Model now and into the future, in this era of “</w:t>
      </w:r>
      <w:proofErr w:type="spellStart"/>
      <w:r w:rsidRPr="00127987">
        <w:rPr>
          <w:i/>
        </w:rPr>
        <w:t>Software’rization</w:t>
      </w:r>
      <w:proofErr w:type="spellEnd"/>
      <w:r w:rsidRPr="00127987">
        <w:t xml:space="preserve">” and </w:t>
      </w:r>
      <w:r w:rsidRPr="00127987">
        <w:rPr>
          <w:i/>
          <w:iCs/>
        </w:rPr>
        <w:t>Disaggregation</w:t>
      </w:r>
      <w:r w:rsidRPr="00127987">
        <w:t xml:space="preserve"> of ICT Networks, IMT-2020 and beyond.</w:t>
      </w:r>
    </w:p>
    <w:p w14:paraId="7CA3293D" w14:textId="77777777" w:rsidR="00127987" w:rsidRPr="00127987" w:rsidRDefault="00127987" w:rsidP="00641C64">
      <w:pPr>
        <w:bidi w:val="0"/>
      </w:pPr>
      <w:proofErr w:type="gramStart"/>
      <w:r w:rsidRPr="00127987">
        <w:lastRenderedPageBreak/>
        <w:t>Taking into account</w:t>
      </w:r>
      <w:proofErr w:type="gramEnd"/>
      <w:r w:rsidRPr="00127987">
        <w:t xml:space="preserve"> the importance of the desired Ecosystem, including APIs for the Testbed Federations that affect various stakeholders, this Focus Group on “Testbeds Federations for IMT-2020 and beyond” (FG-TBFxG) would play a role in providing a platform to share views, to develop a series of deliverables, and showcasing initiatives, projects, and standards activities linked to Testbed Federations.</w:t>
      </w:r>
    </w:p>
    <w:p w14:paraId="1A720F49" w14:textId="77777777" w:rsidR="00127987" w:rsidRPr="00127987" w:rsidRDefault="00127987" w:rsidP="00641C64">
      <w:pPr>
        <w:bidi w:val="0"/>
      </w:pPr>
      <w:r w:rsidRPr="00127987">
        <w:t>The FG-TBFxG will serve as a platform to help bring about Harmonization of Testbeds specifications across SDOs/Fora. The FG-TBFxG will leverage and align with the Testbeds Federations Reference Model being standardized jointly by ETSI TC INT and ITU-T SG11 in researching, developing and specifying the required APIs, and defining a set of use cases for Federated Testbeds and use of the APIs. FG-TBFxG encourages all Stakeholders, SDOs/Fora, to:</w:t>
      </w:r>
    </w:p>
    <w:p w14:paraId="24C11C64" w14:textId="49FBA23C" w:rsidR="00127987" w:rsidRPr="00127987" w:rsidRDefault="00641C64" w:rsidP="00641C64">
      <w:pPr>
        <w:pStyle w:val="enumlev1"/>
        <w:bidi w:val="0"/>
      </w:pPr>
      <w:r>
        <w:t>1.</w:t>
      </w:r>
      <w:r>
        <w:tab/>
      </w:r>
      <w:r w:rsidR="00127987" w:rsidRPr="00127987">
        <w:t>Contribute to the development of the APIs being prescribed by the Testbeds Federations Reference Model;</w:t>
      </w:r>
    </w:p>
    <w:p w14:paraId="1F6AFD00" w14:textId="032EFB0E" w:rsidR="00127987" w:rsidRPr="00127987" w:rsidRDefault="00641C64" w:rsidP="00641C64">
      <w:pPr>
        <w:pStyle w:val="enumlev1"/>
        <w:bidi w:val="0"/>
      </w:pPr>
      <w:r>
        <w:t>2.</w:t>
      </w:r>
      <w:r>
        <w:tab/>
      </w:r>
      <w:r w:rsidR="00127987" w:rsidRPr="00127987">
        <w:t>Share the burden on APIs Specifications and Standardization and on Roadmaps in a harmonized and collaborative way;</w:t>
      </w:r>
    </w:p>
    <w:p w14:paraId="6678A637" w14:textId="72794BB8" w:rsidR="00127987" w:rsidRPr="00127987" w:rsidRDefault="00641C64" w:rsidP="00641C64">
      <w:pPr>
        <w:pStyle w:val="enumlev1"/>
        <w:bidi w:val="0"/>
      </w:pPr>
      <w:r>
        <w:t>3.</w:t>
      </w:r>
      <w:r>
        <w:tab/>
      </w:r>
      <w:r w:rsidR="00127987" w:rsidRPr="00127987">
        <w:t>Develop New use cases and services for Testbeds Suppliers that derive from the Testbeds Federations Reference Model and associated APIs, such as “Testbed-as-a Service” (</w:t>
      </w:r>
      <w:proofErr w:type="spellStart"/>
      <w:r w:rsidR="00127987" w:rsidRPr="00127987">
        <w:t>TaaS</w:t>
      </w:r>
      <w:proofErr w:type="spellEnd"/>
      <w:r w:rsidR="00127987" w:rsidRPr="00127987">
        <w:t xml:space="preserve">). </w:t>
      </w:r>
    </w:p>
    <w:p w14:paraId="3D8D752E" w14:textId="77777777" w:rsidR="00127987" w:rsidRPr="00127987" w:rsidRDefault="00127987" w:rsidP="00641C64">
      <w:pPr>
        <w:bidi w:val="0"/>
      </w:pPr>
      <w:r w:rsidRPr="00127987">
        <w:t>NOTE: Among the expected Stakeholders are: 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p>
    <w:p w14:paraId="76D54072" w14:textId="77777777" w:rsidR="00127987" w:rsidRPr="00127987" w:rsidRDefault="00127987" w:rsidP="00641C64">
      <w:pPr>
        <w:bidi w:val="0"/>
      </w:pPr>
      <w:r w:rsidRPr="00127987">
        <w:t xml:space="preserve">The Focus Group will also seek to elucidate the roles that can be played by the various Stakeholders in the Ecosystem for Testbeds Federations Standards and Use Cases. For that the FG-TBFxG will play a role in providing a platform to share views, to develop a series of deliverables associated with the topics above, and it will also offer a platform to players that may like to showcase initiatives and projects that align with the outlined vision and the desired Ecosystem on Testbeds Federations. The Focus Group will develop Specifications that may become a basis for further Standardization </w:t>
      </w:r>
      <w:proofErr w:type="gramStart"/>
      <w:r w:rsidRPr="00127987">
        <w:t>in the area of</w:t>
      </w:r>
      <w:proofErr w:type="gramEnd"/>
      <w:r w:rsidRPr="00127987">
        <w:t xml:space="preserve"> Testbeds Federations. It will invite non ITU-T members to participate in this work.</w:t>
      </w:r>
    </w:p>
    <w:p w14:paraId="6E165457" w14:textId="77777777" w:rsidR="00127987" w:rsidRPr="00127987" w:rsidRDefault="00127987" w:rsidP="00641C64">
      <w:pPr>
        <w:pStyle w:val="Heading1"/>
        <w:bidi w:val="0"/>
      </w:pPr>
      <w:r w:rsidRPr="00127987">
        <w:t>2.</w:t>
      </w:r>
      <w:r w:rsidRPr="00127987">
        <w:tab/>
        <w:t>Objectives of the FG-TBFxG</w:t>
      </w:r>
    </w:p>
    <w:p w14:paraId="69AE826B" w14:textId="77777777" w:rsidR="00127987" w:rsidRPr="00127987" w:rsidRDefault="00127987" w:rsidP="00641C64">
      <w:pPr>
        <w:bidi w:val="0"/>
      </w:pPr>
      <w:r w:rsidRPr="00127987">
        <w:t>FG-TBFxG will have the following objectives:</w:t>
      </w:r>
    </w:p>
    <w:p w14:paraId="66CE239A" w14:textId="4D8D02C8"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To define a set of APIs definitions that complement the ongoing ITU-T SG11 study activities related to Testbed Federations and APIs of the Testbeds Federations Reference Model;</w:t>
      </w:r>
    </w:p>
    <w:p w14:paraId="0D38B7E5" w14:textId="4FF1027B"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To collect Use Cases for Testbeds Federations of relevance to IMT-2020 and beyond;</w:t>
      </w:r>
    </w:p>
    <w:p w14:paraId="53F383B6" w14:textId="6BF9164D" w:rsidR="00127987" w:rsidRPr="00127987" w:rsidRDefault="00641C64" w:rsidP="00641C64">
      <w:pPr>
        <w:pStyle w:val="enumlev1"/>
        <w:bidi w:val="0"/>
      </w:pPr>
      <w:bookmarkStart w:id="2" w:name="_Hlk69648726"/>
      <w:r>
        <w:rPr>
          <w:rFonts w:ascii="Times New Roman" w:hAnsi="Times New Roman" w:cs="Times New Roman"/>
        </w:rPr>
        <w:t>●</w:t>
      </w:r>
      <w:r>
        <w:rPr>
          <w:rFonts w:ascii="Times New Roman" w:hAnsi="Times New Roman" w:cs="Times New Roman"/>
        </w:rPr>
        <w:tab/>
      </w:r>
      <w:r w:rsidR="00127987" w:rsidRPr="00127987">
        <w:t>To identify use cases and services based on Testbed Federations reference model that should be considered for various types of Stakeholders on the benefits of them joining the ecosystem around Testbeds Federations for IMT-2020 and beyond;</w:t>
      </w:r>
    </w:p>
    <w:bookmarkEnd w:id="2"/>
    <w:p w14:paraId="4010CDCF" w14:textId="4DD97E36" w:rsidR="00127987" w:rsidRPr="00F1576D" w:rsidRDefault="00641C64" w:rsidP="00641C64">
      <w:pPr>
        <w:pStyle w:val="enumlev1"/>
        <w:bidi w:val="0"/>
        <w:rPr>
          <w:spacing w:val="-2"/>
        </w:rPr>
      </w:pPr>
      <w:r w:rsidRPr="00F1576D">
        <w:rPr>
          <w:rFonts w:ascii="Times New Roman" w:hAnsi="Times New Roman" w:cs="Times New Roman"/>
          <w:spacing w:val="-2"/>
        </w:rPr>
        <w:t>●</w:t>
      </w:r>
      <w:r w:rsidRPr="00F1576D">
        <w:rPr>
          <w:rFonts w:ascii="Times New Roman" w:hAnsi="Times New Roman" w:cs="Times New Roman"/>
          <w:spacing w:val="-2"/>
        </w:rPr>
        <w:tab/>
      </w:r>
      <w:r w:rsidR="00127987" w:rsidRPr="00F1576D">
        <w:rPr>
          <w:spacing w:val="-2"/>
        </w:rPr>
        <w:t>To study the various Topics/Points compiled in the Key Takeaways from the ITU-T, ETSI, IEEE Joint SDOs Brainstorming Workshop on Testbeds Federations for 5G &amp; Beyond (</w:t>
      </w:r>
      <w:hyperlink r:id="rId25" w:history="1">
        <w:r w:rsidR="00127987" w:rsidRPr="00F1576D">
          <w:rPr>
            <w:rStyle w:val="Hyperlink"/>
            <w:spacing w:val="-2"/>
          </w:rPr>
          <w:t>www.itu.int/go/BTF4-5G</w:t>
        </w:r>
      </w:hyperlink>
      <w:r w:rsidR="00127987" w:rsidRPr="00F1576D">
        <w:rPr>
          <w:spacing w:val="-2"/>
        </w:rPr>
        <w:t xml:space="preserve">) in order to take them into consideration in the work of the Focus </w:t>
      </w:r>
      <w:proofErr w:type="gramStart"/>
      <w:r w:rsidR="00127987" w:rsidRPr="00F1576D">
        <w:rPr>
          <w:spacing w:val="-2"/>
        </w:rPr>
        <w:t>Group;</w:t>
      </w:r>
      <w:proofErr w:type="gramEnd"/>
    </w:p>
    <w:p w14:paraId="5FB45F3B" w14:textId="2BCBA95F"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To identify Metrics/Key Performance Indicators (KPIs) of relevance to Use Cases for Testbed Federations per and across ICT industry sectors in different domains (verticals); and propose methods/mappings by which E2E relationships among various metrics (</w:t>
      </w:r>
      <w:proofErr w:type="gramStart"/>
      <w:r w:rsidR="00127987" w:rsidRPr="00127987">
        <w:t>e.g.</w:t>
      </w:r>
      <w:proofErr w:type="gramEnd"/>
      <w:r w:rsidR="00127987" w:rsidRPr="00127987">
        <w:t xml:space="preserve"> KPIs) across Testbeds can be defined (see NOTE below):</w:t>
      </w:r>
    </w:p>
    <w:p w14:paraId="25B63CE4" w14:textId="77777777" w:rsidR="00127987" w:rsidRPr="00127987" w:rsidRDefault="00127987" w:rsidP="00641C64">
      <w:pPr>
        <w:pStyle w:val="enumlev2"/>
        <w:bidi w:val="0"/>
        <w:ind w:left="794" w:firstLine="0"/>
      </w:pPr>
      <w:r w:rsidRPr="00127987">
        <w:lastRenderedPageBreak/>
        <w:t>NOTE: Among KPIs for Testbed Federations are:</w:t>
      </w:r>
      <w:r w:rsidRPr="00127987">
        <w:br/>
      </w:r>
      <w:r w:rsidRPr="00127987">
        <w:rPr>
          <w:b/>
          <w:bCs/>
        </w:rPr>
        <w:t>(1)</w:t>
      </w:r>
      <w:r w:rsidRPr="00127987">
        <w:t xml:space="preserve"> KPIs of relevance to a Technology or combined Technologies that are being Tested using Federated Testbeds such that the measured KPIs help in the Test Cases verdicts setting;</w:t>
      </w:r>
      <w:r w:rsidRPr="00127987">
        <w:br/>
      </w:r>
      <w:r w:rsidRPr="00127987">
        <w:rPr>
          <w:b/>
          <w:bCs/>
        </w:rPr>
        <w:t>(2)</w:t>
      </w:r>
      <w:r w:rsidRPr="00127987">
        <w:t xml:space="preserve"> KPIs of relevance to utilization, availability, capabilities, customer-experience (satisfaction) of the Testbeds and their resources being consumed or can be consumed in Testbed usage in a Test Scenario;</w:t>
      </w:r>
      <w:r w:rsidRPr="00127987">
        <w:br/>
      </w:r>
      <w:r w:rsidRPr="00127987">
        <w:rPr>
          <w:b/>
          <w:bCs/>
        </w:rPr>
        <w:t>(3)</w:t>
      </w:r>
      <w:r w:rsidRPr="00127987">
        <w:t xml:space="preserve"> Non-technical KPIs that relate to Testbed Service Offerings and Consumption </w:t>
      </w:r>
    </w:p>
    <w:p w14:paraId="5B4AC43A" w14:textId="3F1B95E9"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 xml:space="preserve">To develop guidance to Research and Industry communities working on IMT-2020and beyond on how to use the Testbeds Reference Model to contribute to the development of the APIs being prescribed by the Testbeds Reference Model, </w:t>
      </w:r>
      <w:proofErr w:type="gramStart"/>
      <w:r w:rsidR="00127987" w:rsidRPr="00127987">
        <w:t>and also</w:t>
      </w:r>
      <w:proofErr w:type="gramEnd"/>
      <w:r w:rsidR="00127987" w:rsidRPr="00127987">
        <w:t xml:space="preserve"> contribute to various instantiations cases of the Reference Model</w:t>
      </w:r>
    </w:p>
    <w:p w14:paraId="5E56D742" w14:textId="2052E5A3"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 xml:space="preserve">To facilitate discussions by which various SDOs/Fora can share ideas on how they can potentially share the burden on APIs Specifications and Standardization and on Roadmaps in a harmonized and collaborative way, based on the Testbeds Federations Reference Model, and produce a matrix that maps SDOs/Fora and other Stakeholders to </w:t>
      </w:r>
      <w:proofErr w:type="gramStart"/>
      <w:r w:rsidR="00127987" w:rsidRPr="00127987">
        <w:t>APIs</w:t>
      </w:r>
      <w:proofErr w:type="gramEnd"/>
      <w:r w:rsidR="00127987" w:rsidRPr="00127987">
        <w:t xml:space="preserve"> types they will be addressing or have interest to address;</w:t>
      </w:r>
    </w:p>
    <w:p w14:paraId="448CF849" w14:textId="27405776"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To define Potential New use cases and services for Testbeds Suppliers that derive from the Testbeds Federations Reference Model and associated APIs, such as “Testbed-as-a Service” (</w:t>
      </w:r>
      <w:proofErr w:type="spellStart"/>
      <w:r w:rsidR="00127987" w:rsidRPr="00127987">
        <w:t>TaaS</w:t>
      </w:r>
      <w:proofErr w:type="spellEnd"/>
      <w:r w:rsidR="00127987" w:rsidRPr="00127987">
        <w:t>);</w:t>
      </w:r>
    </w:p>
    <w:p w14:paraId="6F1DE547" w14:textId="6A681B03" w:rsidR="00127987" w:rsidRPr="00127987" w:rsidRDefault="00641C64" w:rsidP="00641C64">
      <w:pPr>
        <w:pStyle w:val="enumlev1"/>
        <w:bidi w:val="0"/>
      </w:pPr>
      <w:bookmarkStart w:id="3" w:name="_Hlk69590261"/>
      <w:r>
        <w:rPr>
          <w:rFonts w:ascii="Times New Roman" w:hAnsi="Times New Roman" w:cs="Times New Roman"/>
        </w:rPr>
        <w:t>●</w:t>
      </w:r>
      <w:r>
        <w:rPr>
          <w:rFonts w:ascii="Times New Roman" w:hAnsi="Times New Roman" w:cs="Times New Roman"/>
        </w:rPr>
        <w:tab/>
      </w:r>
      <w:r w:rsidR="00127987" w:rsidRPr="00127987">
        <w:t xml:space="preserve">To </w:t>
      </w:r>
      <w:bookmarkEnd w:id="3"/>
      <w:r w:rsidR="00127987" w:rsidRPr="00127987">
        <w:t>develop guidelines to Owners of Existing Testbeds and Platforms for IMT-2020 and beyond on how they could embark on Transformation or Evolution of existing Testbeds (Industry-grade, and potential Research Testbeds as well) and their Federation APIs to meet the requirements of the Testbeds Federation reference model (ITU-T Q.4068);</w:t>
      </w:r>
    </w:p>
    <w:p w14:paraId="68F1D00C" w14:textId="36E1376E"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 xml:space="preserve">To develop guidelines to the </w:t>
      </w:r>
      <w:proofErr w:type="gramStart"/>
      <w:r w:rsidR="00127987" w:rsidRPr="00127987">
        <w:t>Industry</w:t>
      </w:r>
      <w:proofErr w:type="gramEnd"/>
      <w:r w:rsidR="00127987" w:rsidRPr="00127987">
        <w:t xml:space="preserve"> on how to address the Challenges that need to be addressed as guided by the Reference Model and APIs for Testbeds Federations for IMT-2020 and beyond;</w:t>
      </w:r>
    </w:p>
    <w:p w14:paraId="1FC754EC" w14:textId="79183BAB" w:rsidR="00127987" w:rsidRPr="00127987" w:rsidRDefault="00641C64" w:rsidP="00641C64">
      <w:pPr>
        <w:pStyle w:val="enumlev1"/>
        <w:bidi w:val="0"/>
        <w:rPr>
          <w:bCs/>
        </w:rPr>
      </w:pPr>
      <w:r>
        <w:rPr>
          <w:rFonts w:ascii="Times New Roman" w:hAnsi="Times New Roman" w:cs="Times New Roman"/>
        </w:rPr>
        <w:t>●</w:t>
      </w:r>
      <w:r>
        <w:rPr>
          <w:rFonts w:ascii="Times New Roman" w:hAnsi="Times New Roman" w:cs="Times New Roman"/>
        </w:rPr>
        <w:tab/>
      </w:r>
      <w:r w:rsidR="00127987" w:rsidRPr="00127987">
        <w:t xml:space="preserve">To </w:t>
      </w:r>
      <w:bookmarkStart w:id="4" w:name="_Hlk69942617"/>
      <w:r w:rsidR="00127987" w:rsidRPr="00127987">
        <w:t xml:space="preserve">identify any </w:t>
      </w:r>
      <w:r w:rsidR="00127987" w:rsidRPr="00127987">
        <w:rPr>
          <w:bCs/>
        </w:rPr>
        <w:t>Regulatory requirements and other aspects of relevance to Testbeds Federations and engage the relevant Stakeholders on how such aspects can be addressed;</w:t>
      </w:r>
    </w:p>
    <w:bookmarkEnd w:id="4"/>
    <w:p w14:paraId="3D119F2D" w14:textId="31B5FE9E" w:rsidR="00127987" w:rsidRPr="00127987" w:rsidRDefault="00641C64" w:rsidP="00641C64">
      <w:pPr>
        <w:pStyle w:val="enumlev1"/>
        <w:bidi w:val="0"/>
        <w:rPr>
          <w:bCs/>
        </w:rPr>
      </w:pPr>
      <w:r>
        <w:rPr>
          <w:rFonts w:ascii="Times New Roman" w:hAnsi="Times New Roman" w:cs="Times New Roman"/>
        </w:rPr>
        <w:t>●</w:t>
      </w:r>
      <w:r>
        <w:rPr>
          <w:rFonts w:ascii="Times New Roman" w:hAnsi="Times New Roman" w:cs="Times New Roman"/>
        </w:rPr>
        <w:tab/>
      </w:r>
      <w:r w:rsidR="00127987" w:rsidRPr="00127987">
        <w:t>To</w:t>
      </w:r>
      <w:r w:rsidR="00127987" w:rsidRPr="00127987">
        <w:rPr>
          <w:bCs/>
        </w:rPr>
        <w:t xml:space="preserve"> define steps that can be pursued by the Industry towards Developing and Maintaining ONPs (Open Networking Platforms) for IMT-2020 and beyond, and the Use of the Testbeds Federations Reference Model and APIs to build ONPs;</w:t>
      </w:r>
    </w:p>
    <w:p w14:paraId="68145916" w14:textId="2DF5B1AA" w:rsidR="00127987" w:rsidRPr="00127987" w:rsidRDefault="00641C64" w:rsidP="00641C64">
      <w:pPr>
        <w:pStyle w:val="enumlev1"/>
        <w:bidi w:val="0"/>
        <w:rPr>
          <w:bCs/>
        </w:rPr>
      </w:pPr>
      <w:r>
        <w:rPr>
          <w:rFonts w:ascii="Times New Roman" w:hAnsi="Times New Roman" w:cs="Times New Roman"/>
        </w:rPr>
        <w:t>●</w:t>
      </w:r>
      <w:r>
        <w:rPr>
          <w:rFonts w:ascii="Times New Roman" w:hAnsi="Times New Roman" w:cs="Times New Roman"/>
        </w:rPr>
        <w:tab/>
      </w:r>
      <w:r w:rsidR="00127987" w:rsidRPr="00127987">
        <w:rPr>
          <w:bCs/>
        </w:rPr>
        <w:t>To develop reports of the FG activities on reference model and APIs for testbeds federation after the FG finished its work;</w:t>
      </w:r>
    </w:p>
    <w:p w14:paraId="6FAA95BA" w14:textId="45AD9E6D"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 xml:space="preserve">To encourage participation from various projects and fora in the activities of the </w:t>
      </w:r>
      <w:r w:rsidR="00127987" w:rsidRPr="00127987">
        <w:rPr>
          <w:bCs/>
        </w:rPr>
        <w:t>FG-TBFxG</w:t>
      </w:r>
      <w:r w:rsidR="00127987" w:rsidRPr="00127987">
        <w:t>.</w:t>
      </w:r>
    </w:p>
    <w:p w14:paraId="7E3F009F" w14:textId="77777777" w:rsidR="00127987" w:rsidRPr="00127987" w:rsidRDefault="00127987" w:rsidP="00641C64">
      <w:pPr>
        <w:pStyle w:val="Heading1"/>
        <w:bidi w:val="0"/>
      </w:pPr>
      <w:r w:rsidRPr="00127987">
        <w:t>3.</w:t>
      </w:r>
      <w:r w:rsidRPr="00127987">
        <w:tab/>
        <w:t>Structure</w:t>
      </w:r>
    </w:p>
    <w:p w14:paraId="5207BDEF" w14:textId="77777777" w:rsidR="00127987" w:rsidRPr="00127987" w:rsidRDefault="00127987" w:rsidP="00641C64">
      <w:pPr>
        <w:bidi w:val="0"/>
      </w:pPr>
      <w:r w:rsidRPr="00127987">
        <w:t>The FG-TBFxG may establish sub-groups as needed. To coordinate operations and provide guidance to subgroups, there will be a chair and vice-chairs.</w:t>
      </w:r>
    </w:p>
    <w:p w14:paraId="0E0E6281" w14:textId="77777777" w:rsidR="00127987" w:rsidRPr="00127987" w:rsidRDefault="00127987" w:rsidP="00641C64">
      <w:pPr>
        <w:pStyle w:val="Heading1"/>
        <w:bidi w:val="0"/>
      </w:pPr>
      <w:r w:rsidRPr="00127987">
        <w:t>4.</w:t>
      </w:r>
      <w:r w:rsidRPr="00127987">
        <w:tab/>
        <w:t>Specific Tasks and Deliverables</w:t>
      </w:r>
    </w:p>
    <w:p w14:paraId="58E598D2" w14:textId="77777777" w:rsidR="00127987" w:rsidRPr="00127987" w:rsidRDefault="00127987" w:rsidP="00641C64">
      <w:pPr>
        <w:bidi w:val="0"/>
      </w:pPr>
      <w:r w:rsidRPr="00127987">
        <w:t>Tasks and deliverables developed by FG-TBFxG may include the following:</w:t>
      </w:r>
    </w:p>
    <w:p w14:paraId="7B24A5B3" w14:textId="30A38301"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Gathering information about ongoing standardization initiatives on Testbed Federations and related APIs being standardized by SDOs/Fora (</w:t>
      </w:r>
      <w:proofErr w:type="gramStart"/>
      <w:r w:rsidR="00127987" w:rsidRPr="00127987">
        <w:t>e.g.</w:t>
      </w:r>
      <w:proofErr w:type="gramEnd"/>
      <w:r w:rsidR="00127987" w:rsidRPr="00127987">
        <w:t xml:space="preserve"> ITU-T SG11, IEEE INGR, ETSI TC INT, TM Forum, </w:t>
      </w:r>
      <w:proofErr w:type="spellStart"/>
      <w:r w:rsidR="00127987" w:rsidRPr="00127987">
        <w:t>BroadBand</w:t>
      </w:r>
      <w:proofErr w:type="spellEnd"/>
      <w:r w:rsidR="00127987" w:rsidRPr="00127987">
        <w:t xml:space="preserve"> Forum (BBF)). The aim of this task is to amend the ongoing SG11 standardization work on this subject matter;</w:t>
      </w:r>
    </w:p>
    <w:p w14:paraId="47F5B611" w14:textId="0BE59B2D" w:rsidR="00127987" w:rsidRPr="00127987" w:rsidRDefault="00641C64" w:rsidP="00641C64">
      <w:pPr>
        <w:pStyle w:val="enumlev1"/>
        <w:bidi w:val="0"/>
      </w:pPr>
      <w:r>
        <w:rPr>
          <w:rFonts w:ascii="Times New Roman" w:hAnsi="Times New Roman" w:cs="Times New Roman"/>
        </w:rPr>
        <w:lastRenderedPageBreak/>
        <w:t>●</w:t>
      </w:r>
      <w:r>
        <w:rPr>
          <w:rFonts w:ascii="Times New Roman" w:hAnsi="Times New Roman" w:cs="Times New Roman"/>
        </w:rPr>
        <w:tab/>
      </w:r>
      <w:r w:rsidR="00127987" w:rsidRPr="00127987">
        <w:t xml:space="preserve">Developing an APIs Invocations Framework as part of the Testbeds Federations Reference Model being standardized by ITU-T SG11, by which Generic APIs invoke Testbed-specific specialized APIs in specific </w:t>
      </w:r>
      <w:proofErr w:type="gramStart"/>
      <w:r w:rsidR="00127987" w:rsidRPr="00127987">
        <w:t>Testbeds</w:t>
      </w:r>
      <w:proofErr w:type="gramEnd"/>
      <w:r w:rsidR="00127987" w:rsidRPr="00127987">
        <w:t xml:space="preserve"> Types during execution of Use Cases for Testbeds and Testbeds Federations;</w:t>
      </w:r>
    </w:p>
    <w:p w14:paraId="385695B3" w14:textId="027ED0B6"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Defining use cases for Testbeds Federations of relevance to IMT-2020 and beyond for different ICT industrial sectors based on the Testbeds Federations Reference Model and solicitations of inputs from relevant players in different domains (verticals) (</w:t>
      </w:r>
      <w:proofErr w:type="gramStart"/>
      <w:r w:rsidR="00127987" w:rsidRPr="00127987">
        <w:t>e.g.</w:t>
      </w:r>
      <w:proofErr w:type="gramEnd"/>
      <w:r w:rsidR="00127987" w:rsidRPr="00127987">
        <w:t xml:space="preserve"> IoT, Autonomic/Autonomous Networks (ANs);</w:t>
      </w:r>
    </w:p>
    <w:p w14:paraId="6CB9C09A" w14:textId="561994E8"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 xml:space="preserve">Studying existing and ongoing Initiatives in Research and Industry on IMT-2020 and beyond, on APIs of relevance to the Testbeds Federations Reference </w:t>
      </w:r>
      <w:proofErr w:type="gramStart"/>
      <w:r w:rsidR="00127987" w:rsidRPr="00127987">
        <w:t>Model(</w:t>
      </w:r>
      <w:proofErr w:type="gramEnd"/>
      <w:r w:rsidR="00127987" w:rsidRPr="00127987">
        <w:t>ITU-T Q.4068), and provide guidelines on how the stakeholders can implement the standardized Testbeds Federations Reference Model or its Instantiations for various types of Testbeds;</w:t>
      </w:r>
    </w:p>
    <w:p w14:paraId="2D1EC636" w14:textId="2E726A5E"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Providing a Framework on how transformations or enhancements/evolutions may be pursued by the community to make existing IMT-2020 related Testbeds APIs fit to the Reference Model and its APIs Invocations Framework;</w:t>
      </w:r>
    </w:p>
    <w:p w14:paraId="10A6DF9C" w14:textId="766759B5"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Defining Potential New use cases and services for Testbeds Suppliers or Owners that derive from the Testbeds Federations Reference Model and associated APIs, such as “Testbed-as-a Service” (</w:t>
      </w:r>
      <w:proofErr w:type="spellStart"/>
      <w:r w:rsidR="00127987" w:rsidRPr="00127987">
        <w:t>TaaS</w:t>
      </w:r>
      <w:proofErr w:type="spellEnd"/>
      <w:r w:rsidR="00127987" w:rsidRPr="00127987">
        <w:t>);</w:t>
      </w:r>
    </w:p>
    <w:p w14:paraId="6CDD1CEA" w14:textId="75E9727B" w:rsidR="00127987" w:rsidRPr="00127987" w:rsidRDefault="00641C64" w:rsidP="00641C64">
      <w:pPr>
        <w:pStyle w:val="enumlev1"/>
        <w:bidi w:val="0"/>
        <w:rPr>
          <w:bCs/>
        </w:rPr>
      </w:pPr>
      <w:r>
        <w:rPr>
          <w:rFonts w:ascii="Times New Roman" w:hAnsi="Times New Roman" w:cs="Times New Roman"/>
        </w:rPr>
        <w:t>●</w:t>
      </w:r>
      <w:r>
        <w:rPr>
          <w:rFonts w:ascii="Times New Roman" w:hAnsi="Times New Roman" w:cs="Times New Roman"/>
        </w:rPr>
        <w:tab/>
      </w:r>
      <w:proofErr w:type="spellStart"/>
      <w:r w:rsidR="00127987" w:rsidRPr="00127987">
        <w:t>Organising</w:t>
      </w:r>
      <w:proofErr w:type="spellEnd"/>
      <w:r w:rsidR="00127987" w:rsidRPr="00127987">
        <w:t xml:space="preserve"> thematic workshops and forums on Testbeds Federations for IMT-2020 and beyond. These workshops and forums are expected to bring together all stakeholders including policy makers, ICT sector members, national telecommunication authorities, academia, SDOs/Fora, UN agencies to discuss various aspects related</w:t>
      </w:r>
      <w:r w:rsidR="00127987" w:rsidRPr="00127987">
        <w:rPr>
          <w:bCs/>
        </w:rPr>
        <w:t xml:space="preserve"> to Testbeds Federations for IMT-2020 and beyond;</w:t>
      </w:r>
    </w:p>
    <w:p w14:paraId="79AB3484" w14:textId="17D9D119" w:rsidR="00127987" w:rsidRPr="00127987" w:rsidRDefault="00641C64" w:rsidP="00641C64">
      <w:pPr>
        <w:pStyle w:val="enumlev1"/>
        <w:bidi w:val="0"/>
        <w:rPr>
          <w:bCs/>
        </w:rPr>
      </w:pPr>
      <w:r>
        <w:rPr>
          <w:rFonts w:ascii="Times New Roman" w:hAnsi="Times New Roman" w:cs="Times New Roman"/>
        </w:rPr>
        <w:t>●</w:t>
      </w:r>
      <w:r>
        <w:rPr>
          <w:rFonts w:ascii="Times New Roman" w:hAnsi="Times New Roman" w:cs="Times New Roman"/>
        </w:rPr>
        <w:tab/>
      </w:r>
      <w:r w:rsidR="00127987" w:rsidRPr="00127987">
        <w:rPr>
          <w:bCs/>
        </w:rPr>
        <w:t xml:space="preserve">Identifying and selecting relevant </w:t>
      </w:r>
      <w:r w:rsidR="00127987" w:rsidRPr="00127987">
        <w:t xml:space="preserve">projects and fora </w:t>
      </w:r>
      <w:r w:rsidR="00127987" w:rsidRPr="00127987">
        <w:rPr>
          <w:bCs/>
        </w:rPr>
        <w:t>that can be used in Testbed Federations for IMT-2020 and beyond that conform to the SG11’s Reference Model for Testbeds Federations and its APIs; and promote the vision to the relevant Open Source/Hardware Projects/Forums;</w:t>
      </w:r>
    </w:p>
    <w:p w14:paraId="380AA15E" w14:textId="1A375BAA"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Developing Technical Reports and Specifications which address the outlined items such as APIs and Frameworks, while also identifying future standardization work for ITU-T study groups in the area of Federated Testbeds for IMT-2020 and beyond (as described in the objectives</w:t>
      </w:r>
      <w:proofErr w:type="gramStart"/>
      <w:r w:rsidR="00127987" w:rsidRPr="00127987">
        <w:t>);</w:t>
      </w:r>
      <w:proofErr w:type="gramEnd"/>
    </w:p>
    <w:p w14:paraId="0ADD5EE8" w14:textId="58C44958" w:rsidR="00127987" w:rsidRPr="00127987" w:rsidRDefault="00641C64" w:rsidP="00641C64">
      <w:pPr>
        <w:pStyle w:val="enumlev1"/>
        <w:bidi w:val="0"/>
      </w:pPr>
      <w:r>
        <w:rPr>
          <w:rFonts w:ascii="Times New Roman" w:hAnsi="Times New Roman" w:cs="Times New Roman"/>
        </w:rPr>
        <w:t>●</w:t>
      </w:r>
      <w:r>
        <w:rPr>
          <w:rFonts w:ascii="Times New Roman" w:hAnsi="Times New Roman" w:cs="Times New Roman"/>
        </w:rPr>
        <w:tab/>
      </w:r>
      <w:r w:rsidR="00127987" w:rsidRPr="00127987">
        <w:t>Communicating the final list of deliverables to SG11, at least four calendar weeks before the parent group’s next meeting.</w:t>
      </w:r>
    </w:p>
    <w:p w14:paraId="698E8FE5" w14:textId="77777777" w:rsidR="00127987" w:rsidRPr="00127987" w:rsidRDefault="00127987" w:rsidP="00641C64">
      <w:pPr>
        <w:pStyle w:val="Heading1"/>
        <w:bidi w:val="0"/>
      </w:pPr>
      <w:r w:rsidRPr="00127987">
        <w:t>5.</w:t>
      </w:r>
      <w:r w:rsidRPr="00127987">
        <w:tab/>
        <w:t>Relationships</w:t>
      </w:r>
    </w:p>
    <w:p w14:paraId="1D332513" w14:textId="77777777" w:rsidR="00127987" w:rsidRPr="00127987" w:rsidRDefault="00127987" w:rsidP="00641C64">
      <w:pPr>
        <w:bidi w:val="0"/>
      </w:pPr>
      <w:r w:rsidRPr="00127987">
        <w:t xml:space="preserve">This Focus Group will work closely with SG11 through collocated meetings where and when possible and will work in close coordination with all ITU-T Study Groups as appropriate. </w:t>
      </w:r>
    </w:p>
    <w:p w14:paraId="4E221E6C" w14:textId="77777777" w:rsidR="00127987" w:rsidRPr="00127987" w:rsidRDefault="00127987" w:rsidP="00641C64">
      <w:pPr>
        <w:bidi w:val="0"/>
      </w:pPr>
      <w:r w:rsidRPr="00127987">
        <w:t>This FG–TBF5G will also collaborate (as required) with other relevant entities, in accordance with Recommendation ITU-T A.7.</w:t>
      </w:r>
    </w:p>
    <w:p w14:paraId="0DF5EAE1" w14:textId="77777777" w:rsidR="00127987" w:rsidRPr="00127987" w:rsidRDefault="00127987" w:rsidP="00641C64">
      <w:pPr>
        <w:bidi w:val="0"/>
      </w:pPr>
      <w:r w:rsidRPr="00127987">
        <w:t>It will establish close collaboration with other SDOs/Fora (</w:t>
      </w:r>
      <w:proofErr w:type="gramStart"/>
      <w:r w:rsidRPr="00127987">
        <w:t>e.g.</w:t>
      </w:r>
      <w:proofErr w:type="gramEnd"/>
      <w:r w:rsidRPr="00127987">
        <w:t xml:space="preserve"> IEEE, ETSI, </w:t>
      </w:r>
      <w:proofErr w:type="spellStart"/>
      <w:r w:rsidRPr="00127987">
        <w:t>TMForum</w:t>
      </w:r>
      <w:proofErr w:type="spellEnd"/>
      <w:r w:rsidRPr="00127987">
        <w:t xml:space="preserve">, </w:t>
      </w:r>
      <w:proofErr w:type="spellStart"/>
      <w:r w:rsidRPr="00127987">
        <w:t>BroadBand</w:t>
      </w:r>
      <w:proofErr w:type="spellEnd"/>
      <w:r w:rsidRPr="00127987">
        <w:t xml:space="preserve"> Forum (BBF), TIP, ORAN, NGMN, 3GPP, etc.), municipalities, non-governmental organizations (NGOs), policy makers, companies, academic institutions, research institutions and other relevant organizations.</w:t>
      </w:r>
    </w:p>
    <w:p w14:paraId="2E4084D1" w14:textId="77777777" w:rsidR="00127987" w:rsidRPr="00127987" w:rsidRDefault="00127987" w:rsidP="00641C64">
      <w:pPr>
        <w:pStyle w:val="Heading1"/>
        <w:bidi w:val="0"/>
      </w:pPr>
      <w:r w:rsidRPr="00127987">
        <w:t>6.</w:t>
      </w:r>
      <w:r w:rsidRPr="00127987">
        <w:tab/>
        <w:t>Parent group</w:t>
      </w:r>
    </w:p>
    <w:p w14:paraId="7C341FE9" w14:textId="77777777" w:rsidR="00127987" w:rsidRPr="00127987" w:rsidRDefault="00127987" w:rsidP="00641C64">
      <w:pPr>
        <w:bidi w:val="0"/>
      </w:pPr>
      <w:r w:rsidRPr="00127987">
        <w:t>The parent group of the FG-TBFxG is ITU-T Study Group 11 “Signalling requirements, protocols, test specifications and combating counterfeit products”.</w:t>
      </w:r>
    </w:p>
    <w:p w14:paraId="76B9339D" w14:textId="77777777" w:rsidR="00127987" w:rsidRPr="00127987" w:rsidRDefault="00127987" w:rsidP="00641C64">
      <w:pPr>
        <w:bidi w:val="0"/>
      </w:pPr>
      <w:r w:rsidRPr="00127987">
        <w:lastRenderedPageBreak/>
        <w:t>Among others, SG11 leads ITU activities on establishing test specifications, conformance and interoperability testing for all types of networks, technologies and services that are the subject of study and standardization by all ITU</w:t>
      </w:r>
      <w:r w:rsidRPr="00127987">
        <w:noBreakHyphen/>
        <w:t>T study groups.</w:t>
      </w:r>
    </w:p>
    <w:p w14:paraId="39FE058C" w14:textId="77777777" w:rsidR="00127987" w:rsidRPr="00127987" w:rsidRDefault="00127987" w:rsidP="00641C64">
      <w:pPr>
        <w:pStyle w:val="Heading1"/>
        <w:bidi w:val="0"/>
      </w:pPr>
      <w:r w:rsidRPr="00127987">
        <w:t>7.</w:t>
      </w:r>
      <w:r w:rsidRPr="00127987">
        <w:tab/>
        <w:t>Leadership</w:t>
      </w:r>
    </w:p>
    <w:p w14:paraId="61279AE8" w14:textId="77777777" w:rsidR="00127987" w:rsidRPr="00127987" w:rsidRDefault="00127987" w:rsidP="00641C64">
      <w:pPr>
        <w:bidi w:val="0"/>
      </w:pPr>
      <w:r w:rsidRPr="00127987">
        <w:t>The stipulations in clause 2.3 of Recommendation ITU-T A.7 apply.</w:t>
      </w:r>
    </w:p>
    <w:p w14:paraId="476EA852" w14:textId="77777777" w:rsidR="00127987" w:rsidRPr="00127987" w:rsidRDefault="00127987" w:rsidP="00641C64">
      <w:pPr>
        <w:pStyle w:val="Heading1"/>
        <w:bidi w:val="0"/>
      </w:pPr>
      <w:r w:rsidRPr="00127987">
        <w:t>8.</w:t>
      </w:r>
      <w:r w:rsidRPr="00127987">
        <w:tab/>
        <w:t>Participation</w:t>
      </w:r>
    </w:p>
    <w:p w14:paraId="7B3C3D28" w14:textId="77777777" w:rsidR="00127987" w:rsidRPr="00127987" w:rsidRDefault="00127987" w:rsidP="00641C64">
      <w:pPr>
        <w:bidi w:val="0"/>
      </w:pPr>
      <w:r w:rsidRPr="00127987">
        <w:t>See clause 3.1 of Recommendation ITU-T A.7.</w:t>
      </w:r>
    </w:p>
    <w:p w14:paraId="510332E6" w14:textId="77777777" w:rsidR="00127987" w:rsidRPr="00127987" w:rsidRDefault="00127987" w:rsidP="00641C64">
      <w:pPr>
        <w:bidi w:val="0"/>
      </w:pPr>
      <w:r w:rsidRPr="00127987">
        <w:t>Any individual from a country that is a member of ITU and who is willing to contribute actively to the work may participate in the focus group. This includes individuals who are also members of international, regional and national organizations.</w:t>
      </w:r>
    </w:p>
    <w:p w14:paraId="02C475B4" w14:textId="77777777" w:rsidR="00127987" w:rsidRPr="00127987" w:rsidRDefault="00127987" w:rsidP="00641C64">
      <w:pPr>
        <w:bidi w:val="0"/>
        <w:rPr>
          <w:lang w:val="en-GB"/>
        </w:rPr>
      </w:pPr>
      <w:r w:rsidRPr="00127987">
        <w:t xml:space="preserve">A list of participants will be maintained for reference purposes and reported to the parent group. </w:t>
      </w:r>
    </w:p>
    <w:p w14:paraId="45E42D31" w14:textId="77777777" w:rsidR="00127987" w:rsidRPr="00127987" w:rsidRDefault="00127987" w:rsidP="00641C64">
      <w:pPr>
        <w:bidi w:val="0"/>
      </w:pPr>
      <w:r w:rsidRPr="00127987">
        <w:t xml:space="preserve">All participants are strongly encouraged to contribute to the FG’s activities. </w:t>
      </w:r>
    </w:p>
    <w:p w14:paraId="5DA6907C" w14:textId="77777777" w:rsidR="00127987" w:rsidRPr="00127987" w:rsidRDefault="00127987" w:rsidP="00641C64">
      <w:pPr>
        <w:pStyle w:val="Heading1"/>
        <w:bidi w:val="0"/>
      </w:pPr>
      <w:r w:rsidRPr="00127987">
        <w:t>9.</w:t>
      </w:r>
      <w:r w:rsidRPr="00127987">
        <w:tab/>
        <w:t>Administrative support</w:t>
      </w:r>
    </w:p>
    <w:p w14:paraId="5A01D42A" w14:textId="77777777" w:rsidR="00127987" w:rsidRPr="00127987" w:rsidRDefault="00127987" w:rsidP="00641C64">
      <w:pPr>
        <w:bidi w:val="0"/>
      </w:pPr>
      <w:r w:rsidRPr="00127987">
        <w:t>The stipulations in clause 5 of Recommendation ITU-T A.7 apply.</w:t>
      </w:r>
    </w:p>
    <w:p w14:paraId="13353769" w14:textId="77777777" w:rsidR="00127987" w:rsidRPr="00127987" w:rsidRDefault="00127987" w:rsidP="00641C64">
      <w:pPr>
        <w:pStyle w:val="Heading1"/>
        <w:bidi w:val="0"/>
      </w:pPr>
      <w:r w:rsidRPr="00127987">
        <w:t>10.</w:t>
      </w:r>
      <w:r w:rsidRPr="00127987">
        <w:tab/>
        <w:t>General financing</w:t>
      </w:r>
    </w:p>
    <w:p w14:paraId="7B9B7D0D" w14:textId="77777777" w:rsidR="00127987" w:rsidRPr="00127987" w:rsidRDefault="00127987" w:rsidP="00641C64">
      <w:pPr>
        <w:bidi w:val="0"/>
      </w:pPr>
      <w:r w:rsidRPr="00127987">
        <w:t xml:space="preserve">FG-TBFxG will follow the guidance in clause 4 of Recommendation ITU-T A.7 </w:t>
      </w:r>
      <w:proofErr w:type="gramStart"/>
      <w:r w:rsidRPr="00127987">
        <w:t>with regard to</w:t>
      </w:r>
      <w:proofErr w:type="gramEnd"/>
      <w:r w:rsidRPr="00127987">
        <w:t xml:space="preserve"> financing of focus groups and their meetings and clause 10.2 of Recommendation ITU-T A.7 with regard to printing and distribution of deliverables.</w:t>
      </w:r>
    </w:p>
    <w:p w14:paraId="1719479F" w14:textId="77777777" w:rsidR="00127987" w:rsidRPr="00127987" w:rsidRDefault="00127987" w:rsidP="00641C64">
      <w:pPr>
        <w:pStyle w:val="Heading1"/>
        <w:bidi w:val="0"/>
      </w:pPr>
      <w:r w:rsidRPr="00127987">
        <w:t>11.</w:t>
      </w:r>
      <w:r w:rsidRPr="00127987">
        <w:tab/>
        <w:t>Meetings</w:t>
      </w:r>
    </w:p>
    <w:p w14:paraId="3FDD67D1" w14:textId="77777777" w:rsidR="00127987" w:rsidRPr="00127987" w:rsidRDefault="00127987" w:rsidP="00641C64">
      <w:pPr>
        <w:bidi w:val="0"/>
      </w:pPr>
      <w:r w:rsidRPr="00127987">
        <w:t>The frequency and locations of meetings will be determined by the Focus Group management. The overall meetings plan will be announced after the approval of the terms of reference. The Focus Group will use remote collaboration tools to the maximum extent, and collocation with ITU-T SG11 meetings is encouraged.</w:t>
      </w:r>
    </w:p>
    <w:p w14:paraId="2BE49A96" w14:textId="77777777" w:rsidR="00127987" w:rsidRPr="00127987" w:rsidRDefault="00127987" w:rsidP="00641C64">
      <w:pPr>
        <w:bidi w:val="0"/>
      </w:pPr>
      <w:r w:rsidRPr="00127987">
        <w:t>The meeting dates will be announced by electronic means (e.g., e-mail and website, etc.) at least six weeks in advance.</w:t>
      </w:r>
    </w:p>
    <w:p w14:paraId="7C0B4847" w14:textId="77777777" w:rsidR="00127987" w:rsidRPr="00127987" w:rsidRDefault="00127987" w:rsidP="00641C64">
      <w:pPr>
        <w:pStyle w:val="Heading1"/>
        <w:bidi w:val="0"/>
      </w:pPr>
      <w:r w:rsidRPr="00127987">
        <w:t>12.</w:t>
      </w:r>
      <w:r w:rsidRPr="00127987">
        <w:tab/>
        <w:t>Technical contributions</w:t>
      </w:r>
    </w:p>
    <w:p w14:paraId="57E0B930" w14:textId="77777777" w:rsidR="00127987" w:rsidRPr="00127987" w:rsidRDefault="00127987" w:rsidP="00641C64">
      <w:pPr>
        <w:bidi w:val="0"/>
      </w:pPr>
      <w:r w:rsidRPr="00127987">
        <w:t>See clause 8 of Recommendation ITU-T A.7.</w:t>
      </w:r>
    </w:p>
    <w:p w14:paraId="632D47C4" w14:textId="77777777" w:rsidR="00127987" w:rsidRPr="00127987" w:rsidRDefault="00127987" w:rsidP="00641C64">
      <w:pPr>
        <w:bidi w:val="0"/>
      </w:pPr>
      <w:r w:rsidRPr="00127987">
        <w:t>Any participant may submit a technical contribution directly to FG-TBFxG, in accordance with the time schedule adopted. A template for contributions can be found on the ITU-T website. Electronic document transfer methods should be used whenever possible.</w:t>
      </w:r>
    </w:p>
    <w:p w14:paraId="5B272888" w14:textId="77777777" w:rsidR="00127987" w:rsidRPr="00127987" w:rsidRDefault="00127987" w:rsidP="00641C64">
      <w:pPr>
        <w:bidi w:val="0"/>
      </w:pPr>
      <w:r w:rsidRPr="00127987">
        <w:t xml:space="preserve">Deadline for contributions will be announced by FG Chairman for each </w:t>
      </w:r>
      <w:proofErr w:type="gramStart"/>
      <w:r w:rsidRPr="00127987">
        <w:t>particular meeting</w:t>
      </w:r>
      <w:proofErr w:type="gramEnd"/>
      <w:r w:rsidRPr="00127987">
        <w:t>.</w:t>
      </w:r>
    </w:p>
    <w:p w14:paraId="084ACCB1" w14:textId="77777777" w:rsidR="00127987" w:rsidRPr="00127987" w:rsidRDefault="00127987" w:rsidP="00641C64">
      <w:pPr>
        <w:pStyle w:val="Heading1"/>
        <w:bidi w:val="0"/>
      </w:pPr>
      <w:r w:rsidRPr="00127987">
        <w:t>13.</w:t>
      </w:r>
      <w:r w:rsidRPr="00127987">
        <w:tab/>
        <w:t>Working language</w:t>
      </w:r>
    </w:p>
    <w:p w14:paraId="389B4944" w14:textId="77777777" w:rsidR="00127987" w:rsidRPr="00127987" w:rsidRDefault="00127987" w:rsidP="00641C64">
      <w:pPr>
        <w:bidi w:val="0"/>
      </w:pPr>
      <w:r w:rsidRPr="00127987">
        <w:t>The working language is English.</w:t>
      </w:r>
    </w:p>
    <w:p w14:paraId="38567A90" w14:textId="77777777" w:rsidR="00127987" w:rsidRPr="00127987" w:rsidRDefault="00127987" w:rsidP="00641C64">
      <w:pPr>
        <w:pStyle w:val="Heading1"/>
        <w:bidi w:val="0"/>
      </w:pPr>
      <w:r w:rsidRPr="00127987">
        <w:lastRenderedPageBreak/>
        <w:t>14.</w:t>
      </w:r>
      <w:r w:rsidRPr="00127987">
        <w:tab/>
        <w:t>Approval of deliverables</w:t>
      </w:r>
    </w:p>
    <w:p w14:paraId="68A8BD61" w14:textId="77777777" w:rsidR="00127987" w:rsidRPr="00127987" w:rsidRDefault="00127987" w:rsidP="00641C64">
      <w:pPr>
        <w:bidi w:val="0"/>
      </w:pPr>
      <w:r w:rsidRPr="00127987">
        <w:t>Approval of deliverables shall be taken by consensus.</w:t>
      </w:r>
    </w:p>
    <w:p w14:paraId="2C760EA0" w14:textId="77777777" w:rsidR="00127987" w:rsidRPr="00127987" w:rsidRDefault="00127987" w:rsidP="00641C64">
      <w:pPr>
        <w:pStyle w:val="Heading1"/>
        <w:bidi w:val="0"/>
      </w:pPr>
      <w:r w:rsidRPr="00127987">
        <w:t>15.</w:t>
      </w:r>
      <w:r w:rsidRPr="00127987">
        <w:tab/>
        <w:t>Working guidelines</w:t>
      </w:r>
    </w:p>
    <w:p w14:paraId="481BE88A" w14:textId="77777777" w:rsidR="00127987" w:rsidRPr="00127987" w:rsidRDefault="00127987" w:rsidP="00641C64">
      <w:pPr>
        <w:bidi w:val="0"/>
      </w:pPr>
      <w:r w:rsidRPr="00127987">
        <w:t>Working procedures shall follow the procedures of Rapporteur group meetings.</w:t>
      </w:r>
    </w:p>
    <w:p w14:paraId="71B4DCDB" w14:textId="77777777" w:rsidR="00127987" w:rsidRPr="00127987" w:rsidRDefault="00127987" w:rsidP="00641C64">
      <w:pPr>
        <w:bidi w:val="0"/>
      </w:pPr>
      <w:r w:rsidRPr="00127987">
        <w:t>FG-TBFxG will exchange draft deliverables and other outcomes on a regular basis with its parent group, to ensure efficient transfer of deliverables to streamline future activities (see ITU-T A.7 Appendix I).</w:t>
      </w:r>
    </w:p>
    <w:p w14:paraId="4289BEE3" w14:textId="77777777" w:rsidR="00127987" w:rsidRPr="00127987" w:rsidRDefault="00127987" w:rsidP="00641C64">
      <w:pPr>
        <w:bidi w:val="0"/>
      </w:pPr>
      <w:r w:rsidRPr="00127987">
        <w:t>No additional working guidelines are defined.</w:t>
      </w:r>
    </w:p>
    <w:p w14:paraId="396CD1B9" w14:textId="77777777" w:rsidR="00127987" w:rsidRPr="00127987" w:rsidRDefault="00127987" w:rsidP="00641C64">
      <w:pPr>
        <w:pStyle w:val="Heading1"/>
        <w:bidi w:val="0"/>
      </w:pPr>
      <w:r w:rsidRPr="00127987">
        <w:t>16.</w:t>
      </w:r>
      <w:r w:rsidRPr="00127987">
        <w:tab/>
        <w:t>Progress reports</w:t>
      </w:r>
    </w:p>
    <w:p w14:paraId="1EB67615" w14:textId="77777777" w:rsidR="00127987" w:rsidRPr="00127987" w:rsidRDefault="00127987" w:rsidP="00641C64">
      <w:pPr>
        <w:bidi w:val="0"/>
      </w:pPr>
      <w:r w:rsidRPr="00127987">
        <w:t>Regular progress reports will be provided at each meeting of the parent group, as per the guidance in clause 11 of Recommendation ITU-T A.7.</w:t>
      </w:r>
    </w:p>
    <w:p w14:paraId="58DCCF3B" w14:textId="77777777" w:rsidR="00127987" w:rsidRPr="00127987" w:rsidRDefault="00127987" w:rsidP="00641C64">
      <w:pPr>
        <w:pStyle w:val="Heading1"/>
        <w:bidi w:val="0"/>
      </w:pPr>
      <w:r w:rsidRPr="00127987">
        <w:t>17.</w:t>
      </w:r>
      <w:r w:rsidRPr="00127987">
        <w:tab/>
        <w:t>Announcement of Focus Group formation</w:t>
      </w:r>
    </w:p>
    <w:p w14:paraId="2A06EED7" w14:textId="77777777" w:rsidR="00127987" w:rsidRPr="00127987" w:rsidRDefault="00127987" w:rsidP="00641C64">
      <w:pPr>
        <w:bidi w:val="0"/>
      </w:pPr>
      <w:r w:rsidRPr="00127987">
        <w:t xml:space="preserve">The creation of the FG-TBFxG will be announced via TSB Circular to all ITU membership. ITU-T </w:t>
      </w:r>
      <w:proofErr w:type="spellStart"/>
      <w:r w:rsidRPr="00127987">
        <w:t>Newslog</w:t>
      </w:r>
      <w:proofErr w:type="spellEnd"/>
      <w:r w:rsidRPr="00127987">
        <w:t>, press releases and other means, including communication with other involved organizations could be utilized.</w:t>
      </w:r>
    </w:p>
    <w:p w14:paraId="670570DD" w14:textId="77777777" w:rsidR="00127987" w:rsidRPr="00127987" w:rsidRDefault="00127987" w:rsidP="00641C64">
      <w:pPr>
        <w:pStyle w:val="Heading1"/>
        <w:bidi w:val="0"/>
      </w:pPr>
      <w:r w:rsidRPr="00127987">
        <w:t>18.</w:t>
      </w:r>
      <w:r w:rsidRPr="00127987">
        <w:tab/>
        <w:t>Milestones and duration of the Focus Group</w:t>
      </w:r>
    </w:p>
    <w:p w14:paraId="56C7C86B" w14:textId="77777777" w:rsidR="00127987" w:rsidRPr="00127987" w:rsidRDefault="00127987" w:rsidP="00641C64">
      <w:pPr>
        <w:bidi w:val="0"/>
      </w:pPr>
      <w:r w:rsidRPr="00127987">
        <w:t>The Focus Group lifetime is set for one year from the first meeting (see ITU-T A.7, clause 2.2), with the possibility for a further year subject to the agreement of the parent study group.</w:t>
      </w:r>
    </w:p>
    <w:p w14:paraId="49608D8F" w14:textId="77777777" w:rsidR="00127987" w:rsidRPr="00127987" w:rsidRDefault="00127987" w:rsidP="00641C64">
      <w:pPr>
        <w:pStyle w:val="Heading1"/>
        <w:bidi w:val="0"/>
      </w:pPr>
      <w:r w:rsidRPr="00127987">
        <w:t>19.</w:t>
      </w:r>
      <w:r w:rsidRPr="00127987">
        <w:tab/>
        <w:t>Patent policy</w:t>
      </w:r>
    </w:p>
    <w:p w14:paraId="182374E1" w14:textId="021F6B16" w:rsidR="00127987" w:rsidRPr="00127987" w:rsidRDefault="00127987" w:rsidP="00641C64">
      <w:pPr>
        <w:bidi w:val="0"/>
        <w:rPr>
          <w:rtl/>
        </w:rPr>
      </w:pPr>
      <w:r w:rsidRPr="00127987">
        <w:t>See clause 9 of Recommendation ITU-T A.7.</w:t>
      </w:r>
    </w:p>
    <w:p w14:paraId="0A5BD003" w14:textId="7A245201" w:rsidR="00127987" w:rsidRPr="00127987" w:rsidRDefault="00641C64" w:rsidP="00641C64">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w:t>
      </w:r>
    </w:p>
    <w:sectPr w:rsidR="00127987" w:rsidRPr="00127987" w:rsidSect="006C3242">
      <w:head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7F50" w14:textId="77777777" w:rsidR="00B41915" w:rsidRDefault="00B41915" w:rsidP="006C3242">
      <w:pPr>
        <w:spacing w:before="0" w:line="240" w:lineRule="auto"/>
      </w:pPr>
      <w:r>
        <w:separator/>
      </w:r>
    </w:p>
  </w:endnote>
  <w:endnote w:type="continuationSeparator" w:id="0">
    <w:p w14:paraId="4E61CECE" w14:textId="77777777" w:rsidR="00B41915" w:rsidRDefault="00B4191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5555"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C8FD" w14:textId="77777777" w:rsidR="00B41915" w:rsidRDefault="00B41915" w:rsidP="006C3242">
      <w:pPr>
        <w:spacing w:before="0" w:line="240" w:lineRule="auto"/>
      </w:pPr>
      <w:r>
        <w:separator/>
      </w:r>
    </w:p>
  </w:footnote>
  <w:footnote w:type="continuationSeparator" w:id="0">
    <w:p w14:paraId="1847D60A" w14:textId="77777777" w:rsidR="00B41915" w:rsidRDefault="00B4191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18F8" w14:textId="2173323F"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F16BB4">
      <w:rPr>
        <w:sz w:val="20"/>
        <w:szCs w:val="20"/>
        <w:lang w:val="en-GB"/>
      </w:rPr>
      <w:t>367</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11D28"/>
    <w:multiLevelType w:val="hybridMultilevel"/>
    <w:tmpl w:val="642A23D4"/>
    <w:lvl w:ilvl="0" w:tplc="0809000F">
      <w:start w:val="1"/>
      <w:numFmt w:val="decimal"/>
      <w:lvlText w:val="%1."/>
      <w:lvlJc w:val="left"/>
      <w:pPr>
        <w:ind w:left="732" w:hanging="372"/>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6418A3"/>
    <w:multiLevelType w:val="hybridMultilevel"/>
    <w:tmpl w:val="A6466CC6"/>
    <w:lvl w:ilvl="0" w:tplc="70F83556">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1B5878"/>
    <w:multiLevelType w:val="hybridMultilevel"/>
    <w:tmpl w:val="F7C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B4"/>
    <w:rsid w:val="00002A63"/>
    <w:rsid w:val="000360C6"/>
    <w:rsid w:val="0006468A"/>
    <w:rsid w:val="00090574"/>
    <w:rsid w:val="00094DF1"/>
    <w:rsid w:val="000B319C"/>
    <w:rsid w:val="000C1C0E"/>
    <w:rsid w:val="000C548A"/>
    <w:rsid w:val="000E0DCA"/>
    <w:rsid w:val="000E327F"/>
    <w:rsid w:val="00115A86"/>
    <w:rsid w:val="00127987"/>
    <w:rsid w:val="00146FE2"/>
    <w:rsid w:val="00167710"/>
    <w:rsid w:val="001C0169"/>
    <w:rsid w:val="001D1D50"/>
    <w:rsid w:val="001D6745"/>
    <w:rsid w:val="001E446E"/>
    <w:rsid w:val="002154EE"/>
    <w:rsid w:val="00220592"/>
    <w:rsid w:val="002276D2"/>
    <w:rsid w:val="0023283D"/>
    <w:rsid w:val="002353F7"/>
    <w:rsid w:val="00240CD9"/>
    <w:rsid w:val="0026373E"/>
    <w:rsid w:val="00270FB7"/>
    <w:rsid w:val="00271C43"/>
    <w:rsid w:val="00282262"/>
    <w:rsid w:val="00290728"/>
    <w:rsid w:val="002978F4"/>
    <w:rsid w:val="002B028D"/>
    <w:rsid w:val="002E196B"/>
    <w:rsid w:val="002E6541"/>
    <w:rsid w:val="00334924"/>
    <w:rsid w:val="003409BC"/>
    <w:rsid w:val="003470F1"/>
    <w:rsid w:val="00357185"/>
    <w:rsid w:val="00377D42"/>
    <w:rsid w:val="00383829"/>
    <w:rsid w:val="003A3046"/>
    <w:rsid w:val="003E55A9"/>
    <w:rsid w:val="003F4B29"/>
    <w:rsid w:val="00400EC6"/>
    <w:rsid w:val="00400FBE"/>
    <w:rsid w:val="0042686F"/>
    <w:rsid w:val="00426D10"/>
    <w:rsid w:val="004317D8"/>
    <w:rsid w:val="00434183"/>
    <w:rsid w:val="00443869"/>
    <w:rsid w:val="00447F32"/>
    <w:rsid w:val="00457815"/>
    <w:rsid w:val="0046687B"/>
    <w:rsid w:val="0047619A"/>
    <w:rsid w:val="0048247D"/>
    <w:rsid w:val="004A4E89"/>
    <w:rsid w:val="004B7BB1"/>
    <w:rsid w:val="004E11DC"/>
    <w:rsid w:val="00525DDD"/>
    <w:rsid w:val="005409AC"/>
    <w:rsid w:val="005457EB"/>
    <w:rsid w:val="0055516A"/>
    <w:rsid w:val="00557433"/>
    <w:rsid w:val="005731DD"/>
    <w:rsid w:val="0058491B"/>
    <w:rsid w:val="00592EA5"/>
    <w:rsid w:val="00595B52"/>
    <w:rsid w:val="00596808"/>
    <w:rsid w:val="005A3170"/>
    <w:rsid w:val="005D2EAA"/>
    <w:rsid w:val="005F56F7"/>
    <w:rsid w:val="00605483"/>
    <w:rsid w:val="006060ED"/>
    <w:rsid w:val="0061016F"/>
    <w:rsid w:val="00641C64"/>
    <w:rsid w:val="006635B2"/>
    <w:rsid w:val="00667C80"/>
    <w:rsid w:val="00676732"/>
    <w:rsid w:val="00677396"/>
    <w:rsid w:val="00683352"/>
    <w:rsid w:val="0069200F"/>
    <w:rsid w:val="006A65CB"/>
    <w:rsid w:val="006B6731"/>
    <w:rsid w:val="006C1530"/>
    <w:rsid w:val="006C3242"/>
    <w:rsid w:val="006C7CC0"/>
    <w:rsid w:val="006E1BAD"/>
    <w:rsid w:val="006F63F7"/>
    <w:rsid w:val="007025C7"/>
    <w:rsid w:val="00706D7A"/>
    <w:rsid w:val="00722F0D"/>
    <w:rsid w:val="0074420E"/>
    <w:rsid w:val="0075220D"/>
    <w:rsid w:val="0075796A"/>
    <w:rsid w:val="0077097B"/>
    <w:rsid w:val="007772DE"/>
    <w:rsid w:val="00783E26"/>
    <w:rsid w:val="007A00E4"/>
    <w:rsid w:val="007B25DA"/>
    <w:rsid w:val="007B4F21"/>
    <w:rsid w:val="007C3BC7"/>
    <w:rsid w:val="007C3BCD"/>
    <w:rsid w:val="007D4ACF"/>
    <w:rsid w:val="007E00CB"/>
    <w:rsid w:val="007E1F94"/>
    <w:rsid w:val="007F0787"/>
    <w:rsid w:val="00810B7B"/>
    <w:rsid w:val="0082358A"/>
    <w:rsid w:val="008235CD"/>
    <w:rsid w:val="008247DE"/>
    <w:rsid w:val="00826477"/>
    <w:rsid w:val="00834C37"/>
    <w:rsid w:val="00837C0C"/>
    <w:rsid w:val="00840B10"/>
    <w:rsid w:val="008513CB"/>
    <w:rsid w:val="00873469"/>
    <w:rsid w:val="008801B6"/>
    <w:rsid w:val="00896550"/>
    <w:rsid w:val="008A7F84"/>
    <w:rsid w:val="00900F25"/>
    <w:rsid w:val="00910038"/>
    <w:rsid w:val="0091702E"/>
    <w:rsid w:val="009211DC"/>
    <w:rsid w:val="009222EB"/>
    <w:rsid w:val="00922EE2"/>
    <w:rsid w:val="00923B0C"/>
    <w:rsid w:val="00926F44"/>
    <w:rsid w:val="0094021C"/>
    <w:rsid w:val="00944147"/>
    <w:rsid w:val="0094432F"/>
    <w:rsid w:val="00952F86"/>
    <w:rsid w:val="009812AC"/>
    <w:rsid w:val="00982B28"/>
    <w:rsid w:val="009A0BBB"/>
    <w:rsid w:val="009A424A"/>
    <w:rsid w:val="009B2B19"/>
    <w:rsid w:val="009D313F"/>
    <w:rsid w:val="00A1274E"/>
    <w:rsid w:val="00A47A5A"/>
    <w:rsid w:val="00A6683B"/>
    <w:rsid w:val="00A77C90"/>
    <w:rsid w:val="00A9156F"/>
    <w:rsid w:val="00A93000"/>
    <w:rsid w:val="00A96F0B"/>
    <w:rsid w:val="00A97F94"/>
    <w:rsid w:val="00AA7EA2"/>
    <w:rsid w:val="00AB15FB"/>
    <w:rsid w:val="00AC7664"/>
    <w:rsid w:val="00AF6B5C"/>
    <w:rsid w:val="00B03099"/>
    <w:rsid w:val="00B05BC8"/>
    <w:rsid w:val="00B41915"/>
    <w:rsid w:val="00B456EC"/>
    <w:rsid w:val="00B64B47"/>
    <w:rsid w:val="00B916A7"/>
    <w:rsid w:val="00BB0F08"/>
    <w:rsid w:val="00BB64A5"/>
    <w:rsid w:val="00BF0012"/>
    <w:rsid w:val="00C002DE"/>
    <w:rsid w:val="00C1281D"/>
    <w:rsid w:val="00C52B10"/>
    <w:rsid w:val="00C53BF8"/>
    <w:rsid w:val="00C55FE8"/>
    <w:rsid w:val="00C66157"/>
    <w:rsid w:val="00C674FE"/>
    <w:rsid w:val="00C67501"/>
    <w:rsid w:val="00C75633"/>
    <w:rsid w:val="00C77041"/>
    <w:rsid w:val="00CA4CDF"/>
    <w:rsid w:val="00CB2505"/>
    <w:rsid w:val="00CD750C"/>
    <w:rsid w:val="00CE1C08"/>
    <w:rsid w:val="00CE2EE1"/>
    <w:rsid w:val="00CE3349"/>
    <w:rsid w:val="00CE36E5"/>
    <w:rsid w:val="00CF27F5"/>
    <w:rsid w:val="00CF3FFD"/>
    <w:rsid w:val="00D10CCF"/>
    <w:rsid w:val="00D132E7"/>
    <w:rsid w:val="00D22846"/>
    <w:rsid w:val="00D44733"/>
    <w:rsid w:val="00D517B2"/>
    <w:rsid w:val="00D634F2"/>
    <w:rsid w:val="00D76170"/>
    <w:rsid w:val="00D77D0F"/>
    <w:rsid w:val="00D80B61"/>
    <w:rsid w:val="00D90456"/>
    <w:rsid w:val="00DA1CF0"/>
    <w:rsid w:val="00DC1E02"/>
    <w:rsid w:val="00DC24B4"/>
    <w:rsid w:val="00DC5FB0"/>
    <w:rsid w:val="00DD1EBB"/>
    <w:rsid w:val="00DD4A3D"/>
    <w:rsid w:val="00DE384C"/>
    <w:rsid w:val="00DF16DC"/>
    <w:rsid w:val="00E06521"/>
    <w:rsid w:val="00E24143"/>
    <w:rsid w:val="00E45211"/>
    <w:rsid w:val="00E473C5"/>
    <w:rsid w:val="00E84438"/>
    <w:rsid w:val="00E92863"/>
    <w:rsid w:val="00E93F22"/>
    <w:rsid w:val="00EA59B9"/>
    <w:rsid w:val="00EB6F00"/>
    <w:rsid w:val="00EB796D"/>
    <w:rsid w:val="00EC02F2"/>
    <w:rsid w:val="00ED4874"/>
    <w:rsid w:val="00EE4FB1"/>
    <w:rsid w:val="00F058DC"/>
    <w:rsid w:val="00F1576D"/>
    <w:rsid w:val="00F16BB4"/>
    <w:rsid w:val="00F24FC4"/>
    <w:rsid w:val="00F2676C"/>
    <w:rsid w:val="00F31271"/>
    <w:rsid w:val="00F41BC2"/>
    <w:rsid w:val="00F52941"/>
    <w:rsid w:val="00F75313"/>
    <w:rsid w:val="00F84366"/>
    <w:rsid w:val="00F85089"/>
    <w:rsid w:val="00F974C5"/>
    <w:rsid w:val="00FA23E2"/>
    <w:rsid w:val="00FA6F46"/>
    <w:rsid w:val="00FB0BF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EF5C"/>
  <w15:chartTrackingRefBased/>
  <w15:docId w15:val="{73A5BCBD-E83F-4788-B646-A037BB84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No0">
    <w:name w:val="Annex_No"/>
    <w:basedOn w:val="Normal"/>
    <w:next w:val="Normal"/>
    <w:rsid w:val="00127987"/>
    <w:pPr>
      <w:keepNext/>
      <w:keepLines/>
      <w:tabs>
        <w:tab w:val="left" w:pos="1191"/>
        <w:tab w:val="left" w:pos="1588"/>
        <w:tab w:val="left" w:pos="1985"/>
      </w:tabs>
      <w:overflowPunct w:val="0"/>
      <w:autoSpaceDE w:val="0"/>
      <w:autoSpaceDN w:val="0"/>
      <w:bidi w:val="0"/>
      <w:adjustRightInd w:val="0"/>
      <w:spacing w:before="480" w:after="80" w:line="240" w:lineRule="auto"/>
      <w:jc w:val="center"/>
    </w:pPr>
    <w:rPr>
      <w:rFonts w:ascii="Calibri" w:eastAsia="Times New Roman" w:hAnsi="Calibri" w:cs="Times New Roman"/>
      <w:caps/>
      <w:sz w:val="28"/>
      <w:szCs w:val="20"/>
      <w:lang w:val="en-GB" w:eastAsia="en-US"/>
    </w:rPr>
  </w:style>
  <w:style w:type="character" w:styleId="CommentReference">
    <w:name w:val="annotation reference"/>
    <w:basedOn w:val="DefaultParagraphFont"/>
    <w:uiPriority w:val="99"/>
    <w:semiHidden/>
    <w:unhideWhenUsed/>
    <w:rsid w:val="00EA59B9"/>
    <w:rPr>
      <w:sz w:val="16"/>
      <w:szCs w:val="16"/>
    </w:rPr>
  </w:style>
  <w:style w:type="paragraph" w:styleId="CommentText">
    <w:name w:val="annotation text"/>
    <w:basedOn w:val="Normal"/>
    <w:link w:val="CommentTextChar"/>
    <w:uiPriority w:val="99"/>
    <w:unhideWhenUsed/>
    <w:rsid w:val="00EA59B9"/>
    <w:pPr>
      <w:spacing w:line="240" w:lineRule="auto"/>
    </w:pPr>
    <w:rPr>
      <w:sz w:val="20"/>
      <w:szCs w:val="20"/>
    </w:rPr>
  </w:style>
  <w:style w:type="character" w:customStyle="1" w:styleId="CommentTextChar">
    <w:name w:val="Comment Text Char"/>
    <w:basedOn w:val="DefaultParagraphFont"/>
    <w:link w:val="CommentText"/>
    <w:uiPriority w:val="99"/>
    <w:rsid w:val="00EA59B9"/>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EA59B9"/>
    <w:rPr>
      <w:b/>
      <w:bCs/>
    </w:rPr>
  </w:style>
  <w:style w:type="character" w:customStyle="1" w:styleId="CommentSubjectChar">
    <w:name w:val="Comment Subject Char"/>
    <w:basedOn w:val="CommentTextChar"/>
    <w:link w:val="CommentSubject"/>
    <w:uiPriority w:val="99"/>
    <w:semiHidden/>
    <w:rsid w:val="00EA59B9"/>
    <w:rPr>
      <w:rFonts w:ascii="Dubai" w:hAnsi="Dubai" w:cs="Dubai"/>
      <w:b/>
      <w:bCs/>
      <w:sz w:val="20"/>
      <w:szCs w:val="20"/>
    </w:rPr>
  </w:style>
  <w:style w:type="character" w:styleId="FollowedHyperlink">
    <w:name w:val="FollowedHyperlink"/>
    <w:basedOn w:val="DefaultParagraphFont"/>
    <w:uiPriority w:val="99"/>
    <w:semiHidden/>
    <w:unhideWhenUsed/>
    <w:rsid w:val="002353F7"/>
    <w:rPr>
      <w:color w:val="954F72" w:themeColor="followedHyperlink"/>
      <w:u w:val="single"/>
    </w:rPr>
  </w:style>
  <w:style w:type="paragraph" w:styleId="Revision">
    <w:name w:val="Revision"/>
    <w:hidden/>
    <w:uiPriority w:val="99"/>
    <w:semiHidden/>
    <w:rsid w:val="000B319C"/>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T-REC-A.7" TargetMode="External"/><Relationship Id="rId18" Type="http://schemas.openxmlformats.org/officeDocument/2006/relationships/hyperlink" Target="http://www.itu.int/go/fgtb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go/fgtbf" TargetMode="External"/><Relationship Id="rId17" Type="http://schemas.openxmlformats.org/officeDocument/2006/relationships/hyperlink" Target="http://www.itu.int/go/fgtbf" TargetMode="External"/><Relationship Id="rId25" Type="http://schemas.openxmlformats.org/officeDocument/2006/relationships/hyperlink" Target="http://www.itu.int/go/BTF4-5G" TargetMode="External"/><Relationship Id="rId2" Type="http://schemas.openxmlformats.org/officeDocument/2006/relationships/numbering" Target="numbering.xml"/><Relationship Id="rId16" Type="http://schemas.openxmlformats.org/officeDocument/2006/relationships/hyperlink" Target="http://www.itu.int/go/fgtbf" TargetMode="External"/><Relationship Id="rId20" Type="http://schemas.openxmlformats.org/officeDocument/2006/relationships/hyperlink" Target="http://www.itu.int/go/fgtb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tbf@lists.itu.int" TargetMode="External"/><Relationship Id="rId24" Type="http://schemas.openxmlformats.org/officeDocument/2006/relationships/hyperlink" Target="http://www.itu.int/go/BTF4-5G" TargetMode="External"/><Relationship Id="rId5" Type="http://schemas.openxmlformats.org/officeDocument/2006/relationships/webSettings" Target="webSettings.xml"/><Relationship Id="rId15" Type="http://schemas.openxmlformats.org/officeDocument/2006/relationships/hyperlink" Target="http://www.itu.int/go/fgtbf" TargetMode="External"/><Relationship Id="rId23" Type="http://schemas.openxmlformats.org/officeDocument/2006/relationships/hyperlink" Target="https://www.itu.int/md/meetingdoc.asp?lang=en&amp;parent=T17-SG11-211201-TD-GEN-1804" TargetMode="External"/><Relationship Id="rId28" Type="http://schemas.openxmlformats.org/officeDocument/2006/relationships/fontTable" Target="fontTable.xml"/><Relationship Id="rId10" Type="http://schemas.openxmlformats.org/officeDocument/2006/relationships/hyperlink" Target="https://www.itu.int/ITU-T/recommendations/rec.aspx?rec=14765" TargetMode="External"/><Relationship Id="rId19" Type="http://schemas.openxmlformats.org/officeDocument/2006/relationships/hyperlink" Target="mailto:tsbfgtbf@itu.int" TargetMode="External"/><Relationship Id="rId4" Type="http://schemas.openxmlformats.org/officeDocument/2006/relationships/settings" Target="settings.xml"/><Relationship Id="rId9" Type="http://schemas.openxmlformats.org/officeDocument/2006/relationships/hyperlink" Target="mailto:tsbfgtbf@itu.int" TargetMode="External"/><Relationship Id="rId14" Type="http://schemas.openxmlformats.org/officeDocument/2006/relationships/hyperlink" Target="mailto:tsbfgtbf@itu.int" TargetMode="External"/><Relationship Id="rId22" Type="http://schemas.openxmlformats.org/officeDocument/2006/relationships/image" Target="media/image3.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12</cp:revision>
  <cp:lastPrinted>2022-01-25T14:42:00Z</cp:lastPrinted>
  <dcterms:created xsi:type="dcterms:W3CDTF">2022-01-25T10:39:00Z</dcterms:created>
  <dcterms:modified xsi:type="dcterms:W3CDTF">2022-01-25T14:42:00Z</dcterms:modified>
</cp:coreProperties>
</file>