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5" w:type="dxa"/>
        <w:tblInd w:w="14" w:type="dxa"/>
        <w:tblLayout w:type="fixed"/>
        <w:tblCellMar>
          <w:left w:w="0" w:type="dxa"/>
          <w:right w:w="0" w:type="dxa"/>
        </w:tblCellMar>
        <w:tblLook w:val="0000" w:firstRow="0" w:lastRow="0" w:firstColumn="0" w:lastColumn="0" w:noHBand="0" w:noVBand="0"/>
      </w:tblPr>
      <w:tblGrid>
        <w:gridCol w:w="1344"/>
        <w:gridCol w:w="60"/>
        <w:gridCol w:w="3467"/>
        <w:gridCol w:w="5334"/>
      </w:tblGrid>
      <w:tr w:rsidR="007B6316" w14:paraId="707BBC44" w14:textId="77777777" w:rsidTr="00A27C6C">
        <w:trPr>
          <w:cantSplit/>
          <w:trHeight w:val="340"/>
        </w:trPr>
        <w:tc>
          <w:tcPr>
            <w:tcW w:w="1404" w:type="dxa"/>
            <w:gridSpan w:val="2"/>
          </w:tcPr>
          <w:p w14:paraId="041749D6" w14:textId="77777777" w:rsidR="007B6316" w:rsidRDefault="007B6316" w:rsidP="00303D62">
            <w:pPr>
              <w:tabs>
                <w:tab w:val="left" w:pos="4111"/>
              </w:tabs>
              <w:spacing w:before="10"/>
              <w:ind w:left="57"/>
              <w:rPr>
                <w:sz w:val="22"/>
              </w:rPr>
            </w:pPr>
            <w:r w:rsidRPr="00F1238A">
              <w:rPr>
                <w:noProof/>
                <w:lang w:val="en-US"/>
              </w:rPr>
              <w:drawing>
                <wp:inline distT="0" distB="0" distL="0" distR="0" wp14:anchorId="79558B4C" wp14:editId="61CDE42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801" w:type="dxa"/>
            <w:gridSpan w:val="2"/>
            <w:vAlign w:val="center"/>
          </w:tcPr>
          <w:p w14:paraId="0C7852D7"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F0EA92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790835F" w14:textId="77777777" w:rsidTr="00A27C6C">
        <w:trPr>
          <w:cantSplit/>
          <w:trHeight w:val="340"/>
        </w:trPr>
        <w:tc>
          <w:tcPr>
            <w:tcW w:w="1344" w:type="dxa"/>
          </w:tcPr>
          <w:p w14:paraId="55F27603" w14:textId="77777777" w:rsidR="007B6316" w:rsidRPr="007B6316" w:rsidRDefault="007B6316" w:rsidP="00303D62">
            <w:pPr>
              <w:tabs>
                <w:tab w:val="left" w:pos="4111"/>
              </w:tabs>
              <w:spacing w:before="10"/>
              <w:ind w:left="57"/>
              <w:rPr>
                <w:b/>
                <w:bCs/>
                <w:sz w:val="22"/>
              </w:rPr>
            </w:pPr>
          </w:p>
        </w:tc>
        <w:tc>
          <w:tcPr>
            <w:tcW w:w="3527" w:type="dxa"/>
            <w:gridSpan w:val="2"/>
          </w:tcPr>
          <w:p w14:paraId="51A62DED" w14:textId="77777777" w:rsidR="007B6316" w:rsidRPr="00F83BC6" w:rsidRDefault="007B6316" w:rsidP="00303D62">
            <w:pPr>
              <w:tabs>
                <w:tab w:val="left" w:pos="4111"/>
              </w:tabs>
              <w:spacing w:before="0"/>
              <w:ind w:left="57"/>
              <w:rPr>
                <w:b/>
                <w:szCs w:val="24"/>
              </w:rPr>
            </w:pPr>
          </w:p>
        </w:tc>
        <w:tc>
          <w:tcPr>
            <w:tcW w:w="5334" w:type="dxa"/>
          </w:tcPr>
          <w:p w14:paraId="6F3CB8F5" w14:textId="7063D9D7" w:rsidR="007B6316" w:rsidRPr="00F83BC6" w:rsidRDefault="007B6316" w:rsidP="007B6316">
            <w:pPr>
              <w:tabs>
                <w:tab w:val="clear" w:pos="794"/>
                <w:tab w:val="clear" w:pos="1191"/>
                <w:tab w:val="clear" w:pos="1588"/>
                <w:tab w:val="clear" w:pos="1985"/>
                <w:tab w:val="left" w:pos="284"/>
              </w:tabs>
              <w:spacing w:after="120"/>
              <w:ind w:left="284" w:hanging="227"/>
              <w:rPr>
                <w:szCs w:val="24"/>
              </w:rPr>
            </w:pPr>
            <w:r w:rsidRPr="00F83BC6">
              <w:rPr>
                <w:szCs w:val="24"/>
              </w:rPr>
              <w:t>Ginebra,</w:t>
            </w:r>
            <w:r w:rsidR="009A766C" w:rsidRPr="00F83BC6">
              <w:rPr>
                <w:rFonts w:ascii="Calibri" w:eastAsia="Batang" w:hAnsi="Calibri"/>
                <w:szCs w:val="24"/>
              </w:rPr>
              <w:t xml:space="preserve"> </w:t>
            </w:r>
            <w:r w:rsidR="009A766C" w:rsidRPr="00F83BC6">
              <w:rPr>
                <w:szCs w:val="24"/>
              </w:rPr>
              <w:t>30 de noviembre de 2021</w:t>
            </w:r>
          </w:p>
        </w:tc>
      </w:tr>
      <w:tr w:rsidR="007B6316" w14:paraId="53E54E0F" w14:textId="77777777" w:rsidTr="00A27C6C">
        <w:trPr>
          <w:cantSplit/>
          <w:trHeight w:val="340"/>
        </w:trPr>
        <w:tc>
          <w:tcPr>
            <w:tcW w:w="1344" w:type="dxa"/>
          </w:tcPr>
          <w:p w14:paraId="5227A3A2" w14:textId="438E3F31" w:rsidR="007B6316" w:rsidRPr="00F83BC6" w:rsidRDefault="007B6316" w:rsidP="009A766C">
            <w:pPr>
              <w:tabs>
                <w:tab w:val="left" w:pos="4111"/>
              </w:tabs>
              <w:spacing w:before="40" w:after="40"/>
              <w:ind w:left="57"/>
              <w:rPr>
                <w:b/>
                <w:bCs/>
                <w:szCs w:val="24"/>
              </w:rPr>
            </w:pPr>
            <w:r w:rsidRPr="00F83BC6">
              <w:rPr>
                <w:b/>
                <w:bCs/>
                <w:szCs w:val="24"/>
              </w:rPr>
              <w:t>Ref.:</w:t>
            </w:r>
          </w:p>
        </w:tc>
        <w:tc>
          <w:tcPr>
            <w:tcW w:w="3527" w:type="dxa"/>
            <w:gridSpan w:val="2"/>
          </w:tcPr>
          <w:p w14:paraId="29E50139" w14:textId="45A41A35" w:rsidR="007B6316" w:rsidRPr="00F83BC6" w:rsidRDefault="007B6316" w:rsidP="009A766C">
            <w:pPr>
              <w:tabs>
                <w:tab w:val="left" w:pos="4111"/>
              </w:tabs>
              <w:spacing w:before="40" w:after="40"/>
              <w:ind w:left="57"/>
              <w:rPr>
                <w:b/>
                <w:szCs w:val="24"/>
              </w:rPr>
            </w:pPr>
            <w:r w:rsidRPr="00F83BC6">
              <w:rPr>
                <w:b/>
                <w:szCs w:val="24"/>
              </w:rPr>
              <w:t xml:space="preserve">Circular TSB </w:t>
            </w:r>
            <w:r w:rsidR="009A766C" w:rsidRPr="00F83BC6">
              <w:rPr>
                <w:b/>
                <w:bCs/>
                <w:szCs w:val="24"/>
              </w:rPr>
              <w:t>363</w:t>
            </w:r>
          </w:p>
        </w:tc>
        <w:tc>
          <w:tcPr>
            <w:tcW w:w="5334" w:type="dxa"/>
            <w:vMerge w:val="restart"/>
          </w:tcPr>
          <w:p w14:paraId="516CBEEC" w14:textId="77777777" w:rsidR="007B6316" w:rsidRPr="00F83BC6" w:rsidRDefault="007B6316" w:rsidP="009A766C">
            <w:pPr>
              <w:tabs>
                <w:tab w:val="clear" w:pos="794"/>
                <w:tab w:val="clear" w:pos="1191"/>
                <w:tab w:val="clear" w:pos="1588"/>
                <w:tab w:val="clear" w:pos="1985"/>
                <w:tab w:val="left" w:pos="284"/>
              </w:tabs>
              <w:spacing w:before="40" w:after="40"/>
              <w:ind w:left="284" w:hanging="227"/>
              <w:rPr>
                <w:szCs w:val="24"/>
              </w:rPr>
            </w:pPr>
            <w:bookmarkStart w:id="0" w:name="Addressee_S"/>
            <w:bookmarkEnd w:id="0"/>
            <w:r w:rsidRPr="00F83BC6">
              <w:rPr>
                <w:szCs w:val="24"/>
              </w:rPr>
              <w:t>-</w:t>
            </w:r>
            <w:r w:rsidRPr="00F83BC6">
              <w:rPr>
                <w:szCs w:val="24"/>
              </w:rPr>
              <w:tab/>
              <w:t>A las Administraciones de los Estados Miembros de la Unión</w:t>
            </w:r>
          </w:p>
        </w:tc>
      </w:tr>
      <w:tr w:rsidR="007B6316" w14:paraId="505ACDE3" w14:textId="77777777" w:rsidTr="00A27C6C">
        <w:trPr>
          <w:cantSplit/>
        </w:trPr>
        <w:tc>
          <w:tcPr>
            <w:tcW w:w="1344" w:type="dxa"/>
          </w:tcPr>
          <w:p w14:paraId="1EF065A0" w14:textId="77777777" w:rsidR="007B6316" w:rsidRPr="00F83BC6" w:rsidRDefault="007B6316" w:rsidP="009A766C">
            <w:pPr>
              <w:tabs>
                <w:tab w:val="left" w:pos="4111"/>
              </w:tabs>
              <w:spacing w:before="40" w:after="40"/>
              <w:ind w:left="57"/>
              <w:rPr>
                <w:b/>
                <w:bCs/>
                <w:szCs w:val="24"/>
              </w:rPr>
            </w:pPr>
            <w:r w:rsidRPr="00F83BC6">
              <w:rPr>
                <w:b/>
                <w:bCs/>
                <w:szCs w:val="24"/>
              </w:rPr>
              <w:t>Tel.:</w:t>
            </w:r>
          </w:p>
        </w:tc>
        <w:tc>
          <w:tcPr>
            <w:tcW w:w="3527" w:type="dxa"/>
            <w:gridSpan w:val="2"/>
          </w:tcPr>
          <w:p w14:paraId="07776C3E" w14:textId="4809BCA8" w:rsidR="007B6316" w:rsidRPr="00F83BC6" w:rsidRDefault="007B6316" w:rsidP="009A766C">
            <w:pPr>
              <w:tabs>
                <w:tab w:val="left" w:pos="4111"/>
              </w:tabs>
              <w:spacing w:before="40" w:after="40"/>
              <w:ind w:left="57"/>
              <w:rPr>
                <w:rStyle w:val="Hyperlink"/>
                <w:szCs w:val="24"/>
              </w:rPr>
            </w:pPr>
            <w:r w:rsidRPr="00F83BC6">
              <w:rPr>
                <w:szCs w:val="24"/>
              </w:rPr>
              <w:t>+41 22 730</w:t>
            </w:r>
            <w:r w:rsidR="009A766C" w:rsidRPr="00F83BC6">
              <w:rPr>
                <w:szCs w:val="24"/>
              </w:rPr>
              <w:t xml:space="preserve"> </w:t>
            </w:r>
            <w:r w:rsidR="009A766C" w:rsidRPr="00F83BC6">
              <w:rPr>
                <w:rFonts w:ascii="Calibri" w:eastAsia="Batang" w:hAnsi="Calibri"/>
                <w:szCs w:val="24"/>
              </w:rPr>
              <w:t>5444</w:t>
            </w:r>
          </w:p>
        </w:tc>
        <w:tc>
          <w:tcPr>
            <w:tcW w:w="5334" w:type="dxa"/>
            <w:vMerge/>
          </w:tcPr>
          <w:p w14:paraId="0B803415" w14:textId="77777777" w:rsidR="007B6316" w:rsidRPr="00F83BC6" w:rsidRDefault="007B6316" w:rsidP="009A766C">
            <w:pPr>
              <w:tabs>
                <w:tab w:val="left" w:pos="4111"/>
              </w:tabs>
              <w:spacing w:before="40" w:after="40"/>
              <w:rPr>
                <w:b/>
                <w:szCs w:val="24"/>
              </w:rPr>
            </w:pPr>
          </w:p>
        </w:tc>
      </w:tr>
      <w:tr w:rsidR="007B6316" w14:paraId="421B0165" w14:textId="77777777" w:rsidTr="00A27C6C">
        <w:trPr>
          <w:cantSplit/>
        </w:trPr>
        <w:tc>
          <w:tcPr>
            <w:tcW w:w="1344" w:type="dxa"/>
          </w:tcPr>
          <w:p w14:paraId="46996983" w14:textId="77777777" w:rsidR="007B6316" w:rsidRPr="00F83BC6" w:rsidRDefault="007B6316" w:rsidP="009A766C">
            <w:pPr>
              <w:tabs>
                <w:tab w:val="left" w:pos="4111"/>
              </w:tabs>
              <w:spacing w:before="40" w:after="40"/>
              <w:ind w:left="57"/>
              <w:rPr>
                <w:b/>
                <w:bCs/>
                <w:szCs w:val="24"/>
              </w:rPr>
            </w:pPr>
            <w:r w:rsidRPr="00F83BC6">
              <w:rPr>
                <w:b/>
                <w:bCs/>
                <w:szCs w:val="24"/>
              </w:rPr>
              <w:t>Fax:</w:t>
            </w:r>
          </w:p>
        </w:tc>
        <w:tc>
          <w:tcPr>
            <w:tcW w:w="3527" w:type="dxa"/>
            <w:gridSpan w:val="2"/>
          </w:tcPr>
          <w:p w14:paraId="06719D96" w14:textId="77777777" w:rsidR="007B6316" w:rsidRPr="00F83BC6" w:rsidRDefault="007B6316" w:rsidP="009A766C">
            <w:pPr>
              <w:tabs>
                <w:tab w:val="left" w:pos="4111"/>
              </w:tabs>
              <w:spacing w:before="40" w:after="40"/>
              <w:ind w:left="57"/>
              <w:rPr>
                <w:rStyle w:val="Hyperlink"/>
                <w:szCs w:val="24"/>
              </w:rPr>
            </w:pPr>
            <w:r w:rsidRPr="00F83BC6">
              <w:rPr>
                <w:szCs w:val="24"/>
              </w:rPr>
              <w:t>+41 22 730 5853</w:t>
            </w:r>
          </w:p>
        </w:tc>
        <w:tc>
          <w:tcPr>
            <w:tcW w:w="5334" w:type="dxa"/>
            <w:vMerge/>
          </w:tcPr>
          <w:p w14:paraId="4FB7328C" w14:textId="77777777" w:rsidR="007B6316" w:rsidRPr="00F83BC6" w:rsidRDefault="007B6316" w:rsidP="009A766C">
            <w:pPr>
              <w:tabs>
                <w:tab w:val="left" w:pos="4111"/>
              </w:tabs>
              <w:spacing w:before="40" w:after="40"/>
              <w:rPr>
                <w:b/>
                <w:szCs w:val="24"/>
              </w:rPr>
            </w:pPr>
          </w:p>
        </w:tc>
      </w:tr>
      <w:tr w:rsidR="00C34772" w14:paraId="14607276" w14:textId="77777777" w:rsidTr="00A27C6C">
        <w:trPr>
          <w:cantSplit/>
        </w:trPr>
        <w:tc>
          <w:tcPr>
            <w:tcW w:w="1344" w:type="dxa"/>
          </w:tcPr>
          <w:p w14:paraId="2111660C" w14:textId="77777777" w:rsidR="00C34772" w:rsidRPr="00F83BC6" w:rsidRDefault="00C34772" w:rsidP="009A766C">
            <w:pPr>
              <w:tabs>
                <w:tab w:val="left" w:pos="4111"/>
              </w:tabs>
              <w:spacing w:before="40" w:after="40"/>
              <w:ind w:left="57"/>
              <w:rPr>
                <w:b/>
                <w:bCs/>
                <w:szCs w:val="24"/>
              </w:rPr>
            </w:pPr>
            <w:r w:rsidRPr="00F83BC6">
              <w:rPr>
                <w:b/>
                <w:bCs/>
                <w:szCs w:val="24"/>
              </w:rPr>
              <w:t>Correo-e:</w:t>
            </w:r>
          </w:p>
        </w:tc>
        <w:tc>
          <w:tcPr>
            <w:tcW w:w="3527" w:type="dxa"/>
            <w:gridSpan w:val="2"/>
          </w:tcPr>
          <w:p w14:paraId="3384927B" w14:textId="0CD36CA6" w:rsidR="00C34772" w:rsidRPr="00F83BC6" w:rsidRDefault="00A4040C" w:rsidP="009A766C">
            <w:pPr>
              <w:tabs>
                <w:tab w:val="left" w:pos="4111"/>
              </w:tabs>
              <w:spacing w:before="40" w:after="40"/>
              <w:ind w:left="57"/>
              <w:rPr>
                <w:szCs w:val="24"/>
              </w:rPr>
            </w:pPr>
            <w:hyperlink r:id="rId9" w:history="1">
              <w:r w:rsidR="009A766C" w:rsidRPr="00F83BC6">
                <w:rPr>
                  <w:rFonts w:ascii="Calibri" w:eastAsia="Batang" w:hAnsi="Calibri"/>
                  <w:color w:val="0000FF"/>
                  <w:szCs w:val="24"/>
                  <w:u w:val="single"/>
                </w:rPr>
                <w:t>ai@itu.int</w:t>
              </w:r>
            </w:hyperlink>
          </w:p>
        </w:tc>
        <w:tc>
          <w:tcPr>
            <w:tcW w:w="5334" w:type="dxa"/>
          </w:tcPr>
          <w:p w14:paraId="6101928F" w14:textId="1A8A2E70" w:rsidR="00C34772" w:rsidRPr="00F83BC6" w:rsidRDefault="00C34772" w:rsidP="009A766C">
            <w:pPr>
              <w:tabs>
                <w:tab w:val="clear" w:pos="794"/>
                <w:tab w:val="clear" w:pos="1191"/>
                <w:tab w:val="clear" w:pos="1588"/>
                <w:tab w:val="clear" w:pos="1985"/>
                <w:tab w:val="left" w:pos="226"/>
                <w:tab w:val="left" w:pos="510"/>
              </w:tabs>
              <w:spacing w:before="40" w:after="40"/>
              <w:ind w:left="226" w:hanging="169"/>
              <w:rPr>
                <w:szCs w:val="24"/>
              </w:rPr>
            </w:pPr>
          </w:p>
        </w:tc>
      </w:tr>
      <w:tr w:rsidR="009A766C" w14:paraId="00A8F910" w14:textId="77777777" w:rsidTr="00A27C6C">
        <w:trPr>
          <w:cantSplit/>
        </w:trPr>
        <w:tc>
          <w:tcPr>
            <w:tcW w:w="1344" w:type="dxa"/>
          </w:tcPr>
          <w:p w14:paraId="70B8F5E9" w14:textId="77777777" w:rsidR="009A766C" w:rsidRPr="00F83BC6" w:rsidRDefault="009A766C" w:rsidP="00303D62">
            <w:pPr>
              <w:tabs>
                <w:tab w:val="left" w:pos="4111"/>
              </w:tabs>
              <w:spacing w:before="10"/>
              <w:ind w:left="57"/>
              <w:rPr>
                <w:b/>
                <w:bCs/>
                <w:szCs w:val="24"/>
              </w:rPr>
            </w:pPr>
          </w:p>
        </w:tc>
        <w:tc>
          <w:tcPr>
            <w:tcW w:w="3527" w:type="dxa"/>
            <w:gridSpan w:val="2"/>
          </w:tcPr>
          <w:p w14:paraId="366ED9B7" w14:textId="77777777" w:rsidR="009A766C" w:rsidRPr="00F83BC6" w:rsidRDefault="009A766C" w:rsidP="00303D62">
            <w:pPr>
              <w:tabs>
                <w:tab w:val="left" w:pos="4111"/>
              </w:tabs>
              <w:spacing w:before="0"/>
              <w:ind w:left="57"/>
              <w:rPr>
                <w:rFonts w:ascii="Calibri" w:eastAsia="Batang" w:hAnsi="Calibri"/>
                <w:szCs w:val="24"/>
                <w:lang w:val="en-GB"/>
              </w:rPr>
            </w:pPr>
          </w:p>
          <w:p w14:paraId="02BEDF90" w14:textId="6D677E8D" w:rsidR="009A766C" w:rsidRPr="00F83BC6" w:rsidRDefault="009A766C" w:rsidP="00303D62">
            <w:pPr>
              <w:tabs>
                <w:tab w:val="left" w:pos="4111"/>
              </w:tabs>
              <w:spacing w:before="0"/>
              <w:ind w:left="57"/>
              <w:rPr>
                <w:rFonts w:ascii="Calibri" w:eastAsia="Batang" w:hAnsi="Calibri"/>
                <w:szCs w:val="24"/>
                <w:lang w:val="en-GB"/>
              </w:rPr>
            </w:pPr>
          </w:p>
        </w:tc>
        <w:tc>
          <w:tcPr>
            <w:tcW w:w="5334" w:type="dxa"/>
          </w:tcPr>
          <w:p w14:paraId="6F934AC9" w14:textId="77777777" w:rsidR="009A766C" w:rsidRPr="00F83BC6" w:rsidRDefault="009A766C" w:rsidP="00303D62">
            <w:pPr>
              <w:tabs>
                <w:tab w:val="clear" w:pos="794"/>
                <w:tab w:val="clear" w:pos="1191"/>
                <w:tab w:val="clear" w:pos="1588"/>
                <w:tab w:val="clear" w:pos="1985"/>
                <w:tab w:val="left" w:pos="226"/>
                <w:tab w:val="left" w:pos="510"/>
              </w:tabs>
              <w:spacing w:before="0"/>
              <w:ind w:left="226" w:hanging="169"/>
              <w:rPr>
                <w:szCs w:val="24"/>
              </w:rPr>
            </w:pPr>
          </w:p>
        </w:tc>
      </w:tr>
      <w:tr w:rsidR="009A766C" w:rsidRPr="00CC77EA" w14:paraId="0AF592BA" w14:textId="77777777" w:rsidTr="00A27C6C">
        <w:tblPrEx>
          <w:tblCellMar>
            <w:left w:w="108" w:type="dxa"/>
            <w:right w:w="108" w:type="dxa"/>
          </w:tblCellMar>
        </w:tblPrEx>
        <w:trPr>
          <w:cantSplit/>
          <w:trHeight w:val="786"/>
        </w:trPr>
        <w:tc>
          <w:tcPr>
            <w:tcW w:w="1344" w:type="dxa"/>
          </w:tcPr>
          <w:p w14:paraId="2484A9C9" w14:textId="77777777" w:rsidR="009A766C" w:rsidRPr="00F83BC6" w:rsidRDefault="009A766C" w:rsidP="00A27C6C">
            <w:pPr>
              <w:tabs>
                <w:tab w:val="clear" w:pos="794"/>
                <w:tab w:val="left" w:pos="300"/>
                <w:tab w:val="left" w:pos="441"/>
                <w:tab w:val="left" w:pos="4111"/>
              </w:tabs>
              <w:spacing w:before="40" w:after="40"/>
              <w:ind w:left="57" w:hanging="99"/>
              <w:rPr>
                <w:rFonts w:cs="Calibri"/>
                <w:szCs w:val="24"/>
              </w:rPr>
            </w:pPr>
            <w:bookmarkStart w:id="1" w:name="StartTyping_S"/>
            <w:bookmarkStart w:id="2" w:name="suitetext"/>
            <w:bookmarkStart w:id="3" w:name="text"/>
            <w:bookmarkEnd w:id="1"/>
            <w:bookmarkEnd w:id="2"/>
            <w:bookmarkEnd w:id="3"/>
            <w:r w:rsidRPr="00F83BC6">
              <w:rPr>
                <w:b/>
                <w:bCs/>
                <w:szCs w:val="24"/>
              </w:rPr>
              <w:t>Asunto</w:t>
            </w:r>
            <w:r w:rsidRPr="00F83BC6">
              <w:rPr>
                <w:rFonts w:cs="Calibri"/>
                <w:b/>
                <w:szCs w:val="24"/>
              </w:rPr>
              <w:t>:</w:t>
            </w:r>
          </w:p>
        </w:tc>
        <w:tc>
          <w:tcPr>
            <w:tcW w:w="8861" w:type="dxa"/>
            <w:gridSpan w:val="3"/>
          </w:tcPr>
          <w:p w14:paraId="10724609" w14:textId="01FF7732" w:rsidR="009A766C" w:rsidRPr="00F83BC6" w:rsidRDefault="009A766C" w:rsidP="009F08B1">
            <w:pPr>
              <w:pStyle w:val="Tabletext0"/>
              <w:rPr>
                <w:rFonts w:cs="Calibri"/>
                <w:b/>
                <w:bCs/>
                <w:sz w:val="24"/>
                <w:szCs w:val="24"/>
              </w:rPr>
            </w:pPr>
            <w:r w:rsidRPr="00F83BC6">
              <w:rPr>
                <w:rFonts w:cstheme="minorHAnsi"/>
                <w:b/>
                <w:bCs/>
                <w:sz w:val="24"/>
                <w:szCs w:val="24"/>
              </w:rPr>
              <w:t>PETICIÓN DE APOYO: Quedan menos de 10 años para lograr los Objetivos de Desarrollo Sostenible –únase a nuestra causa a través de la plataforma de la IA para el Bien– Todo el año, siempre en línea</w:t>
            </w:r>
          </w:p>
        </w:tc>
      </w:tr>
    </w:tbl>
    <w:p w14:paraId="53B64CDA" w14:textId="77777777" w:rsidR="009A766C" w:rsidRPr="00CC77EA" w:rsidRDefault="009A766C" w:rsidP="00F83BC6">
      <w:pPr>
        <w:spacing w:before="240"/>
      </w:pPr>
      <w:r w:rsidRPr="00CC77EA">
        <w:t>Muy Señora mía/Muy Señor mío:</w:t>
      </w:r>
    </w:p>
    <w:p w14:paraId="13AF1A38" w14:textId="77777777" w:rsidR="009A766C" w:rsidRPr="00CC77EA" w:rsidRDefault="009A766C" w:rsidP="00F83BC6">
      <w:r w:rsidRPr="00CC77EA">
        <w:t xml:space="preserve">La Unión Internacional de Telecomunicaciones (UIT) invita cordialmente a sus Estados Miembros a apoyar la </w:t>
      </w:r>
      <w:hyperlink r:id="rId10" w:history="1">
        <w:r w:rsidRPr="00CC77EA">
          <w:rPr>
            <w:rStyle w:val="Hyperlink"/>
            <w:rFonts w:cstheme="minorHAnsi"/>
            <w:sz w:val="22"/>
            <w:szCs w:val="22"/>
          </w:rPr>
          <w:t>AI for Good platform</w:t>
        </w:r>
      </w:hyperlink>
      <w:r w:rsidRPr="00CC77EA">
        <w:t xml:space="preserve"> (plataforma de la IA para el bien), un evento digital que durará todo un año y que ha sido organizado por la UIT, en colaboración con 38 organismos afines de las Naciones Unidas, y convocado conjuntamente con Suiza. La plataforma presenta una programación semanal en múltiples formatos y zonas horarias, que incluye po</w:t>
      </w:r>
      <w:r w:rsidRPr="00A0432F">
        <w:t>nencias, seminarios web de expertos, entrevistas, demostraciones, actividades de creación de redes, correlaciones inteligentes mediante IA, concursos, presentaciones de empresas emergentes y mucho más.</w:t>
      </w:r>
    </w:p>
    <w:p w14:paraId="3F8D93B6" w14:textId="77777777" w:rsidR="009A766C" w:rsidRPr="00CC77EA" w:rsidRDefault="009A766C" w:rsidP="00F83BC6">
      <w:pPr>
        <w:rPr>
          <w:color w:val="000000"/>
        </w:rPr>
      </w:pPr>
      <w:r w:rsidRPr="00A8368B">
        <w:t>Desde qu</w:t>
      </w:r>
      <w:r w:rsidRPr="00CC77EA">
        <w:t>e adoptara un formato en línea debido a la pandemia de COVID, la plataforma de la IA para el bien ha alcanzado casi 200 000 visitas en línea, ha reunido una sólida comunidad de 60 000 miembros, de más de 180 países, y ha gozado en todo momento de una amplia cobertura mediática a escala internacional, convirtiéndose así en la principal plataforma de las Naciones Unidas orientada a la acción, mundial e inclusiva en materia de IA.</w:t>
      </w:r>
    </w:p>
    <w:p w14:paraId="35687DE4" w14:textId="14822202" w:rsidR="009A766C" w:rsidRPr="00CC77EA" w:rsidRDefault="009A766C" w:rsidP="00F83BC6">
      <w:r w:rsidRPr="00CC77EA">
        <w:t>El objetivo de la IA para el bien es determinar aplicaciones prácticas de la IA para avanzar en la consecución de los Objetivos de Desarrollo Sostenible (ODS) y ampliar esas soluciones a fin de lograr una repercusión global. La IA alberga grandes promesas, pero la colaboración es clave a medida que nos acercamos a la fecha límite de 2030.</w:t>
      </w:r>
    </w:p>
    <w:p w14:paraId="04B26654" w14:textId="64560D29" w:rsidR="009A766C" w:rsidRDefault="009A766C" w:rsidP="00F83BC6">
      <w:r w:rsidRPr="00CC77EA">
        <w:t>Por consiguiente, esperamos recibir su apoyo a través de nuestros extraordinarios paquetes de patrocinio de 365 días (con atractivos descuentos del 25% para los miembros de la UIT), que también aportarán a su país múltiples beneficios:</w:t>
      </w:r>
    </w:p>
    <w:p w14:paraId="4B0C5777" w14:textId="03A9C745" w:rsidR="009A766C" w:rsidRPr="00A53007" w:rsidRDefault="00F83BC6" w:rsidP="00F83BC6">
      <w:pPr>
        <w:pStyle w:val="enumlev1"/>
        <w:rPr>
          <w:rFonts w:cstheme="minorHAnsi"/>
          <w:szCs w:val="24"/>
        </w:rPr>
      </w:pPr>
      <w:r w:rsidRPr="00A53007">
        <w:rPr>
          <w:szCs w:val="24"/>
        </w:rPr>
        <w:t>–</w:t>
      </w:r>
      <w:r w:rsidRPr="00A53007">
        <w:rPr>
          <w:szCs w:val="24"/>
        </w:rPr>
        <w:tab/>
      </w:r>
      <w:r w:rsidR="009A766C" w:rsidRPr="00F07A49">
        <w:rPr>
          <w:rFonts w:cstheme="minorHAnsi"/>
          <w:szCs w:val="24"/>
        </w:rPr>
        <w:t xml:space="preserve">A través de nuestra nueva </w:t>
      </w:r>
      <w:r w:rsidRPr="00F07A49">
        <w:rPr>
          <w:rFonts w:cstheme="minorHAnsi"/>
          <w:szCs w:val="24"/>
        </w:rPr>
        <w:t>"</w:t>
      </w:r>
      <w:r w:rsidR="009A766C" w:rsidRPr="00F07A49">
        <w:rPr>
          <w:rFonts w:cstheme="minorHAnsi"/>
          <w:szCs w:val="24"/>
        </w:rPr>
        <w:t>red neuronal</w:t>
      </w:r>
      <w:r w:rsidRPr="00F07A49">
        <w:rPr>
          <w:rFonts w:cstheme="minorHAnsi"/>
          <w:szCs w:val="24"/>
        </w:rPr>
        <w:t>"</w:t>
      </w:r>
      <w:r w:rsidR="009A766C" w:rsidRPr="00F07A49">
        <w:rPr>
          <w:rFonts w:cstheme="minorHAnsi"/>
          <w:szCs w:val="24"/>
        </w:rPr>
        <w:t xml:space="preserve"> impulsada por la IA, la función de correlación inteligente le ayudará a </w:t>
      </w:r>
      <w:r w:rsidR="009A766C" w:rsidRPr="00F07A49">
        <w:rPr>
          <w:rFonts w:cstheme="minorHAnsi"/>
          <w:b/>
          <w:bCs/>
          <w:szCs w:val="24"/>
        </w:rPr>
        <w:t>establecer</w:t>
      </w:r>
      <w:r w:rsidR="009A766C" w:rsidRPr="00F07A49">
        <w:rPr>
          <w:rFonts w:cstheme="minorHAnsi"/>
          <w:szCs w:val="24"/>
        </w:rPr>
        <w:t xml:space="preserve"> conexiones con innovadores y expertos, </w:t>
      </w:r>
      <w:r w:rsidR="009A766C" w:rsidRPr="00F07A49">
        <w:rPr>
          <w:rFonts w:cstheme="minorHAnsi"/>
          <w:b/>
          <w:bCs/>
          <w:szCs w:val="24"/>
        </w:rPr>
        <w:t>acceder a</w:t>
      </w:r>
      <w:r w:rsidR="009A766C" w:rsidRPr="00F07A49">
        <w:rPr>
          <w:rFonts w:cstheme="minorHAnsi"/>
          <w:szCs w:val="24"/>
        </w:rPr>
        <w:t xml:space="preserve"> oportunidades de impacto social, </w:t>
      </w:r>
      <w:r w:rsidR="009A766C" w:rsidRPr="00F07A49">
        <w:rPr>
          <w:rFonts w:cstheme="minorHAnsi"/>
          <w:b/>
          <w:bCs/>
          <w:szCs w:val="24"/>
        </w:rPr>
        <w:t>aprender</w:t>
      </w:r>
      <w:r w:rsidR="009A766C" w:rsidRPr="00F07A49">
        <w:rPr>
          <w:rFonts w:cstheme="minorHAnsi"/>
          <w:szCs w:val="24"/>
        </w:rPr>
        <w:t xml:space="preserve"> a través de contenidos personalizados y adaptados a sus objetivos, y </w:t>
      </w:r>
      <w:r w:rsidR="009A766C" w:rsidRPr="00F07A49">
        <w:rPr>
          <w:rFonts w:cstheme="minorHAnsi"/>
          <w:b/>
          <w:bCs/>
          <w:szCs w:val="24"/>
        </w:rPr>
        <w:t>dar a conocer</w:t>
      </w:r>
      <w:r w:rsidR="009A766C" w:rsidRPr="00F07A49">
        <w:rPr>
          <w:rFonts w:cstheme="minorHAnsi"/>
          <w:szCs w:val="24"/>
        </w:rPr>
        <w:t xml:space="preserve"> empresas emergentes de IA para el bien en su Pabellón Nacional virtual.</w:t>
      </w:r>
    </w:p>
    <w:p w14:paraId="33845DDA" w14:textId="03D4C0EC" w:rsidR="009A766C" w:rsidRPr="00A53007" w:rsidRDefault="00F83BC6" w:rsidP="00F83BC6">
      <w:pPr>
        <w:pStyle w:val="enumlev1"/>
        <w:rPr>
          <w:rFonts w:cstheme="minorHAnsi"/>
          <w:szCs w:val="24"/>
        </w:rPr>
      </w:pPr>
      <w:r w:rsidRPr="00A53007">
        <w:rPr>
          <w:rFonts w:cstheme="minorHAnsi"/>
          <w:szCs w:val="24"/>
        </w:rPr>
        <w:t>–</w:t>
      </w:r>
      <w:r w:rsidRPr="00A53007">
        <w:rPr>
          <w:rFonts w:cstheme="minorHAnsi"/>
          <w:szCs w:val="24"/>
        </w:rPr>
        <w:tab/>
      </w:r>
      <w:r w:rsidR="009A766C" w:rsidRPr="00A53007">
        <w:rPr>
          <w:rFonts w:cstheme="minorHAnsi"/>
          <w:szCs w:val="24"/>
        </w:rPr>
        <w:t>Destacar oportunidades de crecimiento, inversión y asociación.</w:t>
      </w:r>
    </w:p>
    <w:p w14:paraId="78114411" w14:textId="7E1EFA3C" w:rsidR="009A766C" w:rsidRPr="00A53007" w:rsidRDefault="00F83BC6" w:rsidP="00F83BC6">
      <w:pPr>
        <w:pStyle w:val="enumlev1"/>
        <w:rPr>
          <w:rFonts w:cstheme="minorHAnsi"/>
          <w:szCs w:val="24"/>
        </w:rPr>
      </w:pPr>
      <w:r w:rsidRPr="00A53007">
        <w:rPr>
          <w:rFonts w:cstheme="minorHAnsi"/>
          <w:szCs w:val="24"/>
        </w:rPr>
        <w:t>–</w:t>
      </w:r>
      <w:r w:rsidRPr="00A53007">
        <w:rPr>
          <w:rFonts w:cstheme="minorHAnsi"/>
          <w:szCs w:val="24"/>
        </w:rPr>
        <w:tab/>
      </w:r>
      <w:r w:rsidR="009A766C" w:rsidRPr="00A53007">
        <w:rPr>
          <w:rFonts w:cstheme="minorHAnsi"/>
          <w:szCs w:val="24"/>
        </w:rPr>
        <w:t>Aprovechar el liderazgo intelectual de los expertos y su contenido técnico.</w:t>
      </w:r>
    </w:p>
    <w:p w14:paraId="496D3224" w14:textId="29D30637" w:rsidR="009A766C" w:rsidRPr="00A53007" w:rsidRDefault="00F83BC6" w:rsidP="00A53007">
      <w:pPr>
        <w:pStyle w:val="enumlev1"/>
        <w:keepNext/>
        <w:rPr>
          <w:rFonts w:cstheme="minorHAnsi"/>
          <w:szCs w:val="24"/>
        </w:rPr>
      </w:pPr>
      <w:r w:rsidRPr="00A53007">
        <w:rPr>
          <w:rFonts w:cstheme="minorHAnsi"/>
          <w:szCs w:val="24"/>
        </w:rPr>
        <w:lastRenderedPageBreak/>
        <w:t>–</w:t>
      </w:r>
      <w:r w:rsidRPr="00A53007">
        <w:rPr>
          <w:rFonts w:cstheme="minorHAnsi"/>
          <w:szCs w:val="24"/>
        </w:rPr>
        <w:tab/>
      </w:r>
      <w:r w:rsidR="009A766C" w:rsidRPr="00A53007">
        <w:rPr>
          <w:rFonts w:cstheme="minorHAnsi"/>
          <w:szCs w:val="24"/>
        </w:rPr>
        <w:t xml:space="preserve">Ayudar a las empresas emergentes a ampliar sus soluciones de IA para el bien a través de la competición mundial de nuestra </w:t>
      </w:r>
      <w:r w:rsidRPr="00A53007">
        <w:rPr>
          <w:rFonts w:cstheme="minorHAnsi"/>
          <w:szCs w:val="24"/>
        </w:rPr>
        <w:t>"</w:t>
      </w:r>
      <w:r w:rsidR="009A766C" w:rsidRPr="00A53007">
        <w:rPr>
          <w:rFonts w:cstheme="minorHAnsi"/>
          <w:szCs w:val="24"/>
        </w:rPr>
        <w:t>Fábrica de Innovación</w:t>
      </w:r>
      <w:r w:rsidRPr="00A53007">
        <w:rPr>
          <w:rFonts w:cstheme="minorHAnsi"/>
          <w:szCs w:val="24"/>
        </w:rPr>
        <w:t>"</w:t>
      </w:r>
      <w:r w:rsidR="009A766C" w:rsidRPr="00A53007">
        <w:rPr>
          <w:rFonts w:cstheme="minorHAnsi"/>
          <w:szCs w:val="24"/>
        </w:rPr>
        <w:t>.</w:t>
      </w:r>
    </w:p>
    <w:p w14:paraId="3A42FEAE" w14:textId="33BB3327" w:rsidR="009A766C" w:rsidRPr="00A53007" w:rsidRDefault="00F83BC6" w:rsidP="00F83BC6">
      <w:pPr>
        <w:pStyle w:val="enumlev1"/>
        <w:rPr>
          <w:rFonts w:cstheme="minorHAnsi"/>
          <w:szCs w:val="24"/>
        </w:rPr>
      </w:pPr>
      <w:r w:rsidRPr="00A53007">
        <w:rPr>
          <w:rFonts w:cstheme="minorHAnsi"/>
          <w:szCs w:val="24"/>
        </w:rPr>
        <w:t>–</w:t>
      </w:r>
      <w:r w:rsidRPr="00A53007">
        <w:rPr>
          <w:rFonts w:cstheme="minorHAnsi"/>
          <w:szCs w:val="24"/>
        </w:rPr>
        <w:tab/>
      </w:r>
      <w:r w:rsidR="009A766C" w:rsidRPr="00A53007">
        <w:rPr>
          <w:rFonts w:cstheme="minorHAnsi"/>
          <w:szCs w:val="24"/>
        </w:rPr>
        <w:t>Proyectar una imagen de promotor de los ODS, impulsando la credibilidad de su país como entorno ideal para hacer negocios.</w:t>
      </w:r>
    </w:p>
    <w:p w14:paraId="373128DC" w14:textId="4B27F20B" w:rsidR="009A766C" w:rsidRPr="00CC77EA" w:rsidRDefault="009A766C" w:rsidP="00F83BC6">
      <w:r w:rsidRPr="00CC77EA">
        <w:t xml:space="preserve">Le alentamos a contactar con el equipo organizador en la dirección </w:t>
      </w:r>
      <w:hyperlink r:id="rId11" w:history="1">
        <w:r w:rsidRPr="00CC77EA">
          <w:rPr>
            <w:rStyle w:val="Hyperlink"/>
            <w:rFonts w:cstheme="minorHAnsi"/>
            <w:sz w:val="22"/>
            <w:szCs w:val="22"/>
          </w:rPr>
          <w:t>ai@itu.int</w:t>
        </w:r>
      </w:hyperlink>
      <w:r w:rsidRPr="00CC77EA">
        <w:t xml:space="preserve"> de aquí a finales de este año, con la esperanza de poder fijar la fecha de inicio en enero, y</w:t>
      </w:r>
      <w:r>
        <w:t xml:space="preserve"> a</w:t>
      </w:r>
      <w:r w:rsidRPr="00CC77EA">
        <w:t xml:space="preserve"> </w:t>
      </w:r>
      <w:r>
        <w:t>comprobar</w:t>
      </w:r>
      <w:r w:rsidRPr="00CC77EA">
        <w:t xml:space="preserve"> en qué modo se han beneficiado otros Estados Miembros. Mientras tanto, puede obtener más información al respecto en la dirección </w:t>
      </w:r>
      <w:hyperlink r:id="rId12" w:history="1">
        <w:r w:rsidRPr="00CC77EA">
          <w:rPr>
            <w:rStyle w:val="Hyperlink"/>
            <w:rFonts w:cstheme="minorHAnsi"/>
            <w:sz w:val="22"/>
            <w:szCs w:val="22"/>
          </w:rPr>
          <w:t>aiforgood.itu.int</w:t>
        </w:r>
      </w:hyperlink>
      <w:r w:rsidRPr="00CC77EA">
        <w:t>.</w:t>
      </w:r>
    </w:p>
    <w:p w14:paraId="73F95CFB" w14:textId="77777777" w:rsidR="009A766C" w:rsidRPr="00CC77EA" w:rsidRDefault="009A766C" w:rsidP="00F83BC6">
      <w:r w:rsidRPr="00CC77EA">
        <w:t xml:space="preserve">Ahora más que nunca, necesitamos apoyo para recorrer </w:t>
      </w:r>
      <w:r>
        <w:t xml:space="preserve">este camino apasionante, a la par que </w:t>
      </w:r>
      <w:r w:rsidRPr="00CC77EA">
        <w:t>llen</w:t>
      </w:r>
      <w:r>
        <w:t>o</w:t>
      </w:r>
      <w:r w:rsidRPr="00CC77EA">
        <w:t xml:space="preserve"> de desafíos, que nos llevará a la consecución de los ODS. De hecho, como destacó recientemente el Secretario General de la UIT en su informe sobre el FMPT-21, las tecnologías de la índole de la IA tienen la capacidad de transformar los desafíos más acuciantes de la humanidad y, todos juntos, podemos enderezar el rumbo mundial hacia el logro de los ODS de las Naciones Unidas para el año 2030 e iniciar el nuevo capítulo de nuestro futuro digital.</w:t>
      </w:r>
    </w:p>
    <w:p w14:paraId="4070F9F3" w14:textId="77777777" w:rsidR="009A766C" w:rsidRPr="00CC77EA" w:rsidRDefault="009A766C" w:rsidP="00F83BC6">
      <w:r w:rsidRPr="00CC77EA">
        <w:t>Le deseo un final de año sereno, así como un comienzo de 2022 de lo más prometedor, y espero que podamos contar con su colaboración para acelerar los avances en favor de los ODS.</w:t>
      </w:r>
    </w:p>
    <w:p w14:paraId="430D2557" w14:textId="77777777" w:rsidR="007B6316" w:rsidRPr="00E14665" w:rsidRDefault="007B6316" w:rsidP="007B6316">
      <w:r w:rsidRPr="00E14665">
        <w:t>Atentamente,</w:t>
      </w:r>
    </w:p>
    <w:p w14:paraId="6A5E5485" w14:textId="77777777" w:rsidR="007B6316" w:rsidRPr="00E14665" w:rsidRDefault="007B6316" w:rsidP="007B6316">
      <w:pPr>
        <w:spacing w:before="480" w:line="480" w:lineRule="auto"/>
        <w:rPr>
          <w:sz w:val="28"/>
          <w:szCs w:val="22"/>
        </w:rPr>
      </w:pPr>
      <w:r w:rsidRPr="00E14665">
        <w:rPr>
          <w:i/>
          <w:iCs/>
          <w:szCs w:val="24"/>
        </w:rPr>
        <w:t>(firmado)</w:t>
      </w:r>
    </w:p>
    <w:p w14:paraId="29493A7D" w14:textId="3CE77F15" w:rsidR="00401C20" w:rsidRPr="00E14665" w:rsidRDefault="007B6316" w:rsidP="00E14665">
      <w:pPr>
        <w:spacing w:before="360"/>
      </w:pPr>
      <w:r w:rsidRPr="00E14665">
        <w:t>Chaesub Lee</w:t>
      </w:r>
      <w:r w:rsidRPr="00E14665">
        <w:br/>
        <w:t xml:space="preserve">Director de la Oficina de </w:t>
      </w:r>
      <w:r w:rsidRPr="00E14665">
        <w:br/>
        <w:t>Normalización de las Telecomunicaciones</w:t>
      </w:r>
    </w:p>
    <w:sectPr w:rsidR="00401C20" w:rsidRPr="00E14665" w:rsidSect="00B87E9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B3FD" w14:textId="77777777" w:rsidR="009A766C" w:rsidRDefault="009A766C">
      <w:r>
        <w:separator/>
      </w:r>
    </w:p>
  </w:endnote>
  <w:endnote w:type="continuationSeparator" w:id="0">
    <w:p w14:paraId="3A665EED" w14:textId="77777777" w:rsidR="009A766C" w:rsidRDefault="009A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EC04" w14:textId="77777777" w:rsidR="00A4040C" w:rsidRDefault="00A40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724C" w14:textId="33D5AEF7" w:rsidR="006969B4" w:rsidRPr="00A4040C" w:rsidRDefault="006969B4" w:rsidP="00A4040C">
    <w:pPr>
      <w:pStyle w:val="Footer"/>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19B2" w14:textId="63B22A19"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F83BC6">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8417" w14:textId="77777777" w:rsidR="009A766C" w:rsidRDefault="009A766C">
      <w:r>
        <w:t>____________________</w:t>
      </w:r>
    </w:p>
  </w:footnote>
  <w:footnote w:type="continuationSeparator" w:id="0">
    <w:p w14:paraId="0C479F5C" w14:textId="77777777" w:rsidR="009A766C" w:rsidRDefault="009A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295C" w14:textId="77777777" w:rsidR="00A4040C" w:rsidRDefault="00A40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DDE3" w14:textId="23767D24"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4040C">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6ABA3B8E" w14:textId="314BF83A" w:rsidR="0070683D" w:rsidRPr="00303D62" w:rsidRDefault="0070683D">
    <w:pPr>
      <w:pStyle w:val="Header"/>
      <w:rPr>
        <w:sz w:val="18"/>
        <w:szCs w:val="18"/>
      </w:rPr>
    </w:pPr>
    <w:r w:rsidRPr="0070683D">
      <w:rPr>
        <w:sz w:val="18"/>
        <w:szCs w:val="18"/>
      </w:rPr>
      <w:t>Circular TSB 36</w:t>
    </w:r>
    <w:r>
      <w:rPr>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FBB6" w14:textId="77777777" w:rsidR="00A4040C" w:rsidRDefault="00A4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C5966"/>
    <w:multiLevelType w:val="hybridMultilevel"/>
    <w:tmpl w:val="E9201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6C"/>
    <w:rsid w:val="00002529"/>
    <w:rsid w:val="00085662"/>
    <w:rsid w:val="000C382F"/>
    <w:rsid w:val="001173CC"/>
    <w:rsid w:val="0014464D"/>
    <w:rsid w:val="001A54CC"/>
    <w:rsid w:val="002267F2"/>
    <w:rsid w:val="00257FB4"/>
    <w:rsid w:val="002E496E"/>
    <w:rsid w:val="00303D62"/>
    <w:rsid w:val="00335367"/>
    <w:rsid w:val="00370C2D"/>
    <w:rsid w:val="003D1E8D"/>
    <w:rsid w:val="003D673B"/>
    <w:rsid w:val="003F2855"/>
    <w:rsid w:val="00401C20"/>
    <w:rsid w:val="004A7957"/>
    <w:rsid w:val="004C4144"/>
    <w:rsid w:val="0055719E"/>
    <w:rsid w:val="006969B4"/>
    <w:rsid w:val="006E4F7B"/>
    <w:rsid w:val="0070683D"/>
    <w:rsid w:val="00781E2A"/>
    <w:rsid w:val="007933A2"/>
    <w:rsid w:val="007B6316"/>
    <w:rsid w:val="00812BBA"/>
    <w:rsid w:val="00814503"/>
    <w:rsid w:val="008258C2"/>
    <w:rsid w:val="008505BD"/>
    <w:rsid w:val="00850C78"/>
    <w:rsid w:val="00876165"/>
    <w:rsid w:val="00884D12"/>
    <w:rsid w:val="008C17AD"/>
    <w:rsid w:val="008D02CD"/>
    <w:rsid w:val="0091370C"/>
    <w:rsid w:val="0095172A"/>
    <w:rsid w:val="009A0BA0"/>
    <w:rsid w:val="009A766C"/>
    <w:rsid w:val="00A27C6C"/>
    <w:rsid w:val="00A4040C"/>
    <w:rsid w:val="00A53007"/>
    <w:rsid w:val="00A54E47"/>
    <w:rsid w:val="00A8368B"/>
    <w:rsid w:val="00AB3D33"/>
    <w:rsid w:val="00AB6E3A"/>
    <w:rsid w:val="00AE7093"/>
    <w:rsid w:val="00B422BC"/>
    <w:rsid w:val="00B43F77"/>
    <w:rsid w:val="00B55A3E"/>
    <w:rsid w:val="00B87E9E"/>
    <w:rsid w:val="00B95F0A"/>
    <w:rsid w:val="00B96180"/>
    <w:rsid w:val="00BC3463"/>
    <w:rsid w:val="00C116FE"/>
    <w:rsid w:val="00C17AC0"/>
    <w:rsid w:val="00C34772"/>
    <w:rsid w:val="00C5465A"/>
    <w:rsid w:val="00D54642"/>
    <w:rsid w:val="00D834E7"/>
    <w:rsid w:val="00DD77C9"/>
    <w:rsid w:val="00DF3538"/>
    <w:rsid w:val="00E14665"/>
    <w:rsid w:val="00E839B0"/>
    <w:rsid w:val="00E92C09"/>
    <w:rsid w:val="00F07A49"/>
    <w:rsid w:val="00F14380"/>
    <w:rsid w:val="00F6461F"/>
    <w:rsid w:val="00F83BC6"/>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AD476"/>
  <w15:docId w15:val="{9DB9CB88-24FE-41F2-8A40-B845867D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9A766C"/>
    <w:pPr>
      <w:ind w:left="720"/>
      <w:contextualSpacing/>
    </w:pPr>
    <w:rPr>
      <w:rFonts w:ascii="Calibri" w:eastAsia="Batang" w:hAnsi="Calibri"/>
      <w:lang w:val="en-GB"/>
    </w:rPr>
  </w:style>
  <w:style w:type="paragraph" w:styleId="NormalWeb">
    <w:name w:val="Normal (Web)"/>
    <w:basedOn w:val="Normal"/>
    <w:uiPriority w:val="99"/>
    <w:unhideWhenUsed/>
    <w:rsid w:val="009A76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Default">
    <w:name w:val="Default"/>
    <w:rsid w:val="009A766C"/>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forgood.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iforgoo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B4FE-1FD1-463F-AB64-25FBD872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56</TotalTime>
  <Pages>2</Pages>
  <Words>671</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Al-Mnini, Lara</cp:lastModifiedBy>
  <cp:revision>11</cp:revision>
  <cp:lastPrinted>2011-04-15T08:24:00Z</cp:lastPrinted>
  <dcterms:created xsi:type="dcterms:W3CDTF">2021-12-01T11:42:00Z</dcterms:created>
  <dcterms:modified xsi:type="dcterms:W3CDTF">2021-12-07T10:05:00Z</dcterms:modified>
</cp:coreProperties>
</file>