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1268"/>
        <w:gridCol w:w="142"/>
        <w:gridCol w:w="3467"/>
        <w:gridCol w:w="5329"/>
      </w:tblGrid>
      <w:tr w:rsidR="007B6316" w14:paraId="6B10E08A" w14:textId="77777777" w:rsidTr="007B6316">
        <w:trPr>
          <w:cantSplit/>
          <w:trHeight w:val="340"/>
        </w:trPr>
        <w:tc>
          <w:tcPr>
            <w:tcW w:w="1410" w:type="dxa"/>
            <w:gridSpan w:val="2"/>
          </w:tcPr>
          <w:p w14:paraId="5FFE94CC"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74B02F29" wp14:editId="260E206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449F503E"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2ED63736"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F253EF" w14:paraId="69C91EF0" w14:textId="77777777" w:rsidTr="002E5B07">
        <w:trPr>
          <w:cantSplit/>
          <w:trHeight w:val="340"/>
        </w:trPr>
        <w:tc>
          <w:tcPr>
            <w:tcW w:w="1268" w:type="dxa"/>
          </w:tcPr>
          <w:p w14:paraId="01830ABE" w14:textId="77777777" w:rsidR="007B6316" w:rsidRPr="00F253EF" w:rsidRDefault="007B6316" w:rsidP="00892862">
            <w:pPr>
              <w:spacing w:after="120"/>
              <w:ind w:left="57"/>
              <w:rPr>
                <w:sz w:val="22"/>
                <w:szCs w:val="22"/>
              </w:rPr>
            </w:pPr>
          </w:p>
        </w:tc>
        <w:tc>
          <w:tcPr>
            <w:tcW w:w="3609" w:type="dxa"/>
            <w:gridSpan w:val="2"/>
          </w:tcPr>
          <w:p w14:paraId="1B3FD133" w14:textId="77777777" w:rsidR="007B6316" w:rsidRPr="00F253EF" w:rsidRDefault="007B6316" w:rsidP="00892862">
            <w:pPr>
              <w:spacing w:after="120"/>
              <w:ind w:left="57"/>
              <w:rPr>
                <w:sz w:val="22"/>
                <w:szCs w:val="22"/>
              </w:rPr>
            </w:pPr>
          </w:p>
        </w:tc>
        <w:tc>
          <w:tcPr>
            <w:tcW w:w="5329" w:type="dxa"/>
          </w:tcPr>
          <w:p w14:paraId="7A495184" w14:textId="54C360F4" w:rsidR="007B6316" w:rsidRPr="00F253EF" w:rsidRDefault="007B6316" w:rsidP="00892862">
            <w:pPr>
              <w:spacing w:after="120"/>
              <w:ind w:left="57"/>
              <w:rPr>
                <w:sz w:val="22"/>
                <w:szCs w:val="22"/>
              </w:rPr>
            </w:pPr>
            <w:r w:rsidRPr="00F253EF">
              <w:rPr>
                <w:sz w:val="22"/>
                <w:szCs w:val="22"/>
              </w:rPr>
              <w:t>Ginebra,</w:t>
            </w:r>
            <w:r w:rsidR="0056432A" w:rsidRPr="00F253EF">
              <w:rPr>
                <w:sz w:val="22"/>
                <w:szCs w:val="22"/>
              </w:rPr>
              <w:t xml:space="preserve"> 11 de octubre de 2021</w:t>
            </w:r>
          </w:p>
        </w:tc>
      </w:tr>
      <w:tr w:rsidR="007B6316" w:rsidRPr="00F253EF" w14:paraId="23D05137" w14:textId="77777777" w:rsidTr="002E5B07">
        <w:trPr>
          <w:cantSplit/>
          <w:trHeight w:val="340"/>
        </w:trPr>
        <w:tc>
          <w:tcPr>
            <w:tcW w:w="1268" w:type="dxa"/>
          </w:tcPr>
          <w:p w14:paraId="295C7C82" w14:textId="3E5C85AB" w:rsidR="007B6316" w:rsidRPr="00F253EF" w:rsidRDefault="007B6316" w:rsidP="002E5B07">
            <w:pPr>
              <w:tabs>
                <w:tab w:val="left" w:pos="4111"/>
              </w:tabs>
              <w:spacing w:before="20" w:after="20"/>
              <w:ind w:left="57"/>
              <w:rPr>
                <w:sz w:val="22"/>
                <w:szCs w:val="22"/>
              </w:rPr>
            </w:pPr>
            <w:r w:rsidRPr="00F253EF">
              <w:rPr>
                <w:sz w:val="22"/>
                <w:szCs w:val="22"/>
              </w:rPr>
              <w:t>Ref.:</w:t>
            </w:r>
          </w:p>
        </w:tc>
        <w:tc>
          <w:tcPr>
            <w:tcW w:w="3609" w:type="dxa"/>
            <w:gridSpan w:val="2"/>
          </w:tcPr>
          <w:p w14:paraId="5C214019" w14:textId="2637252F" w:rsidR="007B6316" w:rsidRPr="00F253EF" w:rsidRDefault="007B6316" w:rsidP="002E5B07">
            <w:pPr>
              <w:tabs>
                <w:tab w:val="left" w:pos="4111"/>
              </w:tabs>
              <w:spacing w:before="20" w:after="20"/>
              <w:ind w:left="57"/>
              <w:rPr>
                <w:b/>
                <w:bCs/>
                <w:sz w:val="22"/>
                <w:szCs w:val="22"/>
              </w:rPr>
            </w:pPr>
            <w:r w:rsidRPr="00F253EF">
              <w:rPr>
                <w:b/>
                <w:bCs/>
                <w:sz w:val="22"/>
                <w:szCs w:val="22"/>
              </w:rPr>
              <w:t xml:space="preserve">Circular TSB </w:t>
            </w:r>
            <w:r w:rsidR="0056432A" w:rsidRPr="00F253EF">
              <w:rPr>
                <w:b/>
                <w:bCs/>
                <w:sz w:val="22"/>
                <w:szCs w:val="22"/>
              </w:rPr>
              <w:t>349</w:t>
            </w:r>
          </w:p>
          <w:p w14:paraId="085C5055" w14:textId="4BD0F6C6" w:rsidR="007B6316" w:rsidRPr="00F253EF" w:rsidRDefault="0056432A" w:rsidP="002E5B07">
            <w:pPr>
              <w:tabs>
                <w:tab w:val="left" w:pos="4111"/>
              </w:tabs>
              <w:spacing w:before="20" w:after="20"/>
              <w:ind w:left="57"/>
              <w:rPr>
                <w:sz w:val="22"/>
                <w:szCs w:val="22"/>
              </w:rPr>
            </w:pPr>
            <w:r w:rsidRPr="00F253EF">
              <w:rPr>
                <w:sz w:val="22"/>
                <w:szCs w:val="22"/>
              </w:rPr>
              <w:t>TSB Events/DA</w:t>
            </w:r>
          </w:p>
        </w:tc>
        <w:tc>
          <w:tcPr>
            <w:tcW w:w="5329" w:type="dxa"/>
            <w:vMerge w:val="restart"/>
          </w:tcPr>
          <w:p w14:paraId="1B90DE41" w14:textId="77777777" w:rsidR="002E5B07" w:rsidRPr="00F253EF" w:rsidRDefault="002E5B07" w:rsidP="002E5B07">
            <w:pPr>
              <w:tabs>
                <w:tab w:val="clear" w:pos="794"/>
                <w:tab w:val="clear" w:pos="1191"/>
                <w:tab w:val="clear" w:pos="1588"/>
                <w:tab w:val="clear" w:pos="1985"/>
                <w:tab w:val="left" w:pos="284"/>
              </w:tabs>
              <w:spacing w:before="20" w:after="20"/>
              <w:ind w:left="284" w:hanging="227"/>
              <w:rPr>
                <w:b/>
                <w:bCs/>
                <w:sz w:val="22"/>
                <w:szCs w:val="22"/>
              </w:rPr>
            </w:pPr>
            <w:bookmarkStart w:id="0" w:name="Addressee_S"/>
            <w:bookmarkEnd w:id="0"/>
            <w:r w:rsidRPr="00F253EF">
              <w:rPr>
                <w:b/>
                <w:bCs/>
                <w:sz w:val="22"/>
                <w:szCs w:val="22"/>
              </w:rPr>
              <w:t>A:</w:t>
            </w:r>
          </w:p>
          <w:p w14:paraId="011081EE" w14:textId="03A707C1" w:rsidR="0056432A" w:rsidRPr="00F253EF" w:rsidRDefault="0056432A" w:rsidP="002E5B07">
            <w:pPr>
              <w:tabs>
                <w:tab w:val="clear" w:pos="794"/>
                <w:tab w:val="clear" w:pos="1191"/>
                <w:tab w:val="clear" w:pos="1588"/>
                <w:tab w:val="clear" w:pos="1985"/>
                <w:tab w:val="left" w:pos="284"/>
              </w:tabs>
              <w:spacing w:before="20" w:after="20"/>
              <w:ind w:left="284" w:hanging="227"/>
              <w:rPr>
                <w:sz w:val="22"/>
                <w:szCs w:val="22"/>
              </w:rPr>
            </w:pPr>
            <w:r w:rsidRPr="00F253EF">
              <w:rPr>
                <w:sz w:val="22"/>
                <w:szCs w:val="22"/>
              </w:rPr>
              <w:t>–</w:t>
            </w:r>
            <w:r w:rsidRPr="00F253EF">
              <w:rPr>
                <w:sz w:val="22"/>
                <w:szCs w:val="22"/>
              </w:rPr>
              <w:tab/>
              <w:t xml:space="preserve">las Administraciones de los Estados Miembros </w:t>
            </w:r>
            <w:r w:rsidRPr="00F253EF">
              <w:rPr>
                <w:sz w:val="22"/>
                <w:szCs w:val="22"/>
              </w:rPr>
              <w:br/>
              <w:t>de la Unión;</w:t>
            </w:r>
          </w:p>
          <w:p w14:paraId="71553E88" w14:textId="0C2C0B8D" w:rsidR="0056432A" w:rsidRPr="00F253EF" w:rsidRDefault="0056432A" w:rsidP="002E5B07">
            <w:pPr>
              <w:tabs>
                <w:tab w:val="clear" w:pos="794"/>
                <w:tab w:val="clear" w:pos="1191"/>
                <w:tab w:val="clear" w:pos="1588"/>
                <w:tab w:val="clear" w:pos="1985"/>
                <w:tab w:val="left" w:pos="284"/>
              </w:tabs>
              <w:spacing w:before="20" w:after="20"/>
              <w:ind w:left="284" w:hanging="227"/>
              <w:rPr>
                <w:sz w:val="22"/>
                <w:szCs w:val="22"/>
              </w:rPr>
            </w:pPr>
            <w:r w:rsidRPr="00F253EF">
              <w:rPr>
                <w:sz w:val="22"/>
                <w:szCs w:val="22"/>
              </w:rPr>
              <w:t>–</w:t>
            </w:r>
            <w:r w:rsidRPr="00F253EF">
              <w:rPr>
                <w:sz w:val="22"/>
                <w:szCs w:val="22"/>
              </w:rPr>
              <w:tab/>
              <w:t>los Miembros de Sector del UIT-T;</w:t>
            </w:r>
          </w:p>
          <w:p w14:paraId="6E4CD4A6" w14:textId="443E4475" w:rsidR="0056432A" w:rsidRPr="00F253EF" w:rsidRDefault="0056432A" w:rsidP="002E5B07">
            <w:pPr>
              <w:tabs>
                <w:tab w:val="clear" w:pos="794"/>
                <w:tab w:val="clear" w:pos="1191"/>
                <w:tab w:val="clear" w:pos="1588"/>
                <w:tab w:val="clear" w:pos="1985"/>
                <w:tab w:val="left" w:pos="284"/>
              </w:tabs>
              <w:spacing w:before="20" w:after="20"/>
              <w:ind w:left="284" w:hanging="227"/>
              <w:rPr>
                <w:sz w:val="22"/>
                <w:szCs w:val="22"/>
              </w:rPr>
            </w:pPr>
            <w:r w:rsidRPr="00F253EF">
              <w:rPr>
                <w:sz w:val="22"/>
                <w:szCs w:val="22"/>
              </w:rPr>
              <w:t>–</w:t>
            </w:r>
            <w:r w:rsidRPr="00F253EF">
              <w:rPr>
                <w:sz w:val="22"/>
                <w:szCs w:val="22"/>
              </w:rPr>
              <w:tab/>
              <w:t>los Asociados del UIT-T;</w:t>
            </w:r>
          </w:p>
          <w:p w14:paraId="58828FB7" w14:textId="409EC174" w:rsidR="007B6316" w:rsidRPr="00F253EF" w:rsidRDefault="0056432A" w:rsidP="002E5B07">
            <w:pPr>
              <w:tabs>
                <w:tab w:val="clear" w:pos="794"/>
                <w:tab w:val="clear" w:pos="1191"/>
                <w:tab w:val="clear" w:pos="1588"/>
                <w:tab w:val="clear" w:pos="1985"/>
                <w:tab w:val="left" w:pos="284"/>
              </w:tabs>
              <w:spacing w:before="20" w:after="20"/>
              <w:ind w:left="284" w:hanging="227"/>
              <w:rPr>
                <w:sz w:val="22"/>
                <w:szCs w:val="22"/>
              </w:rPr>
            </w:pPr>
            <w:r w:rsidRPr="00F253EF">
              <w:rPr>
                <w:sz w:val="22"/>
                <w:szCs w:val="22"/>
              </w:rPr>
              <w:t>–</w:t>
            </w:r>
            <w:r w:rsidRPr="00F253EF">
              <w:rPr>
                <w:sz w:val="22"/>
                <w:szCs w:val="22"/>
              </w:rPr>
              <w:tab/>
              <w:t>las Instituciones Académicas de la UIT</w:t>
            </w:r>
          </w:p>
        </w:tc>
      </w:tr>
      <w:tr w:rsidR="0056432A" w:rsidRPr="00F253EF" w14:paraId="7D129D05" w14:textId="77777777" w:rsidTr="002E5B07">
        <w:trPr>
          <w:cantSplit/>
          <w:trHeight w:val="340"/>
        </w:trPr>
        <w:tc>
          <w:tcPr>
            <w:tcW w:w="1268" w:type="dxa"/>
          </w:tcPr>
          <w:p w14:paraId="46AC6113" w14:textId="34871BE8" w:rsidR="0056432A" w:rsidRPr="00F253EF" w:rsidRDefault="0056432A" w:rsidP="002E5B07">
            <w:pPr>
              <w:tabs>
                <w:tab w:val="left" w:pos="4111"/>
              </w:tabs>
              <w:spacing w:before="20" w:after="20"/>
              <w:ind w:left="57"/>
              <w:rPr>
                <w:sz w:val="22"/>
                <w:szCs w:val="22"/>
              </w:rPr>
            </w:pPr>
            <w:r w:rsidRPr="00F253EF">
              <w:rPr>
                <w:sz w:val="22"/>
                <w:szCs w:val="22"/>
              </w:rPr>
              <w:t>Contacto:</w:t>
            </w:r>
          </w:p>
        </w:tc>
        <w:tc>
          <w:tcPr>
            <w:tcW w:w="3609" w:type="dxa"/>
            <w:gridSpan w:val="2"/>
          </w:tcPr>
          <w:p w14:paraId="5E14EE64" w14:textId="4D952B3F" w:rsidR="0056432A" w:rsidRPr="00F253EF" w:rsidRDefault="0056432A" w:rsidP="002E5B07">
            <w:pPr>
              <w:tabs>
                <w:tab w:val="left" w:pos="4111"/>
              </w:tabs>
              <w:spacing w:before="20" w:after="20"/>
              <w:ind w:left="57"/>
              <w:rPr>
                <w:b/>
                <w:bCs/>
                <w:sz w:val="22"/>
                <w:szCs w:val="22"/>
              </w:rPr>
            </w:pPr>
            <w:r w:rsidRPr="00F253EF">
              <w:rPr>
                <w:b/>
                <w:bCs/>
                <w:sz w:val="22"/>
                <w:szCs w:val="22"/>
              </w:rPr>
              <w:t>Denis ANDREEV</w:t>
            </w:r>
          </w:p>
        </w:tc>
        <w:tc>
          <w:tcPr>
            <w:tcW w:w="5329" w:type="dxa"/>
            <w:vMerge/>
          </w:tcPr>
          <w:p w14:paraId="640A6005" w14:textId="77777777" w:rsidR="0056432A" w:rsidRPr="00F253EF" w:rsidRDefault="0056432A" w:rsidP="00303D62">
            <w:pPr>
              <w:tabs>
                <w:tab w:val="clear" w:pos="794"/>
                <w:tab w:val="clear" w:pos="1191"/>
                <w:tab w:val="clear" w:pos="1588"/>
                <w:tab w:val="clear" w:pos="1985"/>
                <w:tab w:val="left" w:pos="284"/>
              </w:tabs>
              <w:spacing w:before="0"/>
              <w:ind w:left="284" w:hanging="227"/>
              <w:rPr>
                <w:sz w:val="22"/>
                <w:szCs w:val="22"/>
              </w:rPr>
            </w:pPr>
          </w:p>
        </w:tc>
      </w:tr>
      <w:tr w:rsidR="007B6316" w:rsidRPr="00F253EF" w14:paraId="17FEBE5C" w14:textId="77777777" w:rsidTr="002E5B07">
        <w:trPr>
          <w:cantSplit/>
        </w:trPr>
        <w:tc>
          <w:tcPr>
            <w:tcW w:w="1268" w:type="dxa"/>
          </w:tcPr>
          <w:p w14:paraId="09C86B33" w14:textId="77777777" w:rsidR="007B6316" w:rsidRPr="00F253EF" w:rsidRDefault="007B6316" w:rsidP="002E5B07">
            <w:pPr>
              <w:tabs>
                <w:tab w:val="left" w:pos="4111"/>
              </w:tabs>
              <w:spacing w:before="20" w:after="20"/>
              <w:ind w:left="57"/>
              <w:rPr>
                <w:sz w:val="22"/>
                <w:szCs w:val="22"/>
              </w:rPr>
            </w:pPr>
            <w:r w:rsidRPr="00F253EF">
              <w:rPr>
                <w:sz w:val="22"/>
                <w:szCs w:val="22"/>
              </w:rPr>
              <w:t>Tel.:</w:t>
            </w:r>
          </w:p>
        </w:tc>
        <w:tc>
          <w:tcPr>
            <w:tcW w:w="3609" w:type="dxa"/>
            <w:gridSpan w:val="2"/>
          </w:tcPr>
          <w:p w14:paraId="68C52A30" w14:textId="2C8855A6" w:rsidR="007B6316" w:rsidRPr="00F253EF" w:rsidRDefault="0056432A" w:rsidP="002E5B07">
            <w:pPr>
              <w:tabs>
                <w:tab w:val="left" w:pos="4111"/>
              </w:tabs>
              <w:spacing w:before="20" w:after="20"/>
              <w:ind w:left="57"/>
              <w:rPr>
                <w:rStyle w:val="Hyperlink"/>
                <w:color w:val="auto"/>
                <w:sz w:val="22"/>
                <w:szCs w:val="22"/>
              </w:rPr>
            </w:pPr>
            <w:r w:rsidRPr="00F253EF">
              <w:rPr>
                <w:sz w:val="22"/>
                <w:szCs w:val="22"/>
              </w:rPr>
              <w:t>+41 22 730 5780</w:t>
            </w:r>
          </w:p>
        </w:tc>
        <w:tc>
          <w:tcPr>
            <w:tcW w:w="5329" w:type="dxa"/>
            <w:vMerge/>
          </w:tcPr>
          <w:p w14:paraId="6EF06926" w14:textId="77777777" w:rsidR="007B6316" w:rsidRPr="00F253EF" w:rsidRDefault="007B6316" w:rsidP="00303D62">
            <w:pPr>
              <w:tabs>
                <w:tab w:val="left" w:pos="4111"/>
              </w:tabs>
              <w:spacing w:before="0"/>
              <w:rPr>
                <w:b/>
                <w:sz w:val="22"/>
                <w:szCs w:val="22"/>
              </w:rPr>
            </w:pPr>
          </w:p>
        </w:tc>
      </w:tr>
      <w:tr w:rsidR="007B6316" w:rsidRPr="00F253EF" w14:paraId="53077D56" w14:textId="77777777" w:rsidTr="002E5B07">
        <w:trPr>
          <w:cantSplit/>
        </w:trPr>
        <w:tc>
          <w:tcPr>
            <w:tcW w:w="1268" w:type="dxa"/>
          </w:tcPr>
          <w:p w14:paraId="22D98419" w14:textId="77777777" w:rsidR="007B6316" w:rsidRPr="00F253EF" w:rsidRDefault="007B6316" w:rsidP="002E5B07">
            <w:pPr>
              <w:tabs>
                <w:tab w:val="left" w:pos="4111"/>
              </w:tabs>
              <w:spacing w:before="20" w:after="20"/>
              <w:ind w:left="57"/>
              <w:rPr>
                <w:sz w:val="22"/>
                <w:szCs w:val="22"/>
              </w:rPr>
            </w:pPr>
            <w:r w:rsidRPr="00F253EF">
              <w:rPr>
                <w:sz w:val="22"/>
                <w:szCs w:val="22"/>
              </w:rPr>
              <w:t>Fax:</w:t>
            </w:r>
          </w:p>
        </w:tc>
        <w:tc>
          <w:tcPr>
            <w:tcW w:w="3609" w:type="dxa"/>
            <w:gridSpan w:val="2"/>
          </w:tcPr>
          <w:p w14:paraId="0DAD8129" w14:textId="6798A8E1" w:rsidR="007B6316" w:rsidRPr="00F253EF" w:rsidRDefault="0056432A" w:rsidP="002E5B07">
            <w:pPr>
              <w:tabs>
                <w:tab w:val="left" w:pos="4111"/>
              </w:tabs>
              <w:spacing w:before="20" w:after="20"/>
              <w:ind w:left="57"/>
              <w:rPr>
                <w:rStyle w:val="Hyperlink"/>
                <w:color w:val="auto"/>
                <w:sz w:val="22"/>
                <w:szCs w:val="22"/>
              </w:rPr>
            </w:pPr>
            <w:r w:rsidRPr="00F253EF">
              <w:rPr>
                <w:sz w:val="22"/>
                <w:szCs w:val="22"/>
              </w:rPr>
              <w:t>+41 22 730 5853</w:t>
            </w:r>
          </w:p>
        </w:tc>
        <w:tc>
          <w:tcPr>
            <w:tcW w:w="5329" w:type="dxa"/>
            <w:vMerge/>
          </w:tcPr>
          <w:p w14:paraId="5440BFB6" w14:textId="77777777" w:rsidR="007B6316" w:rsidRPr="00F253EF" w:rsidRDefault="007B6316" w:rsidP="00303D62">
            <w:pPr>
              <w:tabs>
                <w:tab w:val="left" w:pos="4111"/>
              </w:tabs>
              <w:spacing w:before="0"/>
              <w:rPr>
                <w:b/>
                <w:sz w:val="22"/>
                <w:szCs w:val="22"/>
              </w:rPr>
            </w:pPr>
          </w:p>
        </w:tc>
      </w:tr>
      <w:tr w:rsidR="00C34772" w:rsidRPr="00F253EF" w14:paraId="74737CDC" w14:textId="77777777" w:rsidTr="002E5B07">
        <w:trPr>
          <w:cantSplit/>
        </w:trPr>
        <w:tc>
          <w:tcPr>
            <w:tcW w:w="1268" w:type="dxa"/>
          </w:tcPr>
          <w:p w14:paraId="61602C60" w14:textId="77777777" w:rsidR="00C34772" w:rsidRPr="00F253EF" w:rsidRDefault="00C34772" w:rsidP="002E5B07">
            <w:pPr>
              <w:tabs>
                <w:tab w:val="left" w:pos="4111"/>
              </w:tabs>
              <w:spacing w:before="20" w:after="20"/>
              <w:ind w:left="57"/>
              <w:rPr>
                <w:sz w:val="22"/>
                <w:szCs w:val="22"/>
              </w:rPr>
            </w:pPr>
            <w:r w:rsidRPr="00F253EF">
              <w:rPr>
                <w:sz w:val="22"/>
                <w:szCs w:val="22"/>
              </w:rPr>
              <w:t>Correo-e:</w:t>
            </w:r>
          </w:p>
        </w:tc>
        <w:tc>
          <w:tcPr>
            <w:tcW w:w="3609" w:type="dxa"/>
            <w:gridSpan w:val="2"/>
          </w:tcPr>
          <w:p w14:paraId="41933A70" w14:textId="6CFEB76A" w:rsidR="00C34772" w:rsidRPr="00F253EF" w:rsidRDefault="001655D8" w:rsidP="002E5B07">
            <w:pPr>
              <w:tabs>
                <w:tab w:val="left" w:pos="4111"/>
              </w:tabs>
              <w:spacing w:before="20" w:after="20"/>
              <w:ind w:left="57"/>
              <w:rPr>
                <w:sz w:val="22"/>
                <w:szCs w:val="22"/>
              </w:rPr>
            </w:pPr>
            <w:hyperlink r:id="rId9" w:history="1">
              <w:r w:rsidR="002E5B07" w:rsidRPr="00F253EF">
                <w:rPr>
                  <w:rStyle w:val="Hyperlink"/>
                  <w:sz w:val="22"/>
                  <w:szCs w:val="22"/>
                </w:rPr>
                <w:t>tsbevents@itu.int</w:t>
              </w:r>
            </w:hyperlink>
          </w:p>
        </w:tc>
        <w:tc>
          <w:tcPr>
            <w:tcW w:w="5329" w:type="dxa"/>
          </w:tcPr>
          <w:p w14:paraId="4835B32D" w14:textId="77777777" w:rsidR="00C34772" w:rsidRPr="00F253EF" w:rsidRDefault="00C34772" w:rsidP="002E5B07">
            <w:pPr>
              <w:tabs>
                <w:tab w:val="clear" w:pos="794"/>
                <w:tab w:val="clear" w:pos="1191"/>
                <w:tab w:val="clear" w:pos="1588"/>
                <w:tab w:val="clear" w:pos="1985"/>
                <w:tab w:val="left" w:pos="284"/>
              </w:tabs>
              <w:spacing w:before="20" w:after="20"/>
              <w:ind w:left="284" w:hanging="227"/>
              <w:rPr>
                <w:b/>
                <w:bCs/>
                <w:sz w:val="22"/>
                <w:szCs w:val="22"/>
              </w:rPr>
            </w:pPr>
            <w:r w:rsidRPr="00F253EF">
              <w:rPr>
                <w:b/>
                <w:bCs/>
                <w:sz w:val="22"/>
                <w:szCs w:val="22"/>
              </w:rPr>
              <w:t>Copia:</w:t>
            </w:r>
          </w:p>
          <w:p w14:paraId="20A6F3C6" w14:textId="08CBB997" w:rsidR="0056432A" w:rsidRPr="00F253EF" w:rsidRDefault="0056432A" w:rsidP="002E5B07">
            <w:pPr>
              <w:tabs>
                <w:tab w:val="clear" w:pos="794"/>
                <w:tab w:val="clear" w:pos="1191"/>
                <w:tab w:val="clear" w:pos="1588"/>
                <w:tab w:val="clear" w:pos="1985"/>
                <w:tab w:val="left" w:pos="284"/>
              </w:tabs>
              <w:spacing w:before="20" w:after="20"/>
              <w:ind w:left="284" w:hanging="227"/>
              <w:rPr>
                <w:sz w:val="22"/>
                <w:szCs w:val="22"/>
              </w:rPr>
            </w:pPr>
            <w:r w:rsidRPr="00F253EF">
              <w:rPr>
                <w:sz w:val="22"/>
                <w:szCs w:val="22"/>
              </w:rPr>
              <w:t>–</w:t>
            </w:r>
            <w:r w:rsidRPr="00F253EF">
              <w:rPr>
                <w:sz w:val="22"/>
                <w:szCs w:val="22"/>
              </w:rPr>
              <w:tab/>
            </w:r>
            <w:r w:rsidR="002E5B07" w:rsidRPr="00F253EF">
              <w:rPr>
                <w:sz w:val="22"/>
                <w:szCs w:val="22"/>
              </w:rPr>
              <w:t>a</w:t>
            </w:r>
            <w:r w:rsidRPr="00F253EF">
              <w:rPr>
                <w:sz w:val="22"/>
                <w:szCs w:val="22"/>
              </w:rPr>
              <w:t xml:space="preserve"> los </w:t>
            </w:r>
            <w:proofErr w:type="gramStart"/>
            <w:r w:rsidRPr="00F253EF">
              <w:rPr>
                <w:sz w:val="22"/>
                <w:szCs w:val="22"/>
              </w:rPr>
              <w:t>Presidentes</w:t>
            </w:r>
            <w:proofErr w:type="gramEnd"/>
            <w:r w:rsidRPr="00F253EF">
              <w:rPr>
                <w:sz w:val="22"/>
                <w:szCs w:val="22"/>
              </w:rPr>
              <w:t xml:space="preserve"> y Vicepresidentes de las</w:t>
            </w:r>
            <w:r w:rsidR="002E5B07" w:rsidRPr="00F253EF">
              <w:rPr>
                <w:sz w:val="22"/>
                <w:szCs w:val="22"/>
              </w:rPr>
              <w:t xml:space="preserve"> </w:t>
            </w:r>
            <w:r w:rsidRPr="00F253EF">
              <w:rPr>
                <w:sz w:val="22"/>
                <w:szCs w:val="22"/>
              </w:rPr>
              <w:t>Comisiones de Estudio</w:t>
            </w:r>
            <w:r w:rsidR="00892862" w:rsidRPr="00F253EF">
              <w:rPr>
                <w:sz w:val="22"/>
                <w:szCs w:val="22"/>
              </w:rPr>
              <w:t xml:space="preserve"> del UIT-T</w:t>
            </w:r>
            <w:r w:rsidRPr="00F253EF">
              <w:rPr>
                <w:sz w:val="22"/>
                <w:szCs w:val="22"/>
              </w:rPr>
              <w:t>;</w:t>
            </w:r>
          </w:p>
          <w:p w14:paraId="7810732E" w14:textId="4276AD63" w:rsidR="0056432A" w:rsidRPr="00F253EF" w:rsidRDefault="00527F2A" w:rsidP="002E5B07">
            <w:pPr>
              <w:tabs>
                <w:tab w:val="clear" w:pos="794"/>
                <w:tab w:val="clear" w:pos="1191"/>
                <w:tab w:val="clear" w:pos="1588"/>
                <w:tab w:val="clear" w:pos="1985"/>
                <w:tab w:val="left" w:pos="284"/>
              </w:tabs>
              <w:spacing w:before="20" w:after="20"/>
              <w:ind w:left="284" w:hanging="227"/>
              <w:rPr>
                <w:sz w:val="22"/>
                <w:szCs w:val="22"/>
              </w:rPr>
            </w:pPr>
            <w:r w:rsidRPr="00F253EF">
              <w:rPr>
                <w:sz w:val="22"/>
                <w:szCs w:val="22"/>
              </w:rPr>
              <w:t>–</w:t>
            </w:r>
            <w:r w:rsidR="0056432A" w:rsidRPr="00F253EF">
              <w:rPr>
                <w:sz w:val="22"/>
                <w:szCs w:val="22"/>
              </w:rPr>
              <w:tab/>
            </w:r>
            <w:r w:rsidR="002E5B07" w:rsidRPr="00F253EF">
              <w:rPr>
                <w:sz w:val="22"/>
                <w:szCs w:val="22"/>
              </w:rPr>
              <w:t>a</w:t>
            </w:r>
            <w:r w:rsidR="0056432A" w:rsidRPr="00F253EF">
              <w:rPr>
                <w:sz w:val="22"/>
                <w:szCs w:val="22"/>
              </w:rPr>
              <w:t xml:space="preserve"> la </w:t>
            </w:r>
            <w:proofErr w:type="gramStart"/>
            <w:r w:rsidR="0056432A" w:rsidRPr="00F253EF">
              <w:rPr>
                <w:sz w:val="22"/>
                <w:szCs w:val="22"/>
              </w:rPr>
              <w:t>Directora</w:t>
            </w:r>
            <w:proofErr w:type="gramEnd"/>
            <w:r w:rsidR="0056432A" w:rsidRPr="00F253EF">
              <w:rPr>
                <w:sz w:val="22"/>
                <w:szCs w:val="22"/>
              </w:rPr>
              <w:t xml:space="preserve"> de la Oficina de Desarrollo de las Telecomunicaciones;</w:t>
            </w:r>
          </w:p>
          <w:p w14:paraId="126CD6A7" w14:textId="013A99B2" w:rsidR="00C34772" w:rsidRPr="00F253EF" w:rsidRDefault="0056432A" w:rsidP="002E5B07">
            <w:pPr>
              <w:tabs>
                <w:tab w:val="clear" w:pos="794"/>
                <w:tab w:val="clear" w:pos="1191"/>
                <w:tab w:val="clear" w:pos="1588"/>
                <w:tab w:val="clear" w:pos="1985"/>
                <w:tab w:val="left" w:pos="284"/>
              </w:tabs>
              <w:spacing w:before="20" w:after="20"/>
              <w:ind w:left="284" w:hanging="227"/>
              <w:rPr>
                <w:sz w:val="22"/>
                <w:szCs w:val="22"/>
              </w:rPr>
            </w:pPr>
            <w:r w:rsidRPr="00F253EF">
              <w:rPr>
                <w:sz w:val="22"/>
                <w:szCs w:val="22"/>
              </w:rPr>
              <w:t>–</w:t>
            </w:r>
            <w:r w:rsidRPr="00F253EF">
              <w:rPr>
                <w:sz w:val="22"/>
                <w:szCs w:val="22"/>
              </w:rPr>
              <w:tab/>
            </w:r>
            <w:r w:rsidR="002E5B07" w:rsidRPr="00F253EF">
              <w:rPr>
                <w:sz w:val="22"/>
                <w:szCs w:val="22"/>
              </w:rPr>
              <w:t>a</w:t>
            </w:r>
            <w:r w:rsidRPr="00F253EF">
              <w:rPr>
                <w:sz w:val="22"/>
                <w:szCs w:val="22"/>
              </w:rPr>
              <w:t xml:space="preserve">l </w:t>
            </w:r>
            <w:proofErr w:type="gramStart"/>
            <w:r w:rsidRPr="00F253EF">
              <w:rPr>
                <w:sz w:val="22"/>
                <w:szCs w:val="22"/>
              </w:rPr>
              <w:t>Director</w:t>
            </w:r>
            <w:proofErr w:type="gramEnd"/>
            <w:r w:rsidRPr="00F253EF">
              <w:rPr>
                <w:sz w:val="22"/>
                <w:szCs w:val="22"/>
              </w:rPr>
              <w:t xml:space="preserve"> de la Oficina de Radiocomunicaciones</w:t>
            </w:r>
          </w:p>
        </w:tc>
      </w:tr>
      <w:tr w:rsidR="007B6316" w:rsidRPr="00F253EF" w14:paraId="649518F7" w14:textId="77777777" w:rsidTr="002E5B07">
        <w:trPr>
          <w:cantSplit/>
        </w:trPr>
        <w:tc>
          <w:tcPr>
            <w:tcW w:w="1268" w:type="dxa"/>
          </w:tcPr>
          <w:p w14:paraId="0D8A0CF8" w14:textId="77777777" w:rsidR="007B6316" w:rsidRPr="00F253EF" w:rsidRDefault="007B6316" w:rsidP="00C6686E">
            <w:pPr>
              <w:ind w:left="57"/>
              <w:rPr>
                <w:b/>
                <w:bCs/>
                <w:sz w:val="22"/>
                <w:szCs w:val="22"/>
              </w:rPr>
            </w:pPr>
            <w:r w:rsidRPr="00F253EF">
              <w:rPr>
                <w:b/>
                <w:bCs/>
                <w:sz w:val="22"/>
                <w:szCs w:val="22"/>
              </w:rPr>
              <w:t>Asunto:</w:t>
            </w:r>
          </w:p>
        </w:tc>
        <w:tc>
          <w:tcPr>
            <w:tcW w:w="8938" w:type="dxa"/>
            <w:gridSpan w:val="3"/>
          </w:tcPr>
          <w:p w14:paraId="0420421E" w14:textId="0EDE91CD" w:rsidR="007B6316" w:rsidRPr="00F253EF" w:rsidRDefault="0056432A" w:rsidP="00C6686E">
            <w:pPr>
              <w:ind w:left="57"/>
              <w:rPr>
                <w:b/>
                <w:sz w:val="22"/>
                <w:szCs w:val="22"/>
              </w:rPr>
            </w:pPr>
            <w:r w:rsidRPr="00F253EF">
              <w:rPr>
                <w:sz w:val="22"/>
                <w:szCs w:val="22"/>
              </w:rPr>
              <w:t xml:space="preserve">Taller de la UIT sobre </w:t>
            </w:r>
            <w:r w:rsidR="00C6686E" w:rsidRPr="00F253EF">
              <w:rPr>
                <w:sz w:val="22"/>
                <w:szCs w:val="22"/>
              </w:rPr>
              <w:t>"</w:t>
            </w:r>
            <w:r w:rsidRPr="00F253EF">
              <w:rPr>
                <w:sz w:val="22"/>
                <w:szCs w:val="22"/>
              </w:rPr>
              <w:t>Mejora de la seguridad de los protocolos de señalización</w:t>
            </w:r>
            <w:r w:rsidR="00C6686E" w:rsidRPr="00F253EF">
              <w:rPr>
                <w:sz w:val="22"/>
                <w:szCs w:val="22"/>
              </w:rPr>
              <w:t>"</w:t>
            </w:r>
            <w:r w:rsidRPr="00F253EF">
              <w:rPr>
                <w:sz w:val="22"/>
                <w:szCs w:val="22"/>
              </w:rPr>
              <w:t xml:space="preserve"> </w:t>
            </w:r>
            <w:r w:rsidR="00C6686E" w:rsidRPr="00F253EF">
              <w:rPr>
                <w:sz w:val="22"/>
                <w:szCs w:val="22"/>
              </w:rPr>
              <w:br/>
            </w:r>
            <w:r w:rsidRPr="00F253EF">
              <w:rPr>
                <w:b/>
                <w:sz w:val="22"/>
                <w:szCs w:val="22"/>
              </w:rPr>
              <w:t>(</w:t>
            </w:r>
            <w:r w:rsidR="00892862" w:rsidRPr="00F253EF">
              <w:rPr>
                <w:b/>
                <w:sz w:val="22"/>
                <w:szCs w:val="22"/>
              </w:rPr>
              <w:t>r</w:t>
            </w:r>
            <w:r w:rsidRPr="00F253EF">
              <w:rPr>
                <w:b/>
                <w:sz w:val="22"/>
                <w:szCs w:val="22"/>
              </w:rPr>
              <w:t>eunión totalmente virtual, 29 de noviembre de 2021)</w:t>
            </w:r>
          </w:p>
        </w:tc>
      </w:tr>
    </w:tbl>
    <w:p w14:paraId="46EBB20B" w14:textId="77777777" w:rsidR="00C34772" w:rsidRPr="00F253EF" w:rsidRDefault="00C34772" w:rsidP="00C6686E">
      <w:pPr>
        <w:pStyle w:val="Normalaftertitle0"/>
        <w:rPr>
          <w:sz w:val="22"/>
          <w:szCs w:val="22"/>
        </w:rPr>
      </w:pPr>
      <w:bookmarkStart w:id="1" w:name="StartTyping_S"/>
      <w:bookmarkStart w:id="2" w:name="suitetext"/>
      <w:bookmarkStart w:id="3" w:name="text"/>
      <w:bookmarkEnd w:id="1"/>
      <w:bookmarkEnd w:id="2"/>
      <w:bookmarkEnd w:id="3"/>
      <w:r w:rsidRPr="00F253EF">
        <w:rPr>
          <w:sz w:val="22"/>
          <w:szCs w:val="22"/>
        </w:rPr>
        <w:t>Muy Señora mía/Muy Señor mío:</w:t>
      </w:r>
    </w:p>
    <w:p w14:paraId="425B9AAC" w14:textId="37A26E1A" w:rsidR="0056432A" w:rsidRPr="00F253EF" w:rsidRDefault="0056432A" w:rsidP="0056432A">
      <w:pPr>
        <w:rPr>
          <w:b/>
          <w:sz w:val="22"/>
          <w:szCs w:val="22"/>
        </w:rPr>
      </w:pPr>
      <w:r w:rsidRPr="00F253EF">
        <w:rPr>
          <w:sz w:val="22"/>
          <w:szCs w:val="22"/>
        </w:rPr>
        <w:t>1</w:t>
      </w:r>
      <w:r w:rsidRPr="00F253EF">
        <w:rPr>
          <w:sz w:val="22"/>
          <w:szCs w:val="22"/>
        </w:rPr>
        <w:tab/>
      </w:r>
      <w:proofErr w:type="gramStart"/>
      <w:r w:rsidRPr="00F253EF">
        <w:rPr>
          <w:sz w:val="22"/>
          <w:szCs w:val="22"/>
        </w:rPr>
        <w:t>Tengo</w:t>
      </w:r>
      <w:proofErr w:type="gramEnd"/>
      <w:r w:rsidRPr="00F253EF">
        <w:rPr>
          <w:sz w:val="22"/>
          <w:szCs w:val="22"/>
        </w:rPr>
        <w:t xml:space="preserve"> el placer de invitarle al </w:t>
      </w:r>
      <w:r w:rsidR="00527F2A" w:rsidRPr="00F253EF">
        <w:rPr>
          <w:b/>
          <w:sz w:val="22"/>
          <w:szCs w:val="22"/>
        </w:rPr>
        <w:t>t</w:t>
      </w:r>
      <w:r w:rsidRPr="00F253EF">
        <w:rPr>
          <w:b/>
          <w:sz w:val="22"/>
          <w:szCs w:val="22"/>
        </w:rPr>
        <w:t xml:space="preserve">aller de la UIT sobre </w:t>
      </w:r>
      <w:r w:rsidR="002E5B07" w:rsidRPr="00F253EF">
        <w:rPr>
          <w:b/>
          <w:sz w:val="22"/>
          <w:szCs w:val="22"/>
        </w:rPr>
        <w:t>"</w:t>
      </w:r>
      <w:r w:rsidRPr="00F253EF">
        <w:rPr>
          <w:b/>
          <w:sz w:val="22"/>
          <w:szCs w:val="22"/>
        </w:rPr>
        <w:t>Mejora de la seguridad de los protocolos de señalización</w:t>
      </w:r>
      <w:r w:rsidR="002E5B07" w:rsidRPr="00F253EF">
        <w:rPr>
          <w:b/>
          <w:sz w:val="22"/>
          <w:szCs w:val="22"/>
        </w:rPr>
        <w:t>"</w:t>
      </w:r>
      <w:r w:rsidRPr="00F253EF">
        <w:rPr>
          <w:b/>
          <w:sz w:val="22"/>
          <w:szCs w:val="22"/>
        </w:rPr>
        <w:t xml:space="preserve"> </w:t>
      </w:r>
      <w:r w:rsidRPr="00F253EF">
        <w:rPr>
          <w:bCs/>
          <w:sz w:val="22"/>
          <w:szCs w:val="22"/>
        </w:rPr>
        <w:t>que tendrá lugar de manera virtual el día</w:t>
      </w:r>
      <w:r w:rsidRPr="00F253EF">
        <w:rPr>
          <w:b/>
          <w:sz w:val="22"/>
          <w:szCs w:val="22"/>
        </w:rPr>
        <w:t xml:space="preserve"> 29 de noviembre de 2021</w:t>
      </w:r>
      <w:r w:rsidRPr="00F253EF">
        <w:rPr>
          <w:bCs/>
          <w:sz w:val="22"/>
          <w:szCs w:val="22"/>
        </w:rPr>
        <w:t xml:space="preserve">, de las 13.00 a las 17.00 horas CET, hora de Ginebra. Este evento irá seguido de la reunión de la </w:t>
      </w:r>
      <w:hyperlink r:id="rId10" w:history="1">
        <w:r w:rsidRPr="00F253EF">
          <w:rPr>
            <w:rStyle w:val="Hyperlink"/>
            <w:bCs/>
            <w:sz w:val="22"/>
            <w:szCs w:val="22"/>
          </w:rPr>
          <w:t>Comisión de Estudio 11 del UIT-T</w:t>
        </w:r>
      </w:hyperlink>
      <w:r w:rsidRPr="00F253EF">
        <w:rPr>
          <w:bCs/>
          <w:sz w:val="22"/>
          <w:szCs w:val="22"/>
        </w:rPr>
        <w:t>, que se celebrará virtualmente del 1 al 10 de diciembre de 2021.</w:t>
      </w:r>
    </w:p>
    <w:p w14:paraId="4F49977E" w14:textId="77777777" w:rsidR="0056432A" w:rsidRPr="00F253EF" w:rsidRDefault="0056432A" w:rsidP="0056432A">
      <w:pPr>
        <w:rPr>
          <w:sz w:val="22"/>
          <w:szCs w:val="22"/>
        </w:rPr>
      </w:pPr>
      <w:r w:rsidRPr="00F253EF">
        <w:rPr>
          <w:sz w:val="22"/>
          <w:szCs w:val="22"/>
        </w:rPr>
        <w:t>2</w:t>
      </w:r>
      <w:r w:rsidRPr="00F253EF">
        <w:rPr>
          <w:sz w:val="22"/>
          <w:szCs w:val="22"/>
        </w:rPr>
        <w:tab/>
      </w:r>
      <w:proofErr w:type="gramStart"/>
      <w:r w:rsidRPr="00F253EF">
        <w:rPr>
          <w:sz w:val="22"/>
          <w:szCs w:val="22"/>
        </w:rPr>
        <w:t>A</w:t>
      </w:r>
      <w:proofErr w:type="gramEnd"/>
      <w:r w:rsidRPr="00F253EF">
        <w:rPr>
          <w:sz w:val="22"/>
          <w:szCs w:val="22"/>
        </w:rPr>
        <w:t xml:space="preserve"> lo largo del último decenio, la difusión generalizada de Internet en diversos sectores de la economía mundial ha dado lugar a un reforzamiento del vínculo entre las redes tradicionales de telecomunicaciones y su infraestructura, por un lado, y las diferentes industrias por otro.</w:t>
      </w:r>
    </w:p>
    <w:p w14:paraId="5545A2E6" w14:textId="77777777" w:rsidR="0056432A" w:rsidRPr="00F253EF" w:rsidRDefault="0056432A" w:rsidP="0056432A">
      <w:pPr>
        <w:rPr>
          <w:sz w:val="22"/>
          <w:szCs w:val="22"/>
        </w:rPr>
      </w:pPr>
      <w:r w:rsidRPr="00F253EF">
        <w:rPr>
          <w:sz w:val="22"/>
          <w:szCs w:val="22"/>
        </w:rPr>
        <w:t>3</w:t>
      </w:r>
      <w:r w:rsidRPr="00F253EF">
        <w:rPr>
          <w:sz w:val="22"/>
          <w:szCs w:val="22"/>
        </w:rPr>
        <w:tab/>
      </w:r>
      <w:proofErr w:type="gramStart"/>
      <w:r w:rsidRPr="00F253EF">
        <w:rPr>
          <w:sz w:val="22"/>
          <w:szCs w:val="22"/>
        </w:rPr>
        <w:t>La</w:t>
      </w:r>
      <w:proofErr w:type="gramEnd"/>
      <w:r w:rsidRPr="00F253EF">
        <w:rPr>
          <w:sz w:val="22"/>
          <w:szCs w:val="22"/>
        </w:rPr>
        <w:t xml:space="preserve"> actual infraestructura de las TIC, que se diseñó sin tener en cuenta la posible influencia de Internet, se enfrenta a ataques inesperados.</w:t>
      </w:r>
    </w:p>
    <w:p w14:paraId="6B87417F" w14:textId="0B8C1714" w:rsidR="0056432A" w:rsidRPr="00F253EF" w:rsidRDefault="0056432A" w:rsidP="0056432A">
      <w:pPr>
        <w:rPr>
          <w:sz w:val="22"/>
          <w:szCs w:val="22"/>
        </w:rPr>
      </w:pPr>
      <w:r w:rsidRPr="00F253EF">
        <w:rPr>
          <w:sz w:val="22"/>
          <w:szCs w:val="22"/>
        </w:rPr>
        <w:t>4</w:t>
      </w:r>
      <w:r w:rsidRPr="00F253EF">
        <w:rPr>
          <w:sz w:val="22"/>
          <w:szCs w:val="22"/>
        </w:rPr>
        <w:tab/>
      </w:r>
      <w:proofErr w:type="gramStart"/>
      <w:r w:rsidRPr="00F253EF">
        <w:rPr>
          <w:sz w:val="22"/>
          <w:szCs w:val="22"/>
        </w:rPr>
        <w:t>Estos</w:t>
      </w:r>
      <w:proofErr w:type="gramEnd"/>
      <w:r w:rsidRPr="00F253EF">
        <w:rPr>
          <w:sz w:val="22"/>
          <w:szCs w:val="22"/>
        </w:rPr>
        <w:t xml:space="preserve"> ataques se han convertido en una prioridad principal para distintas partes interesadas, en particular las instituciones y los operadores financieros.</w:t>
      </w:r>
    </w:p>
    <w:p w14:paraId="3EE88D36" w14:textId="25E969F0" w:rsidR="0056432A" w:rsidRPr="00F253EF" w:rsidRDefault="0056432A" w:rsidP="0056432A">
      <w:pPr>
        <w:rPr>
          <w:sz w:val="22"/>
          <w:szCs w:val="22"/>
        </w:rPr>
      </w:pPr>
      <w:r w:rsidRPr="00F253EF">
        <w:rPr>
          <w:sz w:val="22"/>
          <w:szCs w:val="22"/>
        </w:rPr>
        <w:t>5</w:t>
      </w:r>
      <w:r w:rsidRPr="00F253EF">
        <w:rPr>
          <w:sz w:val="22"/>
          <w:szCs w:val="22"/>
        </w:rPr>
        <w:tab/>
      </w:r>
      <w:proofErr w:type="gramStart"/>
      <w:r w:rsidRPr="00F253EF">
        <w:rPr>
          <w:sz w:val="22"/>
          <w:szCs w:val="22"/>
        </w:rPr>
        <w:t>Para</w:t>
      </w:r>
      <w:proofErr w:type="gramEnd"/>
      <w:r w:rsidRPr="00F253EF">
        <w:rPr>
          <w:sz w:val="22"/>
          <w:szCs w:val="22"/>
        </w:rPr>
        <w:t xml:space="preserve"> hacer frente a estas vulnerabilidades, es necesario establecer algunas medidas de seguridad en los protocolos existentes y futuros. La CE</w:t>
      </w:r>
      <w:r w:rsidR="00892862" w:rsidRPr="00F253EF">
        <w:rPr>
          <w:sz w:val="22"/>
          <w:szCs w:val="22"/>
        </w:rPr>
        <w:t> </w:t>
      </w:r>
      <w:r w:rsidRPr="00F253EF">
        <w:rPr>
          <w:sz w:val="22"/>
          <w:szCs w:val="22"/>
        </w:rPr>
        <w:t>11 del UIT-T ha estado elaborando un conjunto de normas al respecto, que incluyen la arquitectura de señalización y los requisitos de interconexión entre entidades de red fiables en apoyo de las redes existentes y emergentes. Además, la CE</w:t>
      </w:r>
      <w:r w:rsidR="00892862" w:rsidRPr="00F253EF">
        <w:rPr>
          <w:sz w:val="22"/>
          <w:szCs w:val="22"/>
        </w:rPr>
        <w:t> </w:t>
      </w:r>
      <w:r w:rsidRPr="00F253EF">
        <w:rPr>
          <w:sz w:val="22"/>
          <w:szCs w:val="22"/>
        </w:rPr>
        <w:t>11 del UIT-T se centra en la definición de algoritmos para la comprobación de los certificados digitales que se insertan en los distintos protocolos mediante la pasarela de seguridad de señalización (SSGW), que valida las firmas de los certificados de otros operadores y permite o bloquea los paquetes de señalización. Este enfoque puede ayudar a las instituciones financieras a establecer una conexión fiable con sus clientes.</w:t>
      </w:r>
    </w:p>
    <w:p w14:paraId="7A7E35FE" w14:textId="77777777" w:rsidR="0056432A" w:rsidRPr="00F253EF" w:rsidRDefault="0056432A" w:rsidP="002E5B07">
      <w:pPr>
        <w:keepNext/>
        <w:keepLines/>
        <w:rPr>
          <w:sz w:val="22"/>
          <w:szCs w:val="22"/>
        </w:rPr>
      </w:pPr>
      <w:r w:rsidRPr="00F253EF">
        <w:rPr>
          <w:sz w:val="22"/>
          <w:szCs w:val="22"/>
        </w:rPr>
        <w:lastRenderedPageBreak/>
        <w:t>6</w:t>
      </w:r>
      <w:r w:rsidRPr="00F253EF">
        <w:rPr>
          <w:sz w:val="22"/>
          <w:szCs w:val="22"/>
        </w:rPr>
        <w:tab/>
      </w:r>
      <w:proofErr w:type="gramStart"/>
      <w:r w:rsidRPr="00F253EF">
        <w:rPr>
          <w:sz w:val="22"/>
          <w:szCs w:val="22"/>
        </w:rPr>
        <w:t>El</w:t>
      </w:r>
      <w:proofErr w:type="gramEnd"/>
      <w:r w:rsidRPr="00F253EF">
        <w:rPr>
          <w:sz w:val="22"/>
          <w:szCs w:val="22"/>
        </w:rPr>
        <w:t xml:space="preserve"> objetivo de este taller es, por tanto, intercambiar opiniones sobre las diferentes medidas para hacer frente a las vulnerabilidades de las redes, servicios y protocolos existentes. La sesión de reflexión se centrará en el posible camino a seguir para mejorar los mecanismos de seguridad de los distintos protocolos. También se debatirá la necesidad de normalizar el proceso de verificación de la identidad de una parte que solicita un certificado, su proceso de emisión por parte de la Autoridad de Certificación de Señalización de Confianza (TSCA) y la distribución del certificado emitido a los operadores. Por último, pero no por ello menos importante, en la sesión de reflexión también se debatirá la posibilidad de utilizar el actual proceso de emisión de Títulos Globales (GT) para este fin.</w:t>
      </w:r>
    </w:p>
    <w:p w14:paraId="56EA4842" w14:textId="24458E02" w:rsidR="0056432A" w:rsidRPr="00F253EF" w:rsidRDefault="0056432A" w:rsidP="0056432A">
      <w:pPr>
        <w:rPr>
          <w:sz w:val="22"/>
          <w:szCs w:val="22"/>
        </w:rPr>
      </w:pPr>
      <w:r w:rsidRPr="00F253EF">
        <w:rPr>
          <w:sz w:val="22"/>
          <w:szCs w:val="22"/>
        </w:rPr>
        <w:t>7</w:t>
      </w:r>
      <w:r w:rsidRPr="00F253EF">
        <w:rPr>
          <w:sz w:val="22"/>
          <w:szCs w:val="22"/>
        </w:rPr>
        <w:tab/>
      </w:r>
      <w:proofErr w:type="gramStart"/>
      <w:r w:rsidRPr="00F253EF">
        <w:rPr>
          <w:sz w:val="22"/>
          <w:szCs w:val="22"/>
        </w:rPr>
        <w:t>La</w:t>
      </w:r>
      <w:proofErr w:type="gramEnd"/>
      <w:r w:rsidRPr="00F253EF">
        <w:rPr>
          <w:sz w:val="22"/>
          <w:szCs w:val="22"/>
        </w:rPr>
        <w:t xml:space="preserve"> participación en el taller está abierta a los Estados Miembros, a los Miembros de Sector, a los Asociados y a las Instituciones Académicas de la UIT, así como a cualquier persona de un país que sea </w:t>
      </w:r>
      <w:r w:rsidR="00892862" w:rsidRPr="00F253EF">
        <w:rPr>
          <w:sz w:val="22"/>
          <w:szCs w:val="22"/>
        </w:rPr>
        <w:t>m</w:t>
      </w:r>
      <w:r w:rsidRPr="00F253EF">
        <w:rPr>
          <w:sz w:val="22"/>
          <w:szCs w:val="22"/>
        </w:rPr>
        <w:t>iembro de la UIT y desee contribuir a los trabajos. Esto incluye a las personas que también sean miembros de organizaciones nacionales, regionales e internacionales, las partes interesadas como los operadores de telecomunicaciones, los organismos reguladores, las organizaciones de normalización y las instituciones financieras. La participación en el taller es gratuita, y no se otorgarán becas. El taller se celebrará en formato plenamente virtual y únicamente en inglés.</w:t>
      </w:r>
    </w:p>
    <w:p w14:paraId="74E2F6E5" w14:textId="77777777" w:rsidR="0056432A" w:rsidRPr="00F253EF" w:rsidRDefault="0056432A" w:rsidP="0056432A">
      <w:pPr>
        <w:rPr>
          <w:sz w:val="22"/>
          <w:szCs w:val="22"/>
        </w:rPr>
      </w:pPr>
      <w:r w:rsidRPr="00F253EF">
        <w:rPr>
          <w:sz w:val="22"/>
          <w:szCs w:val="22"/>
        </w:rPr>
        <w:t>8</w:t>
      </w:r>
      <w:r w:rsidRPr="00F253EF">
        <w:rPr>
          <w:sz w:val="22"/>
          <w:szCs w:val="22"/>
        </w:rPr>
        <w:tab/>
      </w:r>
      <w:proofErr w:type="gramStart"/>
      <w:r w:rsidRPr="00F253EF">
        <w:rPr>
          <w:sz w:val="22"/>
          <w:szCs w:val="22"/>
        </w:rPr>
        <w:t>Toda</w:t>
      </w:r>
      <w:proofErr w:type="gramEnd"/>
      <w:r w:rsidRPr="00F253EF">
        <w:rPr>
          <w:sz w:val="22"/>
          <w:szCs w:val="22"/>
        </w:rPr>
        <w:t xml:space="preserve"> la información pertinente relativa al taller, incluido el proyecto de programa, los oradores, el enlace de conexión a distancia y los detalles de inscripción, estará disponible en el sitio web del evento: </w:t>
      </w:r>
      <w:hyperlink r:id="rId11" w:history="1">
        <w:r w:rsidRPr="00F253EF">
          <w:rPr>
            <w:rStyle w:val="Hyperlink"/>
            <w:sz w:val="22"/>
            <w:szCs w:val="22"/>
          </w:rPr>
          <w:t>https://itu.int/go/WS-SSP</w:t>
        </w:r>
      </w:hyperlink>
      <w:r w:rsidRPr="00F253EF">
        <w:rPr>
          <w:sz w:val="22"/>
          <w:szCs w:val="22"/>
        </w:rPr>
        <w:t>. Este sitio web se actualizará periódicamente a medida que se disponga de información nueva o modificada. Se ruega a los participantes que comprueben periódicamente si hay nuevas actualizaciones.</w:t>
      </w:r>
    </w:p>
    <w:p w14:paraId="4226B71D" w14:textId="40FF1AD7" w:rsidR="0056432A" w:rsidRPr="00F253EF" w:rsidRDefault="0056432A" w:rsidP="0056432A">
      <w:pPr>
        <w:rPr>
          <w:sz w:val="22"/>
          <w:szCs w:val="22"/>
        </w:rPr>
      </w:pPr>
      <w:r w:rsidRPr="00F253EF">
        <w:rPr>
          <w:sz w:val="22"/>
          <w:szCs w:val="22"/>
        </w:rPr>
        <w:t>Atentamente,</w:t>
      </w:r>
    </w:p>
    <w:p w14:paraId="42027E33" w14:textId="15B57915" w:rsidR="00401C20" w:rsidRPr="00F253EF" w:rsidRDefault="001655D8" w:rsidP="009400E6">
      <w:pPr>
        <w:spacing w:before="960"/>
        <w:rPr>
          <w:sz w:val="22"/>
          <w:szCs w:val="22"/>
        </w:rPr>
      </w:pPr>
      <w:r>
        <w:rPr>
          <w:noProof/>
          <w:sz w:val="22"/>
          <w:szCs w:val="22"/>
        </w:rPr>
        <w:drawing>
          <wp:anchor distT="0" distB="0" distL="114300" distR="114300" simplePos="0" relativeHeight="251658240" behindDoc="1" locked="0" layoutInCell="1" allowOverlap="1" wp14:anchorId="3F597AD8" wp14:editId="41F87EBC">
            <wp:simplePos x="0" y="0"/>
            <wp:positionH relativeFrom="column">
              <wp:posOffset>-2540</wp:posOffset>
            </wp:positionH>
            <wp:positionV relativeFrom="paragraph">
              <wp:posOffset>99060</wp:posOffset>
            </wp:positionV>
            <wp:extent cx="881197" cy="396875"/>
            <wp:effectExtent l="0" t="0" r="0" b="3175"/>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81197" cy="396875"/>
                    </a:xfrm>
                    <a:prstGeom prst="rect">
                      <a:avLst/>
                    </a:prstGeom>
                  </pic:spPr>
                </pic:pic>
              </a:graphicData>
            </a:graphic>
            <wp14:sizeRelH relativeFrom="margin">
              <wp14:pctWidth>0</wp14:pctWidth>
            </wp14:sizeRelH>
            <wp14:sizeRelV relativeFrom="margin">
              <wp14:pctHeight>0</wp14:pctHeight>
            </wp14:sizeRelV>
          </wp:anchor>
        </w:drawing>
      </w:r>
      <w:r w:rsidR="007B6316" w:rsidRPr="00F253EF">
        <w:rPr>
          <w:sz w:val="22"/>
          <w:szCs w:val="22"/>
        </w:rPr>
        <w:t>Chaesub Lee</w:t>
      </w:r>
      <w:r w:rsidR="007B6316" w:rsidRPr="00F253EF">
        <w:rPr>
          <w:sz w:val="22"/>
          <w:szCs w:val="22"/>
        </w:rPr>
        <w:br/>
      </w:r>
      <w:proofErr w:type="gramStart"/>
      <w:r w:rsidR="007B6316" w:rsidRPr="00F253EF">
        <w:rPr>
          <w:sz w:val="22"/>
          <w:szCs w:val="22"/>
        </w:rPr>
        <w:t>Director</w:t>
      </w:r>
      <w:proofErr w:type="gramEnd"/>
      <w:r w:rsidR="007B6316" w:rsidRPr="00F253EF">
        <w:rPr>
          <w:sz w:val="22"/>
          <w:szCs w:val="22"/>
        </w:rPr>
        <w:t xml:space="preserve"> de la Oficina de </w:t>
      </w:r>
      <w:r w:rsidR="007B6316" w:rsidRPr="00F253EF">
        <w:rPr>
          <w:sz w:val="22"/>
          <w:szCs w:val="22"/>
        </w:rPr>
        <w:br/>
        <w:t>Normalización de las Telecomunicaciones</w:t>
      </w:r>
    </w:p>
    <w:p w14:paraId="52F0882F" w14:textId="77777777" w:rsidR="00F253EF" w:rsidRPr="00F253EF" w:rsidRDefault="00F253EF">
      <w:pPr>
        <w:rPr>
          <w:sz w:val="22"/>
          <w:szCs w:val="22"/>
        </w:rPr>
      </w:pPr>
    </w:p>
    <w:sectPr w:rsidR="00F253EF" w:rsidRPr="00F253EF" w:rsidSect="00B87E9E">
      <w:headerReference w:type="default" r:id="rId13"/>
      <w:footerReference w:type="first" r:id="rId1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A2E8C" w14:textId="77777777" w:rsidR="0056432A" w:rsidRDefault="0056432A">
      <w:r>
        <w:separator/>
      </w:r>
    </w:p>
  </w:endnote>
  <w:endnote w:type="continuationSeparator" w:id="0">
    <w:p w14:paraId="26535088" w14:textId="77777777" w:rsidR="0056432A" w:rsidRDefault="0056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6E9D" w14:textId="657D15FF"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527F2A">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837EC" w14:textId="77777777" w:rsidR="0056432A" w:rsidRDefault="0056432A">
      <w:r>
        <w:t>____________________</w:t>
      </w:r>
    </w:p>
  </w:footnote>
  <w:footnote w:type="continuationSeparator" w:id="0">
    <w:p w14:paraId="26E4A1C9" w14:textId="77777777" w:rsidR="0056432A" w:rsidRDefault="00564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F3D4" w14:textId="763DF8EB"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527F2A">
      <w:rPr>
        <w:rStyle w:val="PageNumber"/>
        <w:sz w:val="18"/>
        <w:szCs w:val="18"/>
      </w:rPr>
      <w:br/>
    </w:r>
    <w:r w:rsidR="00527F2A" w:rsidRPr="00527F2A">
      <w:rPr>
        <w:sz w:val="18"/>
        <w:szCs w:val="18"/>
      </w:rPr>
      <w:t>Circular TSB 3</w:t>
    </w:r>
    <w:r w:rsidR="00527F2A">
      <w:rPr>
        <w:sz w:val="18"/>
        <w:szCs w:val="18"/>
      </w:rPr>
      <w:t>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2A"/>
    <w:rsid w:val="00002529"/>
    <w:rsid w:val="00085662"/>
    <w:rsid w:val="000C382F"/>
    <w:rsid w:val="001173CC"/>
    <w:rsid w:val="0014464D"/>
    <w:rsid w:val="001655D8"/>
    <w:rsid w:val="001A54CC"/>
    <w:rsid w:val="00257FB4"/>
    <w:rsid w:val="002E496E"/>
    <w:rsid w:val="002E5B07"/>
    <w:rsid w:val="00303D62"/>
    <w:rsid w:val="00335367"/>
    <w:rsid w:val="00370C2D"/>
    <w:rsid w:val="003D1E8D"/>
    <w:rsid w:val="003D673B"/>
    <w:rsid w:val="003F2855"/>
    <w:rsid w:val="00401C20"/>
    <w:rsid w:val="004A7957"/>
    <w:rsid w:val="004C4144"/>
    <w:rsid w:val="00527F2A"/>
    <w:rsid w:val="0055719E"/>
    <w:rsid w:val="0056432A"/>
    <w:rsid w:val="006969B4"/>
    <w:rsid w:val="006E4F7B"/>
    <w:rsid w:val="00781E2A"/>
    <w:rsid w:val="007933A2"/>
    <w:rsid w:val="007B6316"/>
    <w:rsid w:val="00814503"/>
    <w:rsid w:val="008258C2"/>
    <w:rsid w:val="008505BD"/>
    <w:rsid w:val="00850C78"/>
    <w:rsid w:val="00876165"/>
    <w:rsid w:val="00884D12"/>
    <w:rsid w:val="00892862"/>
    <w:rsid w:val="008C17AD"/>
    <w:rsid w:val="008D02CD"/>
    <w:rsid w:val="0091370C"/>
    <w:rsid w:val="009400E6"/>
    <w:rsid w:val="0095172A"/>
    <w:rsid w:val="009A0BA0"/>
    <w:rsid w:val="00A54E47"/>
    <w:rsid w:val="00AB6E3A"/>
    <w:rsid w:val="00AE7093"/>
    <w:rsid w:val="00B422BC"/>
    <w:rsid w:val="00B43F77"/>
    <w:rsid w:val="00B55A3E"/>
    <w:rsid w:val="00B87E9E"/>
    <w:rsid w:val="00B95F0A"/>
    <w:rsid w:val="00B96180"/>
    <w:rsid w:val="00C116FE"/>
    <w:rsid w:val="00C17AC0"/>
    <w:rsid w:val="00C34772"/>
    <w:rsid w:val="00C5465A"/>
    <w:rsid w:val="00C6686E"/>
    <w:rsid w:val="00D54642"/>
    <w:rsid w:val="00D834E7"/>
    <w:rsid w:val="00DD77C9"/>
    <w:rsid w:val="00DF3538"/>
    <w:rsid w:val="00E839B0"/>
    <w:rsid w:val="00E92C09"/>
    <w:rsid w:val="00F14380"/>
    <w:rsid w:val="00F253EF"/>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D1E6A"/>
  <w15:docId w15:val="{D2F5B02F-A5C7-4230-974C-E508A285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56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WS-S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s/ITU-T/about/groups/Pages/sg11.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50</TotalTime>
  <Pages>2</Pages>
  <Words>721</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4756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5</cp:revision>
  <cp:lastPrinted>2021-10-26T13:28:00Z</cp:lastPrinted>
  <dcterms:created xsi:type="dcterms:W3CDTF">2021-10-12T06:47:00Z</dcterms:created>
  <dcterms:modified xsi:type="dcterms:W3CDTF">2021-10-26T13:29:00Z</dcterms:modified>
</cp:coreProperties>
</file>