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5F33FB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091DF4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91DF4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091DF4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91DF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091DF4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91DF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00181402" w:rsidR="00FC313B" w:rsidRPr="00091DF4" w:rsidRDefault="00B1583D" w:rsidP="004377FB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091DF4">
        <w:rPr>
          <w:lang w:val="ru-RU"/>
        </w:rPr>
        <w:tab/>
        <w:t xml:space="preserve">Женева, </w:t>
      </w:r>
      <w:r w:rsidR="00953830" w:rsidRPr="00091DF4">
        <w:rPr>
          <w:lang w:val="ru-RU"/>
        </w:rPr>
        <w:t>5</w:t>
      </w:r>
      <w:r w:rsidR="00AD1DE8" w:rsidRPr="00091DF4">
        <w:rPr>
          <w:lang w:val="ru-RU"/>
        </w:rPr>
        <w:t xml:space="preserve"> октября 2021</w:t>
      </w:r>
      <w:r w:rsidR="002A09AD" w:rsidRPr="00091DF4">
        <w:rPr>
          <w:lang w:val="ru-RU"/>
        </w:rPr>
        <w:t xml:space="preserve"> </w:t>
      </w:r>
      <w:r w:rsidR="00FC313B" w:rsidRPr="00091DF4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5F33FB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091DF4" w:rsidRDefault="00D04060" w:rsidP="00C95C6F">
            <w:pPr>
              <w:spacing w:before="0"/>
              <w:rPr>
                <w:lang w:val="ru-RU"/>
              </w:rPr>
            </w:pPr>
            <w:proofErr w:type="spellStart"/>
            <w:r w:rsidRPr="00091DF4">
              <w:rPr>
                <w:lang w:val="ru-RU"/>
              </w:rPr>
              <w:t>Осн</w:t>
            </w:r>
            <w:proofErr w:type="spellEnd"/>
            <w:r w:rsidRPr="00091DF4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0374D950" w:rsidR="00D04060" w:rsidRPr="00091DF4" w:rsidRDefault="00D04060" w:rsidP="00B61CEC">
            <w:pPr>
              <w:spacing w:before="0"/>
              <w:rPr>
                <w:lang w:val="ru-RU"/>
              </w:rPr>
            </w:pPr>
            <w:r w:rsidRPr="00091DF4">
              <w:rPr>
                <w:b/>
                <w:bCs/>
                <w:lang w:val="ru-RU"/>
              </w:rPr>
              <w:t xml:space="preserve">Циркуляр </w:t>
            </w:r>
            <w:r w:rsidR="00AD1DE8" w:rsidRPr="00091DF4">
              <w:rPr>
                <w:b/>
                <w:bCs/>
                <w:lang w:val="ru-RU"/>
              </w:rPr>
              <w:t>3</w:t>
            </w:r>
            <w:r w:rsidR="00953830" w:rsidRPr="00091DF4">
              <w:rPr>
                <w:b/>
                <w:bCs/>
                <w:lang w:val="ru-RU"/>
              </w:rPr>
              <w:t>48</w:t>
            </w:r>
            <w:r w:rsidRPr="00091DF4">
              <w:rPr>
                <w:b/>
                <w:bCs/>
                <w:lang w:val="ru-RU"/>
              </w:rPr>
              <w:t xml:space="preserve"> БСЭ</w:t>
            </w:r>
          </w:p>
          <w:p w14:paraId="6A1027B7" w14:textId="71C62D7F" w:rsidR="00AD1DE8" w:rsidRPr="00091DF4" w:rsidRDefault="00AD1DE8" w:rsidP="00953830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091DF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1DF4">
              <w:rPr>
                <w:b/>
                <w:bCs/>
                <w:lang w:val="ru-RU"/>
              </w:rPr>
              <w:t>Кому</w:t>
            </w:r>
            <w:r w:rsidRPr="00091DF4">
              <w:rPr>
                <w:lang w:val="ru-RU"/>
              </w:rPr>
              <w:t>:</w:t>
            </w:r>
          </w:p>
          <w:p w14:paraId="419AB150" w14:textId="77777777" w:rsidR="00D04060" w:rsidRPr="00091DF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1DF4">
              <w:rPr>
                <w:lang w:val="ru-RU"/>
              </w:rPr>
              <w:t>–</w:t>
            </w:r>
            <w:r w:rsidRPr="00091DF4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091DF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1DF4">
              <w:rPr>
                <w:lang w:val="ru-RU"/>
              </w:rPr>
              <w:t>–</w:t>
            </w:r>
            <w:r w:rsidRPr="00091DF4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091DF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1DF4">
              <w:rPr>
                <w:lang w:val="ru-RU"/>
              </w:rPr>
              <w:t>–</w:t>
            </w:r>
            <w:r w:rsidRPr="00091DF4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091DF4" w:rsidRDefault="00D04060" w:rsidP="009538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091DF4">
              <w:rPr>
                <w:lang w:val="ru-RU"/>
              </w:rPr>
              <w:t>–</w:t>
            </w:r>
            <w:r w:rsidRPr="00091DF4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091DF4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1DF4">
              <w:rPr>
                <w:b/>
                <w:bCs/>
                <w:lang w:val="ru-RU"/>
              </w:rPr>
              <w:t>Копии</w:t>
            </w:r>
            <w:r w:rsidRPr="00091DF4">
              <w:rPr>
                <w:lang w:val="ru-RU"/>
              </w:rPr>
              <w:t>:</w:t>
            </w:r>
          </w:p>
          <w:p w14:paraId="2B5D14E7" w14:textId="25CDFE34" w:rsidR="00D04060" w:rsidRPr="00091DF4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1DF4">
              <w:rPr>
                <w:lang w:val="ru-RU"/>
              </w:rPr>
              <w:t>–</w:t>
            </w:r>
            <w:r w:rsidRPr="00091DF4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  <w:r w:rsidR="00953830" w:rsidRPr="00091DF4">
              <w:rPr>
                <w:lang w:val="ru-RU"/>
              </w:rPr>
              <w:t>МСЭ-Т</w:t>
            </w:r>
          </w:p>
          <w:p w14:paraId="2CF7B05F" w14:textId="77777777" w:rsidR="00D04060" w:rsidRPr="00091DF4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1DF4">
              <w:rPr>
                <w:lang w:val="ru-RU"/>
              </w:rPr>
              <w:t>–</w:t>
            </w:r>
            <w:r w:rsidRPr="00091DF4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0816BA84" w:rsidR="00032111" w:rsidRPr="00091DF4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1DF4">
              <w:rPr>
                <w:lang w:val="ru-RU"/>
              </w:rPr>
              <w:t>–</w:t>
            </w:r>
            <w:r w:rsidRPr="00091DF4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091DF4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1A6F0EAD" w:rsidR="00D04060" w:rsidRPr="00091DF4" w:rsidRDefault="00D04060" w:rsidP="00D04060">
            <w:pPr>
              <w:spacing w:before="0"/>
              <w:rPr>
                <w:bCs/>
                <w:lang w:val="ru-RU"/>
              </w:rPr>
            </w:pPr>
            <w:r w:rsidRPr="00091DF4">
              <w:rPr>
                <w:lang w:val="ru-RU"/>
              </w:rPr>
              <w:t>Тел.:</w:t>
            </w:r>
            <w:r w:rsidRPr="00091DF4">
              <w:rPr>
                <w:lang w:val="ru-RU"/>
              </w:rPr>
              <w:br/>
              <w:t>Факс:</w:t>
            </w:r>
            <w:r w:rsidRPr="00091DF4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3A356C38" w:rsidR="00D04060" w:rsidRPr="00091DF4" w:rsidRDefault="00D04060" w:rsidP="00D04060">
            <w:pPr>
              <w:spacing w:before="0"/>
              <w:rPr>
                <w:bCs/>
                <w:lang w:val="ru-RU"/>
              </w:rPr>
            </w:pPr>
            <w:r w:rsidRPr="00091DF4">
              <w:rPr>
                <w:lang w:val="ru-RU"/>
              </w:rPr>
              <w:t>+41 22 730 5591</w:t>
            </w:r>
            <w:r w:rsidRPr="00091DF4">
              <w:rPr>
                <w:szCs w:val="22"/>
                <w:lang w:val="ru-RU"/>
              </w:rPr>
              <w:br/>
            </w:r>
            <w:r w:rsidRPr="00091DF4">
              <w:rPr>
                <w:lang w:val="ru-RU"/>
              </w:rPr>
              <w:t>+41 22 730 5853</w:t>
            </w:r>
            <w:r w:rsidRPr="00091DF4">
              <w:rPr>
                <w:lang w:val="ru-RU"/>
              </w:rPr>
              <w:br/>
            </w:r>
            <w:hyperlink r:id="rId9" w:history="1"/>
            <w:hyperlink r:id="rId10" w:history="1">
              <w:r w:rsidRPr="00091DF4">
                <w:rPr>
                  <w:rStyle w:val="Hyperlink"/>
                  <w:lang w:val="ru-RU"/>
                </w:rPr>
                <w:t>t</w:t>
              </w:r>
              <w:r w:rsidRPr="00091DF4">
                <w:rPr>
                  <w:rStyle w:val="Hyperlink"/>
                  <w:rFonts w:cstheme="minorHAnsi"/>
                  <w:szCs w:val="22"/>
                  <w:lang w:val="ru-RU"/>
                </w:rPr>
                <w:t>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091DF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091DF4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091DF4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091DF4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091DF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091DF4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5F33FB" w14:paraId="404C089C" w14:textId="77777777" w:rsidTr="003B5C71">
        <w:trPr>
          <w:cantSplit/>
          <w:trHeight w:val="586"/>
        </w:trPr>
        <w:tc>
          <w:tcPr>
            <w:tcW w:w="1560" w:type="dxa"/>
          </w:tcPr>
          <w:p w14:paraId="2ECD06C1" w14:textId="77777777" w:rsidR="005F00E9" w:rsidRPr="00091DF4" w:rsidRDefault="005F00E9" w:rsidP="00C95C6F">
            <w:pPr>
              <w:spacing w:before="0"/>
              <w:rPr>
                <w:lang w:val="ru-RU"/>
              </w:rPr>
            </w:pPr>
            <w:r w:rsidRPr="00091DF4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3528C862" w14:textId="188621E1" w:rsidR="00032111" w:rsidRPr="00091DF4" w:rsidRDefault="00BF7876" w:rsidP="00574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091DF4">
              <w:rPr>
                <w:b/>
                <w:szCs w:val="22"/>
                <w:lang w:val="ru-RU"/>
              </w:rPr>
              <w:t xml:space="preserve">Вебинары по теме </w:t>
            </w:r>
            <w:r w:rsidRPr="00091DF4">
              <w:rPr>
                <w:bCs/>
                <w:szCs w:val="22"/>
                <w:lang w:val="ru-RU"/>
              </w:rPr>
              <w:t>"</w:t>
            </w:r>
            <w:r w:rsidR="00953830" w:rsidRPr="00091DF4">
              <w:rPr>
                <w:b/>
                <w:szCs w:val="22"/>
                <w:lang w:val="ru-RU"/>
              </w:rPr>
              <w:t>Глобальная инициатива в области цифровых валют</w:t>
            </w:r>
            <w:r w:rsidRPr="00091DF4">
              <w:rPr>
                <w:bCs/>
                <w:szCs w:val="22"/>
                <w:lang w:val="ru-RU"/>
              </w:rPr>
              <w:t>"</w:t>
            </w:r>
          </w:p>
          <w:p w14:paraId="0A88E1D3" w14:textId="7E4836AF" w:rsidR="005F00E9" w:rsidRPr="00091DF4" w:rsidRDefault="00032111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091DF4">
              <w:rPr>
                <w:b/>
                <w:bCs/>
                <w:lang w:val="ru-RU"/>
              </w:rPr>
              <w:t>(полностью виртуальные собрания</w:t>
            </w:r>
            <w:r w:rsidR="00953830" w:rsidRPr="00091DF4">
              <w:rPr>
                <w:b/>
                <w:bCs/>
                <w:lang w:val="ru-RU"/>
              </w:rPr>
              <w:t>, 19, 23 ноября 2021 г.</w:t>
            </w:r>
            <w:r w:rsidRPr="00091DF4">
              <w:rPr>
                <w:b/>
                <w:bCs/>
                <w:lang w:val="ru-RU"/>
              </w:rPr>
              <w:t>)</w:t>
            </w:r>
          </w:p>
        </w:tc>
      </w:tr>
    </w:tbl>
    <w:p w14:paraId="3FF321E9" w14:textId="77777777" w:rsidR="001D2164" w:rsidRPr="00091DF4" w:rsidRDefault="001D2164" w:rsidP="00D270D0">
      <w:pPr>
        <w:pStyle w:val="Normalaftertitle"/>
        <w:spacing w:before="480"/>
        <w:rPr>
          <w:lang w:val="ru-RU"/>
        </w:rPr>
      </w:pPr>
      <w:r w:rsidRPr="00091DF4">
        <w:rPr>
          <w:lang w:val="ru-RU"/>
        </w:rPr>
        <w:t>Уважаемая госпожа,</w:t>
      </w:r>
      <w:r w:rsidRPr="00091DF4">
        <w:rPr>
          <w:lang w:val="ru-RU"/>
        </w:rPr>
        <w:br/>
        <w:t>уважаемый господин,</w:t>
      </w:r>
    </w:p>
    <w:p w14:paraId="133F21D4" w14:textId="119DB8EF" w:rsidR="00953830" w:rsidRPr="00091DF4" w:rsidRDefault="00953830" w:rsidP="00953830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091DF4">
        <w:rPr>
          <w:rFonts w:cstheme="minorHAnsi"/>
          <w:bCs/>
          <w:szCs w:val="22"/>
          <w:lang w:val="ru-RU"/>
        </w:rPr>
        <w:t>1</w:t>
      </w:r>
      <w:r w:rsidRPr="00091DF4">
        <w:rPr>
          <w:rFonts w:cstheme="minorHAnsi"/>
          <w:szCs w:val="22"/>
          <w:lang w:val="ru-RU"/>
        </w:rPr>
        <w:tab/>
      </w:r>
      <w:r w:rsidR="00BF7876" w:rsidRPr="00091DF4">
        <w:rPr>
          <w:rFonts w:cstheme="minorHAnsi"/>
          <w:szCs w:val="22"/>
          <w:lang w:val="ru-RU"/>
        </w:rPr>
        <w:t>Международный союз электросвязи (МСЭ) проводит серию вебинаров по теме</w:t>
      </w:r>
      <w:r w:rsidR="00BF7876" w:rsidRPr="00091DF4">
        <w:rPr>
          <w:b/>
          <w:szCs w:val="22"/>
          <w:lang w:val="ru-RU"/>
        </w:rPr>
        <w:t xml:space="preserve"> </w:t>
      </w:r>
      <w:r w:rsidR="00BF7876" w:rsidRPr="00091DF4">
        <w:rPr>
          <w:bCs/>
          <w:szCs w:val="22"/>
          <w:lang w:val="ru-RU"/>
        </w:rPr>
        <w:t>"</w:t>
      </w:r>
      <w:r w:rsidR="00BF7876" w:rsidRPr="00091DF4">
        <w:rPr>
          <w:b/>
          <w:szCs w:val="22"/>
          <w:lang w:val="ru-RU"/>
        </w:rPr>
        <w:t>Глобальная инициатива в области цифровых валют</w:t>
      </w:r>
      <w:r w:rsidR="00BF7876" w:rsidRPr="00091DF4">
        <w:rPr>
          <w:bCs/>
          <w:szCs w:val="22"/>
          <w:lang w:val="ru-RU"/>
        </w:rPr>
        <w:t>"</w:t>
      </w:r>
      <w:r w:rsidR="00BF7876" w:rsidRPr="00091DF4">
        <w:rPr>
          <w:rFonts w:cstheme="minorHAnsi"/>
          <w:szCs w:val="22"/>
          <w:lang w:val="ru-RU"/>
        </w:rPr>
        <w:t xml:space="preserve"> соответственно </w:t>
      </w:r>
      <w:r w:rsidRPr="00091DF4">
        <w:rPr>
          <w:rFonts w:cstheme="minorHAnsi"/>
          <w:szCs w:val="22"/>
          <w:lang w:val="ru-RU"/>
        </w:rPr>
        <w:t xml:space="preserve">19 </w:t>
      </w:r>
      <w:r w:rsidR="00BF7876" w:rsidRPr="00091DF4">
        <w:rPr>
          <w:rFonts w:cstheme="minorHAnsi"/>
          <w:szCs w:val="22"/>
          <w:lang w:val="ru-RU"/>
        </w:rPr>
        <w:t>и</w:t>
      </w:r>
      <w:r w:rsidRPr="00091DF4">
        <w:rPr>
          <w:rFonts w:cstheme="minorHAnsi"/>
          <w:szCs w:val="22"/>
          <w:lang w:val="ru-RU"/>
        </w:rPr>
        <w:t xml:space="preserve"> 23</w:t>
      </w:r>
      <w:r w:rsidR="00BF7876" w:rsidRPr="00091DF4">
        <w:rPr>
          <w:rFonts w:cstheme="minorHAnsi"/>
          <w:szCs w:val="22"/>
          <w:lang w:val="ru-RU"/>
        </w:rPr>
        <w:t> ноября</w:t>
      </w:r>
      <w:r w:rsidRPr="00091DF4">
        <w:rPr>
          <w:rFonts w:cstheme="minorHAnsi"/>
          <w:szCs w:val="22"/>
          <w:lang w:val="ru-RU"/>
        </w:rPr>
        <w:t xml:space="preserve"> 2021</w:t>
      </w:r>
      <w:r w:rsidR="00BF7876" w:rsidRPr="00091DF4">
        <w:rPr>
          <w:rFonts w:cstheme="minorHAnsi"/>
          <w:szCs w:val="22"/>
          <w:lang w:val="ru-RU"/>
        </w:rPr>
        <w:t> года</w:t>
      </w:r>
      <w:r w:rsidRPr="00091DF4">
        <w:rPr>
          <w:rFonts w:cstheme="minorHAnsi"/>
          <w:szCs w:val="22"/>
          <w:lang w:val="ru-RU"/>
        </w:rPr>
        <w:t xml:space="preserve">. </w:t>
      </w:r>
    </w:p>
    <w:p w14:paraId="78018E70" w14:textId="51C78B71" w:rsidR="00953830" w:rsidRPr="00091DF4" w:rsidRDefault="00953830" w:rsidP="00953830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091DF4">
        <w:rPr>
          <w:rFonts w:cstheme="minorHAnsi"/>
          <w:szCs w:val="22"/>
          <w:lang w:val="ru-RU"/>
        </w:rPr>
        <w:t>2</w:t>
      </w:r>
      <w:r w:rsidRPr="00091DF4">
        <w:rPr>
          <w:rFonts w:cstheme="minorHAnsi"/>
          <w:szCs w:val="22"/>
          <w:lang w:val="ru-RU"/>
        </w:rPr>
        <w:tab/>
      </w:r>
      <w:r w:rsidR="00BF7876" w:rsidRPr="00091DF4">
        <w:rPr>
          <w:rFonts w:cstheme="minorHAnsi"/>
          <w:szCs w:val="22"/>
          <w:lang w:val="ru-RU"/>
        </w:rPr>
        <w:t>Задачи этих вебинаров</w:t>
      </w:r>
      <w:r w:rsidRPr="00091DF4">
        <w:rPr>
          <w:rFonts w:cstheme="minorHAnsi"/>
          <w:szCs w:val="22"/>
          <w:lang w:val="ru-RU"/>
        </w:rPr>
        <w:t>:</w:t>
      </w:r>
    </w:p>
    <w:p w14:paraId="6EC26961" w14:textId="44424C09" w:rsidR="00953830" w:rsidRPr="00091DF4" w:rsidRDefault="00953830" w:rsidP="00953830">
      <w:pPr>
        <w:pStyle w:val="enumlev1"/>
        <w:jc w:val="both"/>
        <w:rPr>
          <w:lang w:val="ru-RU"/>
        </w:rPr>
      </w:pPr>
      <w:r w:rsidRPr="00091DF4">
        <w:rPr>
          <w:lang w:val="ru-RU"/>
        </w:rPr>
        <w:t>−</w:t>
      </w:r>
      <w:r w:rsidRPr="00091DF4">
        <w:rPr>
          <w:lang w:val="ru-RU"/>
        </w:rPr>
        <w:tab/>
      </w:r>
      <w:r w:rsidR="00C36454" w:rsidRPr="00091DF4">
        <w:rPr>
          <w:lang w:val="ru-RU"/>
        </w:rPr>
        <w:t>обмен опытом, связанным с технологиями цифровой валюты</w:t>
      </w:r>
      <w:r w:rsidRPr="00091DF4">
        <w:rPr>
          <w:lang w:val="ru-RU"/>
        </w:rPr>
        <w:t>;</w:t>
      </w:r>
    </w:p>
    <w:p w14:paraId="33519078" w14:textId="5FDE84D0" w:rsidR="00953830" w:rsidRPr="00091DF4" w:rsidRDefault="00953830" w:rsidP="00953830">
      <w:pPr>
        <w:pStyle w:val="enumlev1"/>
        <w:jc w:val="both"/>
        <w:rPr>
          <w:lang w:val="ru-RU"/>
        </w:rPr>
      </w:pPr>
      <w:r w:rsidRPr="00091DF4">
        <w:rPr>
          <w:lang w:val="ru-RU"/>
        </w:rPr>
        <w:t>−</w:t>
      </w:r>
      <w:r w:rsidRPr="00091DF4">
        <w:rPr>
          <w:lang w:val="ru-RU"/>
        </w:rPr>
        <w:tab/>
      </w:r>
      <w:r w:rsidR="00C36454" w:rsidRPr="00091DF4">
        <w:rPr>
          <w:lang w:val="ru-RU"/>
        </w:rPr>
        <w:t>пилотное внедрение, функциональная совместимость и управление</w:t>
      </w:r>
      <w:r w:rsidRPr="00091DF4">
        <w:rPr>
          <w:lang w:val="ru-RU"/>
        </w:rPr>
        <w:t>;</w:t>
      </w:r>
    </w:p>
    <w:p w14:paraId="7C0C5C33" w14:textId="4C13BF1A" w:rsidR="00953830" w:rsidRPr="00091DF4" w:rsidRDefault="00953830" w:rsidP="00953830">
      <w:pPr>
        <w:pStyle w:val="enumlev1"/>
        <w:jc w:val="both"/>
        <w:rPr>
          <w:lang w:val="ru-RU"/>
        </w:rPr>
      </w:pPr>
      <w:r w:rsidRPr="00091DF4">
        <w:rPr>
          <w:lang w:val="ru-RU"/>
        </w:rPr>
        <w:t>−</w:t>
      </w:r>
      <w:r w:rsidRPr="00091DF4">
        <w:rPr>
          <w:lang w:val="ru-RU"/>
        </w:rPr>
        <w:tab/>
      </w:r>
      <w:r w:rsidR="00C36454" w:rsidRPr="00091DF4">
        <w:rPr>
          <w:rFonts w:eastAsia="SimSun"/>
          <w:lang w:val="ru-RU" w:eastAsia="zh-CN"/>
        </w:rPr>
        <w:t>демонстрация примеров пилотного внедрения цифровых валют и соответствующих инноваций на глобальном уровне</w:t>
      </w:r>
      <w:r w:rsidR="00AE6141" w:rsidRPr="00091DF4">
        <w:rPr>
          <w:rFonts w:eastAsia="SimSun"/>
          <w:lang w:val="ru-RU" w:eastAsia="zh-CN"/>
        </w:rPr>
        <w:t xml:space="preserve"> и </w:t>
      </w:r>
      <w:r w:rsidR="00C36454" w:rsidRPr="00091DF4">
        <w:rPr>
          <w:rFonts w:eastAsia="SimSun"/>
          <w:lang w:val="ru-RU" w:eastAsia="zh-CN"/>
        </w:rPr>
        <w:t>обеспечение идейного лидерства в отношении стратегий, стандартов и инноваций в области цифровых валют как инструмента, способствующего преодолению разрыва в охвате финансовыми услугами и достижению Ц</w:t>
      </w:r>
      <w:r w:rsidR="00AE6141" w:rsidRPr="00091DF4">
        <w:rPr>
          <w:rFonts w:eastAsia="SimSun"/>
          <w:lang w:val="ru-RU" w:eastAsia="zh-CN"/>
        </w:rPr>
        <w:t>УР</w:t>
      </w:r>
      <w:r w:rsidR="00E7226F" w:rsidRPr="00091DF4">
        <w:rPr>
          <w:rFonts w:eastAsia="SimSun"/>
          <w:lang w:val="ru-RU" w:eastAsia="zh-CN"/>
        </w:rPr>
        <w:t xml:space="preserve"> ООН</w:t>
      </w:r>
      <w:r w:rsidRPr="00091DF4">
        <w:rPr>
          <w:lang w:val="ru-RU"/>
        </w:rPr>
        <w:t>.</w:t>
      </w:r>
    </w:p>
    <w:p w14:paraId="013A0498" w14:textId="083AB15E" w:rsidR="00953830" w:rsidRPr="00091DF4" w:rsidRDefault="00953830" w:rsidP="00953830">
      <w:pPr>
        <w:pStyle w:val="enumlev1"/>
        <w:jc w:val="both"/>
        <w:rPr>
          <w:lang w:val="ru-RU"/>
        </w:rPr>
      </w:pPr>
      <w:r w:rsidRPr="00091DF4">
        <w:rPr>
          <w:lang w:val="ru-RU"/>
        </w:rPr>
        <w:t>−</w:t>
      </w:r>
      <w:r w:rsidRPr="00091DF4">
        <w:rPr>
          <w:lang w:val="ru-RU"/>
        </w:rPr>
        <w:tab/>
      </w:r>
      <w:r w:rsidR="00CF182A" w:rsidRPr="00091DF4">
        <w:rPr>
          <w:lang w:val="ru-RU"/>
        </w:rPr>
        <w:t>Вебинары также будут способствовать созданию импульса для подготовки к Конференции по цифров</w:t>
      </w:r>
      <w:r w:rsidR="00E7226F" w:rsidRPr="00091DF4">
        <w:rPr>
          <w:lang w:val="ru-RU"/>
        </w:rPr>
        <w:t>ым</w:t>
      </w:r>
      <w:r w:rsidR="00CF182A" w:rsidRPr="00091DF4">
        <w:rPr>
          <w:lang w:val="ru-RU"/>
        </w:rPr>
        <w:t xml:space="preserve"> валют</w:t>
      </w:r>
      <w:r w:rsidR="00E7226F" w:rsidRPr="00091DF4">
        <w:rPr>
          <w:lang w:val="ru-RU"/>
        </w:rPr>
        <w:t>ам</w:t>
      </w:r>
      <w:r w:rsidR="00CF182A" w:rsidRPr="00091DF4">
        <w:rPr>
          <w:lang w:val="ru-RU"/>
        </w:rPr>
        <w:t>, которая пройдет в январе 2022 года</w:t>
      </w:r>
      <w:r w:rsidRPr="00091DF4">
        <w:rPr>
          <w:lang w:val="ru-RU"/>
        </w:rPr>
        <w:t>.</w:t>
      </w:r>
    </w:p>
    <w:p w14:paraId="29CEFCA2" w14:textId="7C895BA8" w:rsidR="00953830" w:rsidRPr="00091DF4" w:rsidRDefault="00953830" w:rsidP="00953830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091DF4">
        <w:rPr>
          <w:rFonts w:cstheme="minorHAnsi"/>
          <w:szCs w:val="22"/>
          <w:lang w:val="ru-RU"/>
        </w:rPr>
        <w:t>3</w:t>
      </w:r>
      <w:r w:rsidRPr="00091DF4">
        <w:rPr>
          <w:rFonts w:cstheme="minorHAnsi"/>
          <w:szCs w:val="22"/>
          <w:lang w:val="ru-RU"/>
        </w:rPr>
        <w:tab/>
      </w:r>
      <w:r w:rsidR="00A0572C" w:rsidRPr="00091DF4">
        <w:rPr>
          <w:rFonts w:cstheme="minorHAnsi"/>
          <w:szCs w:val="22"/>
          <w:lang w:val="ru-RU"/>
        </w:rPr>
        <w:t>Вебинары будут посвящены следующим темам</w:t>
      </w:r>
      <w:r w:rsidRPr="00091DF4">
        <w:rPr>
          <w:rFonts w:cstheme="minorHAnsi"/>
          <w:szCs w:val="22"/>
          <w:lang w:val="ru-RU"/>
        </w:rPr>
        <w:t xml:space="preserve">: </w:t>
      </w:r>
    </w:p>
    <w:p w14:paraId="04BE9C49" w14:textId="3BE62D69" w:rsidR="00953830" w:rsidRPr="00091DF4" w:rsidRDefault="00953830" w:rsidP="00953830">
      <w:pPr>
        <w:pStyle w:val="enumlev1"/>
        <w:jc w:val="both"/>
        <w:rPr>
          <w:lang w:val="ru-RU"/>
        </w:rPr>
      </w:pPr>
      <w:r w:rsidRPr="00091DF4">
        <w:rPr>
          <w:lang w:val="ru-RU"/>
        </w:rPr>
        <w:t>a)</w:t>
      </w:r>
      <w:r w:rsidRPr="00091DF4">
        <w:rPr>
          <w:lang w:val="ru-RU"/>
        </w:rPr>
        <w:tab/>
      </w:r>
      <w:r w:rsidR="00A0572C" w:rsidRPr="00091DF4">
        <w:rPr>
          <w:lang w:val="ru-RU"/>
        </w:rPr>
        <w:t xml:space="preserve">Первый вебинар по теме </w:t>
      </w:r>
      <w:r w:rsidR="006406CE" w:rsidRPr="00091DF4">
        <w:rPr>
          <w:lang w:val="ru-RU"/>
        </w:rPr>
        <w:t>"</w:t>
      </w:r>
      <w:hyperlink r:id="rId11" w:history="1">
        <w:r w:rsidR="006406CE" w:rsidRPr="00091DF4">
          <w:rPr>
            <w:rStyle w:val="Hyperlink"/>
            <w:b/>
            <w:bCs/>
            <w:lang w:val="ru-RU"/>
          </w:rPr>
          <w:t xml:space="preserve">Мнения по реализации </w:t>
        </w:r>
        <w:r w:rsidR="000C0FBE" w:rsidRPr="00091DF4">
          <w:rPr>
            <w:rStyle w:val="Hyperlink"/>
            <w:b/>
            <w:bCs/>
            <w:lang w:val="ru-RU"/>
          </w:rPr>
          <w:t xml:space="preserve">розничных </w:t>
        </w:r>
        <w:r w:rsidR="006406CE" w:rsidRPr="00091DF4">
          <w:rPr>
            <w:rStyle w:val="Hyperlink"/>
            <w:b/>
            <w:bCs/>
            <w:lang w:val="ru-RU"/>
          </w:rPr>
          <w:t>цифровых валют центральных банков (ЦВЦБ)</w:t>
        </w:r>
      </w:hyperlink>
      <w:r w:rsidR="006406CE" w:rsidRPr="00091DF4">
        <w:rPr>
          <w:lang w:val="ru-RU"/>
        </w:rPr>
        <w:t xml:space="preserve">" пройдет </w:t>
      </w:r>
      <w:r w:rsidR="006406CE" w:rsidRPr="00091DF4">
        <w:rPr>
          <w:b/>
          <w:bCs/>
          <w:lang w:val="ru-RU"/>
        </w:rPr>
        <w:t xml:space="preserve">19 ноября 2021 года с 15 час. 00 мин. до 16 час. </w:t>
      </w:r>
      <w:r w:rsidR="00354F1A" w:rsidRPr="00091DF4">
        <w:rPr>
          <w:b/>
          <w:bCs/>
          <w:lang w:val="ru-RU"/>
        </w:rPr>
        <w:t>30 мин. по центральноевропейскому времени</w:t>
      </w:r>
      <w:r w:rsidRPr="00091DF4">
        <w:rPr>
          <w:lang w:val="ru-RU"/>
        </w:rPr>
        <w:t xml:space="preserve">. </w:t>
      </w:r>
      <w:r w:rsidR="00354F1A" w:rsidRPr="00091DF4">
        <w:rPr>
          <w:lang w:val="ru-RU"/>
        </w:rPr>
        <w:t>Центральные банки различных стран мира изучают концепцию ЦВЦБ общего назначения, даже если решения об их введении не принято</w:t>
      </w:r>
      <w:r w:rsidRPr="00091DF4">
        <w:rPr>
          <w:lang w:val="ru-RU"/>
        </w:rPr>
        <w:t xml:space="preserve">. </w:t>
      </w:r>
      <w:r w:rsidR="00496A6A" w:rsidRPr="00091DF4">
        <w:rPr>
          <w:lang w:val="ru-RU"/>
        </w:rPr>
        <w:t xml:space="preserve">Широко признается, что для успешной стратегии розничной ЦВЦБ </w:t>
      </w:r>
      <w:r w:rsidR="006E067B" w:rsidRPr="00091DF4">
        <w:rPr>
          <w:lang w:val="ru-RU"/>
        </w:rPr>
        <w:t>необходимо обеспечить устойчивый и всеохватный цифровой дополнительный компонент для наличных денег</w:t>
      </w:r>
      <w:r w:rsidRPr="00091DF4">
        <w:rPr>
          <w:lang w:val="ru-RU"/>
        </w:rPr>
        <w:t xml:space="preserve">. </w:t>
      </w:r>
      <w:r w:rsidR="00214F79" w:rsidRPr="00091DF4">
        <w:rPr>
          <w:lang w:val="ru-RU"/>
        </w:rPr>
        <w:t>Ввиду этого розничная ЦВЦБ должна обладать всеми характеристиками, делающими наличны</w:t>
      </w:r>
      <w:r w:rsidR="00220919" w:rsidRPr="00091DF4">
        <w:rPr>
          <w:lang w:val="ru-RU"/>
        </w:rPr>
        <w:t>е</w:t>
      </w:r>
      <w:r w:rsidR="00214F79" w:rsidRPr="00091DF4">
        <w:rPr>
          <w:lang w:val="ru-RU"/>
        </w:rPr>
        <w:t xml:space="preserve"> столь привлекательными, и даже дополнительными характеристиками</w:t>
      </w:r>
      <w:r w:rsidRPr="00091DF4">
        <w:rPr>
          <w:lang w:val="ru-RU"/>
        </w:rPr>
        <w:t xml:space="preserve">. </w:t>
      </w:r>
      <w:r w:rsidR="00D65DF1" w:rsidRPr="00091DF4">
        <w:rPr>
          <w:lang w:val="ru-RU"/>
        </w:rPr>
        <w:t xml:space="preserve">Основные элементы – доверие к выпускающей организации, статус законного средства платежа, </w:t>
      </w:r>
      <w:r w:rsidR="00C1024C" w:rsidRPr="00091DF4">
        <w:rPr>
          <w:lang w:val="ru-RU"/>
        </w:rPr>
        <w:t xml:space="preserve">гарантированная </w:t>
      </w:r>
      <w:r w:rsidR="00C1024C" w:rsidRPr="00091DF4">
        <w:rPr>
          <w:lang w:val="ru-RU"/>
        </w:rPr>
        <w:lastRenderedPageBreak/>
        <w:t>окончательность в режиме реального времени и широкая доступность</w:t>
      </w:r>
      <w:r w:rsidRPr="00091DF4">
        <w:rPr>
          <w:lang w:val="ru-RU"/>
        </w:rPr>
        <w:t xml:space="preserve">. </w:t>
      </w:r>
      <w:r w:rsidR="00051EAD" w:rsidRPr="00091DF4">
        <w:rPr>
          <w:lang w:val="ru-RU"/>
        </w:rPr>
        <w:t>На вебинаре будут приводиться сведения об осуществляемых проектах розничных ЦВЦБ</w:t>
      </w:r>
      <w:r w:rsidR="004D5F12" w:rsidRPr="00091DF4">
        <w:rPr>
          <w:lang w:val="ru-RU"/>
        </w:rPr>
        <w:t xml:space="preserve">, а также о технически осуществимых вариантах архитектуры и </w:t>
      </w:r>
      <w:proofErr w:type="gramStart"/>
      <w:r w:rsidR="004D5F12" w:rsidRPr="00091DF4">
        <w:rPr>
          <w:lang w:val="ru-RU"/>
        </w:rPr>
        <w:t>технологии</w:t>
      </w:r>
      <w:proofErr w:type="gramEnd"/>
      <w:r w:rsidR="00051EAD" w:rsidRPr="00091DF4">
        <w:rPr>
          <w:lang w:val="ru-RU"/>
        </w:rPr>
        <w:t xml:space="preserve"> </w:t>
      </w:r>
      <w:r w:rsidR="004D5F12" w:rsidRPr="00091DF4">
        <w:rPr>
          <w:lang w:val="ru-RU"/>
        </w:rPr>
        <w:t>и ведущихся в ЕС дискуссиях о возможном введении цифрового евро</w:t>
      </w:r>
      <w:r w:rsidRPr="00091DF4">
        <w:rPr>
          <w:lang w:val="ru-RU"/>
        </w:rPr>
        <w:t xml:space="preserve">. </w:t>
      </w:r>
      <w:r w:rsidR="003953EA" w:rsidRPr="00091DF4">
        <w:rPr>
          <w:lang w:val="ru-RU"/>
        </w:rPr>
        <w:t>Будут также рассматриваться различные варианты архитектуры для розничной ЦВЦБ</w:t>
      </w:r>
      <w:r w:rsidR="00BE5AC3" w:rsidRPr="00091DF4">
        <w:rPr>
          <w:lang w:val="ru-RU"/>
        </w:rPr>
        <w:t xml:space="preserve"> и их политические последствия.</w:t>
      </w:r>
    </w:p>
    <w:p w14:paraId="1F7E5BCC" w14:textId="50D206EC" w:rsidR="00953830" w:rsidRPr="00091DF4" w:rsidRDefault="00953830" w:rsidP="00953830">
      <w:pPr>
        <w:pStyle w:val="enumlev1"/>
        <w:jc w:val="both"/>
        <w:rPr>
          <w:lang w:val="ru-RU"/>
        </w:rPr>
      </w:pPr>
      <w:r w:rsidRPr="00091DF4">
        <w:rPr>
          <w:lang w:val="ru-RU"/>
        </w:rPr>
        <w:t>a)</w:t>
      </w:r>
      <w:r w:rsidRPr="00091DF4">
        <w:rPr>
          <w:lang w:val="ru-RU"/>
        </w:rPr>
        <w:tab/>
      </w:r>
      <w:r w:rsidR="00BE5AC3" w:rsidRPr="00091DF4">
        <w:rPr>
          <w:lang w:val="ru-RU"/>
        </w:rPr>
        <w:t>Второй вебинар по теме "</w:t>
      </w:r>
      <w:hyperlink r:id="rId12" w:history="1">
        <w:r w:rsidR="000C0FBE" w:rsidRPr="00091DF4">
          <w:rPr>
            <w:rStyle w:val="Hyperlink"/>
            <w:b/>
            <w:bCs/>
            <w:lang w:val="ru-RU"/>
          </w:rPr>
          <w:t>Проектирование оптовых цифровых валют центральных банков</w:t>
        </w:r>
      </w:hyperlink>
      <w:r w:rsidR="000C0FBE" w:rsidRPr="00091DF4">
        <w:rPr>
          <w:lang w:val="ru-RU"/>
        </w:rPr>
        <w:t>"</w:t>
      </w:r>
      <w:r w:rsidR="000C0FBE" w:rsidRPr="00091DF4">
        <w:rPr>
          <w:b/>
          <w:bCs/>
          <w:lang w:val="ru-RU"/>
        </w:rPr>
        <w:t xml:space="preserve"> </w:t>
      </w:r>
      <w:r w:rsidR="000C0FBE" w:rsidRPr="00091DF4">
        <w:rPr>
          <w:lang w:val="ru-RU"/>
        </w:rPr>
        <w:t>пройдет</w:t>
      </w:r>
      <w:r w:rsidR="000C0FBE" w:rsidRPr="00091DF4">
        <w:rPr>
          <w:b/>
          <w:bCs/>
          <w:lang w:val="ru-RU"/>
        </w:rPr>
        <w:t xml:space="preserve"> 23 ноября 2021 года с 16 час. 00 мин. до 17 час. 30 мин. по центральноевропейскому времени</w:t>
      </w:r>
      <w:r w:rsidRPr="00091DF4">
        <w:rPr>
          <w:lang w:val="ru-RU"/>
        </w:rPr>
        <w:t xml:space="preserve">. </w:t>
      </w:r>
      <w:r w:rsidR="000C0FBE" w:rsidRPr="00091DF4">
        <w:rPr>
          <w:lang w:val="ru-RU"/>
        </w:rPr>
        <w:t>Цифровые валюты центральных банков</w:t>
      </w:r>
      <w:r w:rsidR="000C0FBE" w:rsidRPr="00091DF4">
        <w:rPr>
          <w:b/>
          <w:bCs/>
          <w:lang w:val="ru-RU"/>
        </w:rPr>
        <w:t xml:space="preserve"> </w:t>
      </w:r>
      <w:r w:rsidR="00C31961" w:rsidRPr="00091DF4">
        <w:rPr>
          <w:lang w:val="ru-RU"/>
        </w:rPr>
        <w:t>(ЦВЦБ) будут играть решающую роль в новой, современной глобальной финансовой инфраструктуре</w:t>
      </w:r>
      <w:r w:rsidRPr="00091DF4">
        <w:rPr>
          <w:lang w:val="ru-RU"/>
        </w:rPr>
        <w:t xml:space="preserve">. </w:t>
      </w:r>
      <w:r w:rsidR="00C31961" w:rsidRPr="00091DF4">
        <w:rPr>
          <w:lang w:val="ru-RU"/>
        </w:rPr>
        <w:t xml:space="preserve">Оптовая цифровая валюта центральных банков может помочь </w:t>
      </w:r>
      <w:r w:rsidR="003E798B" w:rsidRPr="00091DF4">
        <w:rPr>
          <w:lang w:val="ru-RU"/>
        </w:rPr>
        <w:t>повысить эффективность платежей и расчеты по ценных бумагам</w:t>
      </w:r>
      <w:r w:rsidRPr="00091DF4">
        <w:rPr>
          <w:lang w:val="ru-RU"/>
        </w:rPr>
        <w:t xml:space="preserve">. </w:t>
      </w:r>
      <w:r w:rsidR="003E798B" w:rsidRPr="00091DF4">
        <w:rPr>
          <w:lang w:val="ru-RU"/>
        </w:rPr>
        <w:t xml:space="preserve">Оптовая ЦВЦБ </w:t>
      </w:r>
      <w:r w:rsidR="001724D2" w:rsidRPr="00091DF4">
        <w:rPr>
          <w:lang w:val="ru-RU"/>
        </w:rPr>
        <w:t>м</w:t>
      </w:r>
      <w:r w:rsidR="003E798B" w:rsidRPr="00091DF4">
        <w:rPr>
          <w:lang w:val="ru-RU"/>
        </w:rPr>
        <w:t>огла бы также содействовать применению более простых систем трансграничных платежей, реально сокращая число посредников</w:t>
      </w:r>
      <w:r w:rsidRPr="00091DF4">
        <w:rPr>
          <w:lang w:val="ru-RU"/>
        </w:rPr>
        <w:t xml:space="preserve">. </w:t>
      </w:r>
      <w:r w:rsidR="00B03662" w:rsidRPr="00091DF4">
        <w:rPr>
          <w:lang w:val="ru-RU"/>
        </w:rPr>
        <w:t>Но для функционирования действительно глобальной системы ключевое значение имеет функциональная совместимость</w:t>
      </w:r>
      <w:r w:rsidRPr="00091DF4">
        <w:rPr>
          <w:lang w:val="ru-RU"/>
        </w:rPr>
        <w:t xml:space="preserve">. </w:t>
      </w:r>
      <w:r w:rsidR="00B03662" w:rsidRPr="00091DF4">
        <w:rPr>
          <w:lang w:val="ru-RU"/>
        </w:rPr>
        <w:t xml:space="preserve">На этом вебинаре эксперты из отрасли </w:t>
      </w:r>
      <w:r w:rsidR="001724D2" w:rsidRPr="00091DF4">
        <w:rPr>
          <w:lang w:val="ru-RU"/>
        </w:rPr>
        <w:t xml:space="preserve">рассмотрят будущее оптовых </w:t>
      </w:r>
      <w:r w:rsidR="00E20C82" w:rsidRPr="00091DF4">
        <w:rPr>
          <w:lang w:val="ru-RU"/>
        </w:rPr>
        <w:t>ЦВЦБ, их воздействие на трансграничные платежи и значение функциональной совместимости</w:t>
      </w:r>
      <w:r w:rsidRPr="00091DF4">
        <w:rPr>
          <w:lang w:val="ru-RU"/>
        </w:rPr>
        <w:t>.</w:t>
      </w:r>
    </w:p>
    <w:p w14:paraId="4D9476F0" w14:textId="34E94C5B" w:rsidR="00953830" w:rsidRPr="00091DF4" w:rsidRDefault="00953830" w:rsidP="00953830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091DF4">
        <w:rPr>
          <w:rFonts w:cstheme="minorHAnsi"/>
          <w:bCs/>
          <w:szCs w:val="22"/>
          <w:lang w:val="ru-RU"/>
        </w:rPr>
        <w:t>4</w:t>
      </w:r>
      <w:r w:rsidRPr="00091DF4">
        <w:rPr>
          <w:rFonts w:cstheme="minorHAnsi"/>
          <w:szCs w:val="22"/>
          <w:lang w:val="ru-RU"/>
        </w:rPr>
        <w:tab/>
      </w:r>
      <w:r w:rsidR="004377FB" w:rsidRPr="00091DF4">
        <w:rPr>
          <w:rFonts w:eastAsia="SimSun"/>
          <w:lang w:val="ru-RU" w:eastAsia="zh-CN"/>
        </w:rPr>
        <w:t xml:space="preserve">Целевая аудитория </w:t>
      </w:r>
      <w:r w:rsidR="00E20C82" w:rsidRPr="00091DF4">
        <w:rPr>
          <w:rFonts w:eastAsia="SimSun"/>
          <w:lang w:val="ru-RU" w:eastAsia="zh-CN"/>
        </w:rPr>
        <w:t xml:space="preserve">этих мероприятий включает </w:t>
      </w:r>
      <w:r w:rsidR="004377FB" w:rsidRPr="00091DF4">
        <w:rPr>
          <w:lang w:val="ru-RU"/>
        </w:rPr>
        <w:t>центральные банки, компании, занимающиеся технологиями цифровой валюты, поставщиков платежных систем, компании в области финансовых технологий, организации, устанавливающие стандарты, компании по информационной безопасности, отраслевые форумы, академические организации и директивные органы</w:t>
      </w:r>
      <w:r w:rsidRPr="00091DF4">
        <w:rPr>
          <w:rFonts w:cstheme="minorHAnsi"/>
          <w:szCs w:val="22"/>
          <w:lang w:val="ru-RU"/>
        </w:rPr>
        <w:t xml:space="preserve">. </w:t>
      </w:r>
      <w:r w:rsidR="004377FB" w:rsidRPr="00091DF4">
        <w:rPr>
          <w:lang w:val="ru-RU"/>
        </w:rPr>
        <w:t>Участие в вебинар</w:t>
      </w:r>
      <w:r w:rsidR="00E20C82" w:rsidRPr="00091DF4">
        <w:rPr>
          <w:lang w:val="ru-RU"/>
        </w:rPr>
        <w:t>ах</w:t>
      </w:r>
      <w:r w:rsidR="004377FB" w:rsidRPr="00091DF4">
        <w:rPr>
          <w:lang w:val="ru-RU"/>
        </w:rPr>
        <w:t xml:space="preserve"> является бесплатным и открытым для всех Государств – Членов МСЭ, Членов Секторов МСЭ, Ассоциированных членов МСЭ и Академических организаций – Членов МСЭ, а также для любого лица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</w:t>
      </w:r>
    </w:p>
    <w:p w14:paraId="53A3C4DE" w14:textId="5CE9400B" w:rsidR="00953830" w:rsidRPr="00091DF4" w:rsidRDefault="00953830" w:rsidP="00953830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091DF4">
        <w:rPr>
          <w:rFonts w:cstheme="minorHAnsi"/>
          <w:szCs w:val="22"/>
          <w:lang w:val="ru-RU"/>
        </w:rPr>
        <w:t>5</w:t>
      </w:r>
      <w:r w:rsidRPr="00091DF4">
        <w:rPr>
          <w:rFonts w:cstheme="minorHAnsi"/>
          <w:szCs w:val="22"/>
          <w:lang w:val="ru-RU"/>
        </w:rPr>
        <w:tab/>
      </w:r>
      <w:r w:rsidR="00731370" w:rsidRPr="00091DF4">
        <w:rPr>
          <w:rFonts w:cstheme="minorHAnsi"/>
          <w:szCs w:val="22"/>
          <w:lang w:val="ru-RU"/>
        </w:rPr>
        <w:t>Вся необходимая информация, касающаяся вебинар</w:t>
      </w:r>
      <w:r w:rsidR="00E20C82" w:rsidRPr="00091DF4">
        <w:rPr>
          <w:rFonts w:cstheme="minorHAnsi"/>
          <w:szCs w:val="22"/>
          <w:lang w:val="ru-RU"/>
        </w:rPr>
        <w:t>ов</w:t>
      </w:r>
      <w:r w:rsidR="00731370" w:rsidRPr="00091DF4">
        <w:rPr>
          <w:rFonts w:cstheme="minorHAnsi"/>
          <w:szCs w:val="22"/>
          <w:lang w:val="ru-RU"/>
        </w:rPr>
        <w:t xml:space="preserve"> (докладчики, ссылк</w:t>
      </w:r>
      <w:r w:rsidR="00E20C82" w:rsidRPr="00091DF4">
        <w:rPr>
          <w:rFonts w:cstheme="minorHAnsi"/>
          <w:szCs w:val="22"/>
          <w:lang w:val="ru-RU"/>
        </w:rPr>
        <w:t>и</w:t>
      </w:r>
      <w:r w:rsidR="00731370" w:rsidRPr="00091DF4">
        <w:rPr>
          <w:rFonts w:cstheme="minorHAnsi"/>
          <w:szCs w:val="22"/>
          <w:lang w:val="ru-RU"/>
        </w:rPr>
        <w:t xml:space="preserve"> для регистрации, подробная информация о порядке дистанционной связи</w:t>
      </w:r>
      <w:r w:rsidR="00E20C82" w:rsidRPr="00091DF4">
        <w:rPr>
          <w:rFonts w:cstheme="minorHAnsi"/>
          <w:szCs w:val="22"/>
          <w:lang w:val="ru-RU"/>
        </w:rPr>
        <w:t xml:space="preserve"> и любые возможные дополнения</w:t>
      </w:r>
      <w:r w:rsidR="00731370" w:rsidRPr="00091DF4">
        <w:rPr>
          <w:rFonts w:cstheme="minorHAnsi"/>
          <w:szCs w:val="22"/>
          <w:lang w:val="ru-RU"/>
        </w:rPr>
        <w:t>), будет размещена на главной странице мероприятия здесь</w:t>
      </w:r>
      <w:r w:rsidRPr="00091DF4">
        <w:rPr>
          <w:rFonts w:cstheme="minorHAnsi"/>
          <w:szCs w:val="22"/>
          <w:lang w:val="ru-RU"/>
        </w:rPr>
        <w:t xml:space="preserve">: </w:t>
      </w:r>
      <w:hyperlink r:id="rId13" w:history="1">
        <w:r w:rsidRPr="00091DF4">
          <w:rPr>
            <w:rStyle w:val="Hyperlink"/>
            <w:rFonts w:cstheme="minorHAnsi"/>
            <w:szCs w:val="22"/>
            <w:lang w:val="ru-RU"/>
          </w:rPr>
          <w:t>https://www.itu.int/en/ITU-T/webinars/dcgi/Pages/default.aspx</w:t>
        </w:r>
      </w:hyperlink>
      <w:r w:rsidRPr="00091DF4">
        <w:rPr>
          <w:rFonts w:cstheme="minorHAnsi"/>
          <w:szCs w:val="22"/>
          <w:lang w:val="ru-RU"/>
        </w:rPr>
        <w:t>.</w:t>
      </w:r>
    </w:p>
    <w:p w14:paraId="4CC45B8E" w14:textId="25237E80" w:rsidR="00953830" w:rsidRPr="00091DF4" w:rsidRDefault="004377FB" w:rsidP="00953830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091DF4">
        <w:rPr>
          <w:rFonts w:cstheme="minorHAnsi"/>
          <w:szCs w:val="22"/>
          <w:lang w:val="ru-RU"/>
        </w:rPr>
        <w:t>Данные веб-сайты будут регулярно обновляться по мере появления новой или измененной информации</w:t>
      </w:r>
      <w:r w:rsidR="00953830" w:rsidRPr="00091DF4">
        <w:rPr>
          <w:rFonts w:cstheme="minorHAnsi"/>
          <w:szCs w:val="22"/>
          <w:lang w:val="ru-RU"/>
        </w:rPr>
        <w:t>.</w:t>
      </w:r>
      <w:r w:rsidRPr="00091DF4">
        <w:rPr>
          <w:rFonts w:cstheme="minorHAnsi"/>
          <w:szCs w:val="22"/>
          <w:lang w:val="ru-RU"/>
        </w:rPr>
        <w:t xml:space="preserve"> </w:t>
      </w:r>
      <w:r w:rsidRPr="00091DF4">
        <w:rPr>
          <w:lang w:val="ru-RU"/>
        </w:rPr>
        <w:t>Участникам предлагается периодически знакомиться с обновленной информацией</w:t>
      </w:r>
      <w:r w:rsidR="00E20C82" w:rsidRPr="00091DF4">
        <w:rPr>
          <w:lang w:val="ru-RU"/>
        </w:rPr>
        <w:t xml:space="preserve"> на веб-странице того или иного вебинара</w:t>
      </w:r>
      <w:r w:rsidR="00731370" w:rsidRPr="00091DF4">
        <w:rPr>
          <w:lang w:val="ru-RU"/>
        </w:rPr>
        <w:t>.</w:t>
      </w:r>
    </w:p>
    <w:p w14:paraId="23F92770" w14:textId="56CA571E" w:rsidR="00953830" w:rsidRPr="00091DF4" w:rsidRDefault="00953830" w:rsidP="00953830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091DF4">
        <w:rPr>
          <w:rFonts w:cstheme="minorHAnsi"/>
          <w:szCs w:val="22"/>
          <w:lang w:val="ru-RU"/>
        </w:rPr>
        <w:t>6</w:t>
      </w:r>
      <w:r w:rsidRPr="00091DF4">
        <w:rPr>
          <w:rFonts w:cstheme="minorHAnsi"/>
          <w:szCs w:val="22"/>
          <w:lang w:val="ru-RU"/>
        </w:rPr>
        <w:tab/>
      </w:r>
      <w:bookmarkStart w:id="0" w:name="lt_pId084"/>
      <w:r w:rsidR="00E20C82" w:rsidRPr="00091DF4">
        <w:rPr>
          <w:rFonts w:cstheme="minorHAnsi"/>
          <w:szCs w:val="22"/>
          <w:lang w:val="ru-RU"/>
        </w:rPr>
        <w:t>Онлайновая</w:t>
      </w:r>
      <w:r w:rsidR="004377FB" w:rsidRPr="00091DF4">
        <w:rPr>
          <w:rFonts w:cstheme="minorHAnsi"/>
          <w:szCs w:val="22"/>
          <w:lang w:val="ru-RU"/>
        </w:rPr>
        <w:t xml:space="preserve"> регистрация обязательна для всех участников каждого мероприятия</w:t>
      </w:r>
      <w:bookmarkEnd w:id="0"/>
      <w:r w:rsidR="004377FB" w:rsidRPr="00091DF4">
        <w:rPr>
          <w:rFonts w:cstheme="minorHAnsi"/>
          <w:szCs w:val="22"/>
          <w:lang w:val="ru-RU"/>
        </w:rPr>
        <w:t>.</w:t>
      </w:r>
      <w:r w:rsidR="004377FB" w:rsidRPr="00091DF4">
        <w:rPr>
          <w:bCs/>
          <w:szCs w:val="22"/>
          <w:lang w:val="ru-RU"/>
        </w:rPr>
        <w:t xml:space="preserve"> Более подробная информация о регистрации будет доступна на</w:t>
      </w:r>
      <w:r w:rsidR="00E20C82" w:rsidRPr="00091DF4">
        <w:rPr>
          <w:bCs/>
          <w:szCs w:val="22"/>
          <w:lang w:val="ru-RU"/>
        </w:rPr>
        <w:t xml:space="preserve"> веб-сайте каждого мероприятия на</w:t>
      </w:r>
      <w:r w:rsidRPr="00091DF4">
        <w:rPr>
          <w:rFonts w:cstheme="minorHAnsi"/>
          <w:szCs w:val="22"/>
          <w:lang w:val="ru-RU"/>
        </w:rPr>
        <w:t xml:space="preserve"> </w:t>
      </w:r>
      <w:hyperlink r:id="rId14" w:history="1">
        <w:r w:rsidR="004377FB" w:rsidRPr="00091DF4">
          <w:rPr>
            <w:rStyle w:val="Hyperlink"/>
            <w:rFonts w:cstheme="minorHAnsi"/>
            <w:szCs w:val="22"/>
            <w:lang w:val="ru-RU"/>
          </w:rPr>
          <w:t>основной веб странице</w:t>
        </w:r>
      </w:hyperlink>
      <w:r w:rsidRPr="00091DF4">
        <w:rPr>
          <w:rFonts w:cstheme="minorHAnsi"/>
          <w:szCs w:val="22"/>
          <w:lang w:val="ru-RU"/>
        </w:rPr>
        <w:t>.</w:t>
      </w:r>
    </w:p>
    <w:p w14:paraId="5E9D709D" w14:textId="2DD0BAA1" w:rsidR="00D270D0" w:rsidRPr="00091DF4" w:rsidRDefault="001D2164" w:rsidP="00E51948">
      <w:pPr>
        <w:jc w:val="both"/>
        <w:rPr>
          <w:rFonts w:cstheme="minorHAnsi"/>
          <w:szCs w:val="22"/>
          <w:lang w:val="ru-RU"/>
        </w:rPr>
      </w:pPr>
      <w:r w:rsidRPr="00091DF4">
        <w:rPr>
          <w:rFonts w:cstheme="minorHAnsi"/>
          <w:szCs w:val="22"/>
          <w:lang w:val="ru-RU"/>
        </w:rPr>
        <w:t xml:space="preserve">С </w:t>
      </w:r>
      <w:r w:rsidRPr="00091DF4">
        <w:rPr>
          <w:szCs w:val="22"/>
          <w:lang w:val="ru-RU"/>
        </w:rPr>
        <w:t>уважением</w:t>
      </w:r>
      <w:r w:rsidRPr="00091DF4">
        <w:rPr>
          <w:rFonts w:cstheme="minorHAnsi"/>
          <w:szCs w:val="22"/>
          <w:lang w:val="ru-RU"/>
        </w:rPr>
        <w:t>,</w:t>
      </w:r>
    </w:p>
    <w:p w14:paraId="112A6BC8" w14:textId="3B948848" w:rsidR="00E51948" w:rsidRPr="00091DF4" w:rsidRDefault="0039147C" w:rsidP="005F33FB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5887801F" wp14:editId="749546D1">
            <wp:simplePos x="0" y="0"/>
            <wp:positionH relativeFrom="column">
              <wp:posOffset>-2540</wp:posOffset>
            </wp:positionH>
            <wp:positionV relativeFrom="paragraph">
              <wp:posOffset>92645</wp:posOffset>
            </wp:positionV>
            <wp:extent cx="825500" cy="442659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54" cy="443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51948" w:rsidRPr="00091DF4">
        <w:rPr>
          <w:rFonts w:cstheme="minorHAnsi"/>
          <w:szCs w:val="22"/>
          <w:lang w:val="ru-RU"/>
        </w:rPr>
        <w:t>Чхе</w:t>
      </w:r>
      <w:proofErr w:type="spellEnd"/>
      <w:r w:rsidR="00E51948" w:rsidRPr="00091DF4">
        <w:rPr>
          <w:rFonts w:cstheme="minorHAnsi"/>
          <w:szCs w:val="22"/>
          <w:lang w:val="ru-RU"/>
        </w:rPr>
        <w:t xml:space="preserve"> </w:t>
      </w:r>
      <w:proofErr w:type="spellStart"/>
      <w:r w:rsidR="00E51948" w:rsidRPr="00091DF4">
        <w:rPr>
          <w:rFonts w:cstheme="minorHAnsi"/>
          <w:szCs w:val="22"/>
          <w:lang w:val="ru-RU"/>
        </w:rPr>
        <w:t>Суб</w:t>
      </w:r>
      <w:proofErr w:type="spellEnd"/>
      <w:r w:rsidR="00E51948" w:rsidRPr="00091DF4">
        <w:rPr>
          <w:rFonts w:cstheme="minorHAnsi"/>
          <w:szCs w:val="22"/>
          <w:lang w:val="ru-RU"/>
        </w:rPr>
        <w:t xml:space="preserve"> Ли</w:t>
      </w:r>
      <w:r w:rsidR="00E51948" w:rsidRPr="00091DF4">
        <w:rPr>
          <w:rFonts w:cstheme="minorHAnsi"/>
          <w:szCs w:val="22"/>
          <w:lang w:val="ru-RU"/>
        </w:rPr>
        <w:br/>
        <w:t>Директор Бюро</w:t>
      </w:r>
      <w:r w:rsidR="004377FB" w:rsidRPr="00091DF4">
        <w:rPr>
          <w:rFonts w:cstheme="minorHAnsi"/>
          <w:szCs w:val="22"/>
          <w:lang w:val="ru-RU"/>
        </w:rPr>
        <w:t xml:space="preserve"> </w:t>
      </w:r>
      <w:r w:rsidR="004377FB" w:rsidRPr="00091DF4">
        <w:rPr>
          <w:rFonts w:cstheme="minorHAnsi"/>
          <w:szCs w:val="22"/>
          <w:lang w:val="ru-RU"/>
        </w:rPr>
        <w:br/>
      </w:r>
      <w:r w:rsidR="00E51948" w:rsidRPr="00091DF4">
        <w:rPr>
          <w:rFonts w:cstheme="minorHAnsi"/>
          <w:szCs w:val="22"/>
          <w:lang w:val="ru-RU"/>
        </w:rPr>
        <w:t>стандартизации электросвязи</w:t>
      </w:r>
    </w:p>
    <w:sectPr w:rsidR="00E51948" w:rsidRPr="00091DF4" w:rsidSect="0020225B">
      <w:head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AE8B" w14:textId="77777777" w:rsidR="00CB6A33" w:rsidRDefault="00CB6A33">
      <w:r>
        <w:separator/>
      </w:r>
    </w:p>
  </w:endnote>
  <w:endnote w:type="continuationSeparator" w:id="0">
    <w:p w14:paraId="7287CD5D" w14:textId="77777777" w:rsidR="00CB6A33" w:rsidRDefault="00CB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4476" w14:textId="77777777" w:rsidR="00CB6A33" w:rsidRDefault="00CB6A33">
      <w:r>
        <w:separator/>
      </w:r>
    </w:p>
  </w:footnote>
  <w:footnote w:type="continuationSeparator" w:id="0">
    <w:p w14:paraId="6669E7C9" w14:textId="77777777" w:rsidR="00CB6A33" w:rsidRDefault="00CB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5F33CFB5" w:rsidR="00C95C6F" w:rsidRDefault="0039147C" w:rsidP="005B34E0">
    <w:pPr>
      <w:pStyle w:val="Header"/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>
          <w:fldChar w:fldCharType="begin"/>
        </w:r>
        <w:r w:rsidR="00C95C6F">
          <w:instrText xml:space="preserve"> PAGE   \* MERGEFORMAT </w:instrText>
        </w:r>
        <w:r w:rsidR="00C95C6F">
          <w:fldChar w:fldCharType="separate"/>
        </w:r>
        <w:r w:rsidR="00C85DC7">
          <w:rPr>
            <w:noProof/>
          </w:rPr>
          <w:t>3</w:t>
        </w:r>
        <w:r w:rsidR="00C95C6F">
          <w:rPr>
            <w:noProof/>
          </w:rPr>
          <w:fldChar w:fldCharType="end"/>
        </w:r>
      </w:sdtContent>
    </w:sdt>
    <w:r w:rsidR="00C95C6F">
      <w:rPr>
        <w:noProof/>
      </w:rPr>
      <w:br/>
    </w:r>
    <w:r w:rsidR="00C95C6F" w:rsidRPr="00DB7857">
      <w:rPr>
        <w:lang w:val="ru-RU"/>
      </w:rPr>
      <w:t xml:space="preserve">Циркуляр </w:t>
    </w:r>
    <w:r w:rsidR="00750799">
      <w:t>3</w:t>
    </w:r>
    <w:r w:rsidR="00953830">
      <w:t>48</w:t>
    </w:r>
    <w:r w:rsidR="00C95C6F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AEE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3EF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D2A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80B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A6C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947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DA5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67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42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A2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9"/>
  </w:num>
  <w:num w:numId="3">
    <w:abstractNumId w:val="36"/>
  </w:num>
  <w:num w:numId="4">
    <w:abstractNumId w:val="15"/>
  </w:num>
  <w:num w:numId="5">
    <w:abstractNumId w:val="28"/>
  </w:num>
  <w:num w:numId="6">
    <w:abstractNumId w:val="13"/>
  </w:num>
  <w:num w:numId="7">
    <w:abstractNumId w:val="33"/>
  </w:num>
  <w:num w:numId="8">
    <w:abstractNumId w:val="24"/>
  </w:num>
  <w:num w:numId="9">
    <w:abstractNumId w:val="25"/>
  </w:num>
  <w:num w:numId="10">
    <w:abstractNumId w:val="18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6"/>
  </w:num>
  <w:num w:numId="30">
    <w:abstractNumId w:val="29"/>
  </w:num>
  <w:num w:numId="31">
    <w:abstractNumId w:val="32"/>
  </w:num>
  <w:num w:numId="32">
    <w:abstractNumId w:val="26"/>
  </w:num>
  <w:num w:numId="33">
    <w:abstractNumId w:val="12"/>
  </w:num>
  <w:num w:numId="34">
    <w:abstractNumId w:val="30"/>
  </w:num>
  <w:num w:numId="35">
    <w:abstractNumId w:val="21"/>
  </w:num>
  <w:num w:numId="36">
    <w:abstractNumId w:val="2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51EAD"/>
    <w:rsid w:val="00054334"/>
    <w:rsid w:val="000678A3"/>
    <w:rsid w:val="00070277"/>
    <w:rsid w:val="00072B96"/>
    <w:rsid w:val="00082B7B"/>
    <w:rsid w:val="00090F90"/>
    <w:rsid w:val="00091DF4"/>
    <w:rsid w:val="00095EA0"/>
    <w:rsid w:val="000A1E1D"/>
    <w:rsid w:val="000A5DAD"/>
    <w:rsid w:val="000C0C66"/>
    <w:rsid w:val="000C0FBE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24D2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14F79"/>
    <w:rsid w:val="00220919"/>
    <w:rsid w:val="00223A9F"/>
    <w:rsid w:val="0022530E"/>
    <w:rsid w:val="00234CEB"/>
    <w:rsid w:val="00237877"/>
    <w:rsid w:val="0025070C"/>
    <w:rsid w:val="00256928"/>
    <w:rsid w:val="00256A6E"/>
    <w:rsid w:val="0025701E"/>
    <w:rsid w:val="0026232A"/>
    <w:rsid w:val="00267F62"/>
    <w:rsid w:val="00271338"/>
    <w:rsid w:val="00276756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40304"/>
    <w:rsid w:val="00343D23"/>
    <w:rsid w:val="003457E6"/>
    <w:rsid w:val="00354F1A"/>
    <w:rsid w:val="003613ED"/>
    <w:rsid w:val="00381AAB"/>
    <w:rsid w:val="003832B4"/>
    <w:rsid w:val="00390D06"/>
    <w:rsid w:val="0039147C"/>
    <w:rsid w:val="0039304B"/>
    <w:rsid w:val="00394437"/>
    <w:rsid w:val="003953EA"/>
    <w:rsid w:val="00395EAB"/>
    <w:rsid w:val="003A176A"/>
    <w:rsid w:val="003A2A53"/>
    <w:rsid w:val="003A3C4A"/>
    <w:rsid w:val="003B2767"/>
    <w:rsid w:val="003B5960"/>
    <w:rsid w:val="003B5C71"/>
    <w:rsid w:val="003C0956"/>
    <w:rsid w:val="003C6A28"/>
    <w:rsid w:val="003E798B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377FB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96A6A"/>
    <w:rsid w:val="004A0D07"/>
    <w:rsid w:val="004A4F2A"/>
    <w:rsid w:val="004A5E64"/>
    <w:rsid w:val="004C0CAA"/>
    <w:rsid w:val="004C15B9"/>
    <w:rsid w:val="004C5268"/>
    <w:rsid w:val="004D5F12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5322D"/>
    <w:rsid w:val="00562B49"/>
    <w:rsid w:val="00565305"/>
    <w:rsid w:val="00565547"/>
    <w:rsid w:val="005748B3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5F33FB"/>
    <w:rsid w:val="00600CD9"/>
    <w:rsid w:val="00606758"/>
    <w:rsid w:val="006139B2"/>
    <w:rsid w:val="006224C9"/>
    <w:rsid w:val="00623951"/>
    <w:rsid w:val="00625BAF"/>
    <w:rsid w:val="00630EEE"/>
    <w:rsid w:val="00636D90"/>
    <w:rsid w:val="006406CE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7585"/>
    <w:rsid w:val="006A76C4"/>
    <w:rsid w:val="006B5529"/>
    <w:rsid w:val="006B60A7"/>
    <w:rsid w:val="006C0B1E"/>
    <w:rsid w:val="006C1427"/>
    <w:rsid w:val="006E067B"/>
    <w:rsid w:val="006F1984"/>
    <w:rsid w:val="006F38C9"/>
    <w:rsid w:val="00700AAB"/>
    <w:rsid w:val="00701561"/>
    <w:rsid w:val="007044C6"/>
    <w:rsid w:val="0071361F"/>
    <w:rsid w:val="00717255"/>
    <w:rsid w:val="00730C6E"/>
    <w:rsid w:val="00731370"/>
    <w:rsid w:val="00734261"/>
    <w:rsid w:val="00741C5B"/>
    <w:rsid w:val="0074299E"/>
    <w:rsid w:val="00744C66"/>
    <w:rsid w:val="00750799"/>
    <w:rsid w:val="00753F18"/>
    <w:rsid w:val="007638F4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3830"/>
    <w:rsid w:val="00954A0A"/>
    <w:rsid w:val="00975149"/>
    <w:rsid w:val="00983585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0572C"/>
    <w:rsid w:val="00A17A64"/>
    <w:rsid w:val="00A21DD2"/>
    <w:rsid w:val="00A27179"/>
    <w:rsid w:val="00A41772"/>
    <w:rsid w:val="00A44CD2"/>
    <w:rsid w:val="00A46828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1DE8"/>
    <w:rsid w:val="00AD3979"/>
    <w:rsid w:val="00AD3D11"/>
    <w:rsid w:val="00AE6141"/>
    <w:rsid w:val="00AF190B"/>
    <w:rsid w:val="00AF1B74"/>
    <w:rsid w:val="00AF2B53"/>
    <w:rsid w:val="00B03662"/>
    <w:rsid w:val="00B1583D"/>
    <w:rsid w:val="00B2197E"/>
    <w:rsid w:val="00B25FB0"/>
    <w:rsid w:val="00B34D84"/>
    <w:rsid w:val="00B37848"/>
    <w:rsid w:val="00B40237"/>
    <w:rsid w:val="00B6129A"/>
    <w:rsid w:val="00B61CEC"/>
    <w:rsid w:val="00B650E2"/>
    <w:rsid w:val="00B6528E"/>
    <w:rsid w:val="00B67DF6"/>
    <w:rsid w:val="00B87DB5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E5AC3"/>
    <w:rsid w:val="00BF03A0"/>
    <w:rsid w:val="00BF7876"/>
    <w:rsid w:val="00C072A8"/>
    <w:rsid w:val="00C1024C"/>
    <w:rsid w:val="00C10FDD"/>
    <w:rsid w:val="00C1722D"/>
    <w:rsid w:val="00C178A8"/>
    <w:rsid w:val="00C20BA4"/>
    <w:rsid w:val="00C22D6C"/>
    <w:rsid w:val="00C31961"/>
    <w:rsid w:val="00C36454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182A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65DF1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20C82"/>
    <w:rsid w:val="00E3731D"/>
    <w:rsid w:val="00E45845"/>
    <w:rsid w:val="00E45C46"/>
    <w:rsid w:val="00E46EEF"/>
    <w:rsid w:val="00E51948"/>
    <w:rsid w:val="00E645B4"/>
    <w:rsid w:val="00E7226F"/>
    <w:rsid w:val="00E875C8"/>
    <w:rsid w:val="00EA69D7"/>
    <w:rsid w:val="00EB02F5"/>
    <w:rsid w:val="00EB260E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968BA"/>
    <w:rsid w:val="00FA2C54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4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dcgi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dcgi/20211123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dcgi/2021111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tsbevent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s://www.itu.int/en/ITU-T/webinars/dcgi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7916-EE1E-459A-904A-C5041E5C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26</TotalTime>
  <Pages>2</Pages>
  <Words>612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5304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8</cp:revision>
  <cp:lastPrinted>2021-10-26T13:55:00Z</cp:lastPrinted>
  <dcterms:created xsi:type="dcterms:W3CDTF">2021-10-10T18:13:00Z</dcterms:created>
  <dcterms:modified xsi:type="dcterms:W3CDTF">2021-10-26T13:56:00Z</dcterms:modified>
</cp:coreProperties>
</file>