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tblLayout w:type="fixed"/>
        <w:tblCellMar>
          <w:left w:w="0" w:type="dxa"/>
          <w:right w:w="0" w:type="dxa"/>
        </w:tblCellMar>
        <w:tblLook w:val="0000" w:firstRow="0" w:lastRow="0" w:firstColumn="0" w:lastColumn="0" w:noHBand="0" w:noVBand="0"/>
      </w:tblPr>
      <w:tblGrid>
        <w:gridCol w:w="8"/>
        <w:gridCol w:w="1162"/>
        <w:gridCol w:w="248"/>
        <w:gridCol w:w="567"/>
        <w:gridCol w:w="2900"/>
        <w:gridCol w:w="2912"/>
        <w:gridCol w:w="2126"/>
        <w:gridCol w:w="8"/>
      </w:tblGrid>
      <w:tr w:rsidR="00036F4F" w:rsidRPr="00847DC2" w14:paraId="7C216BA5" w14:textId="77777777" w:rsidTr="00036F4F">
        <w:trPr>
          <w:gridAfter w:val="1"/>
          <w:wAfter w:w="8" w:type="dxa"/>
          <w:cantSplit/>
        </w:trPr>
        <w:tc>
          <w:tcPr>
            <w:tcW w:w="1418" w:type="dxa"/>
            <w:gridSpan w:val="3"/>
            <w:vAlign w:val="center"/>
          </w:tcPr>
          <w:p w14:paraId="377771B6" w14:textId="77777777" w:rsidR="00036F4F" w:rsidRPr="00847DC2" w:rsidRDefault="00036F4F" w:rsidP="00D609B5">
            <w:pPr>
              <w:tabs>
                <w:tab w:val="right" w:pos="8732"/>
              </w:tabs>
              <w:spacing w:before="0"/>
              <w:rPr>
                <w:b/>
                <w:bCs/>
                <w:iCs/>
                <w:color w:val="FFFFFF"/>
                <w:sz w:val="30"/>
                <w:szCs w:val="30"/>
              </w:rPr>
            </w:pPr>
            <w:r w:rsidRPr="00847DC2">
              <w:rPr>
                <w:noProof/>
              </w:rPr>
              <w:drawing>
                <wp:inline distT="0" distB="0" distL="0" distR="0" wp14:anchorId="751B94F0" wp14:editId="3E2DAEBA">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7C523592" w14:textId="77777777" w:rsidR="00036F4F" w:rsidRPr="00847DC2" w:rsidRDefault="00036F4F" w:rsidP="00D609B5">
            <w:pPr>
              <w:spacing w:before="0"/>
              <w:rPr>
                <w:rFonts w:cs="Times New Roman Bold"/>
                <w:b/>
                <w:bCs/>
                <w:iCs/>
                <w:smallCaps/>
                <w:sz w:val="34"/>
                <w:szCs w:val="34"/>
              </w:rPr>
            </w:pPr>
            <w:r w:rsidRPr="00847DC2">
              <w:rPr>
                <w:rFonts w:cs="Times New Roman Bold"/>
                <w:b/>
                <w:bCs/>
                <w:iCs/>
                <w:smallCaps/>
                <w:sz w:val="34"/>
                <w:szCs w:val="34"/>
              </w:rPr>
              <w:t>Union internationale des télécommunications</w:t>
            </w:r>
          </w:p>
          <w:p w14:paraId="78DE15CD" w14:textId="77777777" w:rsidR="00036F4F" w:rsidRPr="00847DC2" w:rsidRDefault="00036F4F" w:rsidP="00D609B5">
            <w:pPr>
              <w:tabs>
                <w:tab w:val="right" w:pos="8732"/>
              </w:tabs>
              <w:spacing w:before="0"/>
              <w:rPr>
                <w:b/>
                <w:bCs/>
                <w:iCs/>
                <w:color w:val="FFFFFF"/>
                <w:sz w:val="30"/>
                <w:szCs w:val="30"/>
              </w:rPr>
            </w:pPr>
            <w:r w:rsidRPr="00847DC2">
              <w:rPr>
                <w:rFonts w:cs="Times New Roman Bold"/>
                <w:b/>
                <w:bCs/>
                <w:iCs/>
                <w:smallCaps/>
                <w:sz w:val="28"/>
                <w:szCs w:val="28"/>
              </w:rPr>
              <w:t>B</w:t>
            </w:r>
            <w:r w:rsidRPr="00847DC2">
              <w:rPr>
                <w:b/>
                <w:bCs/>
                <w:iCs/>
                <w:smallCaps/>
                <w:sz w:val="28"/>
                <w:szCs w:val="28"/>
              </w:rPr>
              <w:t>ureau de la Normalisation des Télécommunications</w:t>
            </w:r>
          </w:p>
        </w:tc>
        <w:tc>
          <w:tcPr>
            <w:tcW w:w="2126" w:type="dxa"/>
            <w:vAlign w:val="center"/>
          </w:tcPr>
          <w:p w14:paraId="7AF74BBC" w14:textId="77777777" w:rsidR="00036F4F" w:rsidRPr="00847DC2" w:rsidRDefault="00036F4F" w:rsidP="00D609B5">
            <w:pPr>
              <w:spacing w:before="0"/>
              <w:jc w:val="right"/>
              <w:rPr>
                <w:color w:val="FFFFFF"/>
                <w:sz w:val="26"/>
                <w:szCs w:val="26"/>
              </w:rPr>
            </w:pPr>
          </w:p>
        </w:tc>
      </w:tr>
      <w:tr w:rsidR="00036F4F" w:rsidRPr="005C1297" w14:paraId="18B1FB08" w14:textId="77777777" w:rsidTr="00A5645A">
        <w:trPr>
          <w:gridBefore w:val="1"/>
          <w:wBefore w:w="8" w:type="dxa"/>
          <w:cantSplit/>
        </w:trPr>
        <w:tc>
          <w:tcPr>
            <w:tcW w:w="1977" w:type="dxa"/>
            <w:gridSpan w:val="3"/>
          </w:tcPr>
          <w:p w14:paraId="292B9EFD" w14:textId="77777777" w:rsidR="00036F4F" w:rsidRPr="005C1297" w:rsidRDefault="00036F4F" w:rsidP="00D609B5">
            <w:pPr>
              <w:tabs>
                <w:tab w:val="left" w:pos="4111"/>
              </w:tabs>
              <w:spacing w:before="10"/>
              <w:ind w:left="57"/>
              <w:rPr>
                <w:rFonts w:cstheme="minorHAnsi"/>
                <w:sz w:val="22"/>
                <w:szCs w:val="22"/>
              </w:rPr>
            </w:pPr>
          </w:p>
        </w:tc>
        <w:tc>
          <w:tcPr>
            <w:tcW w:w="2900" w:type="dxa"/>
          </w:tcPr>
          <w:p w14:paraId="097F281B" w14:textId="77777777" w:rsidR="00036F4F" w:rsidRPr="005C1297" w:rsidRDefault="00036F4F" w:rsidP="00D609B5">
            <w:pPr>
              <w:tabs>
                <w:tab w:val="left" w:pos="4111"/>
              </w:tabs>
              <w:spacing w:before="10"/>
              <w:ind w:left="57"/>
              <w:rPr>
                <w:rFonts w:cstheme="minorHAnsi"/>
                <w:b/>
                <w:sz w:val="22"/>
                <w:szCs w:val="22"/>
              </w:rPr>
            </w:pPr>
          </w:p>
        </w:tc>
        <w:tc>
          <w:tcPr>
            <w:tcW w:w="5046" w:type="dxa"/>
            <w:gridSpan w:val="3"/>
          </w:tcPr>
          <w:p w14:paraId="6E323F44" w14:textId="7D3147AD" w:rsidR="00036F4F" w:rsidRPr="005C1297" w:rsidRDefault="00036F4F" w:rsidP="00D609B5">
            <w:pPr>
              <w:tabs>
                <w:tab w:val="clear" w:pos="794"/>
                <w:tab w:val="clear" w:pos="1191"/>
                <w:tab w:val="clear" w:pos="1588"/>
                <w:tab w:val="clear" w:pos="1985"/>
                <w:tab w:val="left" w:pos="284"/>
              </w:tabs>
              <w:spacing w:after="120"/>
              <w:ind w:left="284" w:hanging="227"/>
              <w:rPr>
                <w:rFonts w:cstheme="minorHAnsi"/>
                <w:sz w:val="22"/>
                <w:szCs w:val="22"/>
              </w:rPr>
            </w:pPr>
            <w:r w:rsidRPr="005C1297">
              <w:rPr>
                <w:rFonts w:cstheme="minorHAnsi"/>
                <w:sz w:val="22"/>
                <w:szCs w:val="22"/>
              </w:rPr>
              <w:t>Genève, le</w:t>
            </w:r>
            <w:r w:rsidR="001A50F6" w:rsidRPr="005C1297">
              <w:rPr>
                <w:rFonts w:cstheme="minorHAnsi"/>
                <w:sz w:val="22"/>
                <w:szCs w:val="22"/>
              </w:rPr>
              <w:t xml:space="preserve"> 5 octobre 2021</w:t>
            </w:r>
          </w:p>
        </w:tc>
      </w:tr>
      <w:tr w:rsidR="00036F4F" w:rsidRPr="005C1297" w14:paraId="20B293DD" w14:textId="77777777" w:rsidTr="00BF24DA">
        <w:trPr>
          <w:gridBefore w:val="1"/>
          <w:wBefore w:w="8" w:type="dxa"/>
          <w:cantSplit/>
          <w:trHeight w:val="340"/>
        </w:trPr>
        <w:tc>
          <w:tcPr>
            <w:tcW w:w="1162" w:type="dxa"/>
          </w:tcPr>
          <w:p w14:paraId="7EF827F6" w14:textId="77777777" w:rsidR="00036F4F" w:rsidRPr="005C1297" w:rsidRDefault="00036F4F" w:rsidP="00D609B5">
            <w:pPr>
              <w:tabs>
                <w:tab w:val="left" w:pos="4111"/>
              </w:tabs>
              <w:spacing w:before="10"/>
              <w:ind w:left="57"/>
              <w:rPr>
                <w:rFonts w:cstheme="minorHAnsi"/>
                <w:b/>
                <w:bCs/>
                <w:sz w:val="22"/>
                <w:szCs w:val="22"/>
              </w:rPr>
            </w:pPr>
            <w:proofErr w:type="gramStart"/>
            <w:r w:rsidRPr="005C1297">
              <w:rPr>
                <w:rFonts w:cstheme="minorHAnsi"/>
                <w:b/>
                <w:bCs/>
                <w:sz w:val="22"/>
                <w:szCs w:val="22"/>
              </w:rPr>
              <w:t>Réf.:</w:t>
            </w:r>
            <w:proofErr w:type="gramEnd"/>
          </w:p>
          <w:p w14:paraId="11220234" w14:textId="77777777" w:rsidR="00036F4F" w:rsidRPr="005C1297" w:rsidRDefault="00036F4F" w:rsidP="00D609B5">
            <w:pPr>
              <w:tabs>
                <w:tab w:val="left" w:pos="4111"/>
              </w:tabs>
              <w:spacing w:before="10"/>
              <w:ind w:left="57"/>
              <w:rPr>
                <w:rFonts w:cstheme="minorHAnsi"/>
                <w:b/>
                <w:bCs/>
                <w:sz w:val="22"/>
                <w:szCs w:val="22"/>
              </w:rPr>
            </w:pPr>
          </w:p>
        </w:tc>
        <w:tc>
          <w:tcPr>
            <w:tcW w:w="3715" w:type="dxa"/>
            <w:gridSpan w:val="3"/>
          </w:tcPr>
          <w:p w14:paraId="0B73A88C" w14:textId="04E6B905" w:rsidR="00036F4F" w:rsidRPr="005C1297" w:rsidRDefault="00036F4F" w:rsidP="00D609B5">
            <w:pPr>
              <w:tabs>
                <w:tab w:val="left" w:pos="4111"/>
              </w:tabs>
              <w:spacing w:before="10"/>
              <w:ind w:left="57"/>
              <w:rPr>
                <w:rFonts w:cstheme="minorHAnsi"/>
                <w:b/>
                <w:sz w:val="22"/>
                <w:szCs w:val="22"/>
              </w:rPr>
            </w:pPr>
            <w:r w:rsidRPr="005C1297">
              <w:rPr>
                <w:rFonts w:cstheme="minorHAnsi"/>
                <w:b/>
                <w:sz w:val="22"/>
                <w:szCs w:val="22"/>
              </w:rPr>
              <w:t>Circulaire TSB</w:t>
            </w:r>
            <w:r w:rsidR="001A50F6" w:rsidRPr="005C1297">
              <w:rPr>
                <w:rFonts w:cstheme="minorHAnsi"/>
                <w:b/>
                <w:sz w:val="22"/>
                <w:szCs w:val="22"/>
              </w:rPr>
              <w:t xml:space="preserve"> 348</w:t>
            </w:r>
          </w:p>
        </w:tc>
        <w:tc>
          <w:tcPr>
            <w:tcW w:w="5046" w:type="dxa"/>
            <w:gridSpan w:val="3"/>
            <w:vMerge w:val="restart"/>
          </w:tcPr>
          <w:p w14:paraId="593366FD" w14:textId="77777777" w:rsidR="001A50F6" w:rsidRPr="005C1297" w:rsidRDefault="00036F4F" w:rsidP="00D609B5">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5C1297">
              <w:rPr>
                <w:rFonts w:cstheme="minorHAnsi"/>
                <w:sz w:val="22"/>
                <w:szCs w:val="22"/>
              </w:rPr>
              <w:t>-</w:t>
            </w:r>
            <w:r w:rsidRPr="005C1297">
              <w:rPr>
                <w:rFonts w:cstheme="minorHAnsi"/>
                <w:sz w:val="22"/>
                <w:szCs w:val="22"/>
              </w:rPr>
              <w:tab/>
            </w:r>
            <w:r w:rsidR="001A50F6" w:rsidRPr="005C1297">
              <w:rPr>
                <w:rFonts w:cstheme="minorHAnsi"/>
                <w:sz w:val="22"/>
                <w:szCs w:val="22"/>
              </w:rPr>
              <w:t xml:space="preserve">Aux Administrations des États Membres de </w:t>
            </w:r>
            <w:proofErr w:type="gramStart"/>
            <w:r w:rsidR="001A50F6" w:rsidRPr="005C1297">
              <w:rPr>
                <w:rFonts w:cstheme="minorHAnsi"/>
                <w:sz w:val="22"/>
                <w:szCs w:val="22"/>
              </w:rPr>
              <w:t>l'Union;</w:t>
            </w:r>
            <w:proofErr w:type="gramEnd"/>
          </w:p>
          <w:p w14:paraId="2402CBC2" w14:textId="77777777" w:rsidR="001A50F6" w:rsidRPr="005C1297" w:rsidRDefault="001A50F6" w:rsidP="00D609B5">
            <w:pPr>
              <w:tabs>
                <w:tab w:val="clear" w:pos="794"/>
                <w:tab w:val="clear" w:pos="1191"/>
                <w:tab w:val="clear" w:pos="1588"/>
                <w:tab w:val="clear" w:pos="1985"/>
                <w:tab w:val="left" w:pos="284"/>
              </w:tabs>
              <w:spacing w:before="0"/>
              <w:ind w:left="284" w:hanging="227"/>
              <w:rPr>
                <w:rFonts w:cstheme="minorHAnsi"/>
                <w:sz w:val="22"/>
                <w:szCs w:val="22"/>
              </w:rPr>
            </w:pPr>
            <w:r w:rsidRPr="005C1297">
              <w:rPr>
                <w:rFonts w:cstheme="minorHAnsi"/>
                <w:sz w:val="22"/>
                <w:szCs w:val="22"/>
              </w:rPr>
              <w:t>-</w:t>
            </w:r>
            <w:r w:rsidRPr="005C1297">
              <w:rPr>
                <w:rFonts w:cstheme="minorHAnsi"/>
                <w:sz w:val="22"/>
                <w:szCs w:val="22"/>
              </w:rPr>
              <w:tab/>
              <w:t>Aux Membres du Secteur de l'UIT-</w:t>
            </w:r>
            <w:proofErr w:type="gramStart"/>
            <w:r w:rsidRPr="005C1297">
              <w:rPr>
                <w:rFonts w:cstheme="minorHAnsi"/>
                <w:sz w:val="22"/>
                <w:szCs w:val="22"/>
              </w:rPr>
              <w:t>T;</w:t>
            </w:r>
            <w:proofErr w:type="gramEnd"/>
          </w:p>
          <w:p w14:paraId="1A4F8EC5" w14:textId="77777777" w:rsidR="001A50F6" w:rsidRPr="005C1297" w:rsidRDefault="001A50F6" w:rsidP="00D609B5">
            <w:pPr>
              <w:tabs>
                <w:tab w:val="clear" w:pos="794"/>
                <w:tab w:val="clear" w:pos="1191"/>
                <w:tab w:val="clear" w:pos="1588"/>
                <w:tab w:val="clear" w:pos="1985"/>
                <w:tab w:val="left" w:pos="284"/>
              </w:tabs>
              <w:spacing w:before="0"/>
              <w:ind w:left="284" w:hanging="227"/>
              <w:rPr>
                <w:rFonts w:cstheme="minorHAnsi"/>
                <w:sz w:val="22"/>
                <w:szCs w:val="22"/>
              </w:rPr>
            </w:pPr>
            <w:r w:rsidRPr="005C1297">
              <w:rPr>
                <w:rFonts w:cstheme="minorHAnsi"/>
                <w:sz w:val="22"/>
                <w:szCs w:val="22"/>
              </w:rPr>
              <w:t>-</w:t>
            </w:r>
            <w:r w:rsidRPr="005C1297">
              <w:rPr>
                <w:rFonts w:cstheme="minorHAnsi"/>
                <w:sz w:val="22"/>
                <w:szCs w:val="22"/>
              </w:rPr>
              <w:tab/>
              <w:t>Aux Associés de l'UIT-</w:t>
            </w:r>
            <w:proofErr w:type="gramStart"/>
            <w:r w:rsidRPr="005C1297">
              <w:rPr>
                <w:rFonts w:cstheme="minorHAnsi"/>
                <w:sz w:val="22"/>
                <w:szCs w:val="22"/>
              </w:rPr>
              <w:t>T;</w:t>
            </w:r>
            <w:proofErr w:type="gramEnd"/>
          </w:p>
          <w:p w14:paraId="2D0129EF" w14:textId="1D4E88EA" w:rsidR="00036F4F" w:rsidRPr="005C1297" w:rsidRDefault="001A50F6" w:rsidP="00D609B5">
            <w:pPr>
              <w:tabs>
                <w:tab w:val="clear" w:pos="794"/>
                <w:tab w:val="clear" w:pos="1191"/>
                <w:tab w:val="clear" w:pos="1588"/>
                <w:tab w:val="clear" w:pos="1985"/>
                <w:tab w:val="left" w:pos="284"/>
              </w:tabs>
              <w:spacing w:before="0"/>
              <w:ind w:left="284" w:hanging="227"/>
              <w:rPr>
                <w:rFonts w:cstheme="minorHAnsi"/>
                <w:sz w:val="22"/>
                <w:szCs w:val="22"/>
              </w:rPr>
            </w:pPr>
            <w:r w:rsidRPr="005C1297">
              <w:rPr>
                <w:rFonts w:cstheme="minorHAnsi"/>
                <w:sz w:val="22"/>
                <w:szCs w:val="22"/>
              </w:rPr>
              <w:t>-</w:t>
            </w:r>
            <w:r w:rsidRPr="005C1297">
              <w:rPr>
                <w:rFonts w:cstheme="minorHAnsi"/>
                <w:sz w:val="22"/>
                <w:szCs w:val="22"/>
              </w:rPr>
              <w:tab/>
              <w:t>Aux établissements universitaires participant aux travaux de l'UIT</w:t>
            </w:r>
          </w:p>
        </w:tc>
      </w:tr>
      <w:tr w:rsidR="00036F4F" w:rsidRPr="005C1297" w14:paraId="575AFB18" w14:textId="77777777" w:rsidTr="00BF24DA">
        <w:trPr>
          <w:gridBefore w:val="1"/>
          <w:wBefore w:w="8" w:type="dxa"/>
          <w:cantSplit/>
        </w:trPr>
        <w:tc>
          <w:tcPr>
            <w:tcW w:w="1162" w:type="dxa"/>
          </w:tcPr>
          <w:p w14:paraId="7DDF372F" w14:textId="77777777" w:rsidR="00036F4F" w:rsidRPr="005C1297" w:rsidRDefault="00036F4F" w:rsidP="00D609B5">
            <w:pPr>
              <w:tabs>
                <w:tab w:val="left" w:pos="4111"/>
              </w:tabs>
              <w:spacing w:before="10"/>
              <w:ind w:left="57"/>
              <w:rPr>
                <w:rFonts w:cstheme="minorHAnsi"/>
                <w:b/>
                <w:bCs/>
                <w:sz w:val="22"/>
                <w:szCs w:val="22"/>
              </w:rPr>
            </w:pPr>
            <w:proofErr w:type="gramStart"/>
            <w:r w:rsidRPr="005C1297">
              <w:rPr>
                <w:rFonts w:cstheme="minorHAnsi"/>
                <w:b/>
                <w:bCs/>
                <w:sz w:val="22"/>
                <w:szCs w:val="22"/>
              </w:rPr>
              <w:t>Tél.:</w:t>
            </w:r>
            <w:proofErr w:type="gramEnd"/>
          </w:p>
        </w:tc>
        <w:tc>
          <w:tcPr>
            <w:tcW w:w="3715" w:type="dxa"/>
            <w:gridSpan w:val="3"/>
          </w:tcPr>
          <w:p w14:paraId="77550539" w14:textId="779A5316" w:rsidR="00036F4F" w:rsidRPr="005C1297" w:rsidRDefault="00036F4F" w:rsidP="00D609B5">
            <w:pPr>
              <w:tabs>
                <w:tab w:val="left" w:pos="4111"/>
              </w:tabs>
              <w:spacing w:before="0"/>
              <w:ind w:left="57"/>
              <w:rPr>
                <w:rFonts w:cstheme="minorHAnsi"/>
                <w:sz w:val="22"/>
                <w:szCs w:val="22"/>
              </w:rPr>
            </w:pPr>
            <w:r w:rsidRPr="005C1297">
              <w:rPr>
                <w:rFonts w:cstheme="minorHAnsi"/>
                <w:sz w:val="22"/>
                <w:szCs w:val="22"/>
              </w:rPr>
              <w:t>+41 22 730</w:t>
            </w:r>
            <w:r w:rsidR="001A50F6" w:rsidRPr="005C1297">
              <w:rPr>
                <w:rFonts w:cstheme="minorHAnsi"/>
                <w:sz w:val="22"/>
                <w:szCs w:val="22"/>
              </w:rPr>
              <w:t xml:space="preserve"> 5591</w:t>
            </w:r>
          </w:p>
        </w:tc>
        <w:tc>
          <w:tcPr>
            <w:tcW w:w="5046" w:type="dxa"/>
            <w:gridSpan w:val="3"/>
            <w:vMerge/>
          </w:tcPr>
          <w:p w14:paraId="13B6655A" w14:textId="77777777" w:rsidR="00036F4F" w:rsidRPr="005C1297" w:rsidRDefault="00036F4F" w:rsidP="00D609B5">
            <w:pPr>
              <w:tabs>
                <w:tab w:val="left" w:pos="4111"/>
              </w:tabs>
              <w:spacing w:before="0"/>
              <w:rPr>
                <w:rFonts w:cstheme="minorHAnsi"/>
                <w:b/>
                <w:sz w:val="22"/>
                <w:szCs w:val="22"/>
              </w:rPr>
            </w:pPr>
          </w:p>
        </w:tc>
      </w:tr>
      <w:tr w:rsidR="00036F4F" w:rsidRPr="005C1297" w14:paraId="5301ED71" w14:textId="77777777" w:rsidTr="00BF24DA">
        <w:trPr>
          <w:gridBefore w:val="1"/>
          <w:wBefore w:w="8" w:type="dxa"/>
          <w:cantSplit/>
        </w:trPr>
        <w:tc>
          <w:tcPr>
            <w:tcW w:w="1162" w:type="dxa"/>
          </w:tcPr>
          <w:p w14:paraId="585FB9E9" w14:textId="47D3848F" w:rsidR="00036F4F" w:rsidRPr="005C1297" w:rsidRDefault="00BF24DA" w:rsidP="00D609B5">
            <w:pPr>
              <w:tabs>
                <w:tab w:val="left" w:pos="4111"/>
              </w:tabs>
              <w:spacing w:before="10"/>
              <w:ind w:left="57"/>
              <w:rPr>
                <w:rFonts w:cstheme="minorHAnsi"/>
                <w:b/>
                <w:bCs/>
                <w:sz w:val="22"/>
                <w:szCs w:val="22"/>
              </w:rPr>
            </w:pPr>
            <w:proofErr w:type="gramStart"/>
            <w:r w:rsidRPr="005C1297">
              <w:rPr>
                <w:rFonts w:cstheme="minorHAnsi"/>
                <w:b/>
                <w:bCs/>
                <w:sz w:val="22"/>
                <w:szCs w:val="22"/>
              </w:rPr>
              <w:t>Télécopie</w:t>
            </w:r>
            <w:r w:rsidR="00036F4F" w:rsidRPr="005C1297">
              <w:rPr>
                <w:rFonts w:cstheme="minorHAnsi"/>
                <w:b/>
                <w:bCs/>
                <w:sz w:val="22"/>
                <w:szCs w:val="22"/>
              </w:rPr>
              <w:t>:</w:t>
            </w:r>
            <w:proofErr w:type="gramEnd"/>
          </w:p>
        </w:tc>
        <w:tc>
          <w:tcPr>
            <w:tcW w:w="3715" w:type="dxa"/>
            <w:gridSpan w:val="3"/>
          </w:tcPr>
          <w:p w14:paraId="6B6BF296" w14:textId="77777777" w:rsidR="00036F4F" w:rsidRPr="005C1297" w:rsidRDefault="00036F4F" w:rsidP="00D609B5">
            <w:pPr>
              <w:tabs>
                <w:tab w:val="left" w:pos="4111"/>
              </w:tabs>
              <w:spacing w:before="0"/>
              <w:ind w:left="57"/>
              <w:rPr>
                <w:rFonts w:cstheme="minorHAnsi"/>
                <w:sz w:val="22"/>
                <w:szCs w:val="22"/>
              </w:rPr>
            </w:pPr>
            <w:r w:rsidRPr="005C1297">
              <w:rPr>
                <w:rFonts w:cstheme="minorHAnsi"/>
                <w:sz w:val="22"/>
                <w:szCs w:val="22"/>
              </w:rPr>
              <w:t>+41 22 730 5853</w:t>
            </w:r>
          </w:p>
        </w:tc>
        <w:tc>
          <w:tcPr>
            <w:tcW w:w="5046" w:type="dxa"/>
            <w:gridSpan w:val="3"/>
            <w:vMerge/>
          </w:tcPr>
          <w:p w14:paraId="2746679E" w14:textId="77777777" w:rsidR="00036F4F" w:rsidRPr="005C1297" w:rsidRDefault="00036F4F" w:rsidP="00D609B5">
            <w:pPr>
              <w:tabs>
                <w:tab w:val="left" w:pos="4111"/>
              </w:tabs>
              <w:spacing w:before="0"/>
              <w:rPr>
                <w:rFonts w:cstheme="minorHAnsi"/>
                <w:b/>
                <w:sz w:val="22"/>
                <w:szCs w:val="22"/>
              </w:rPr>
            </w:pPr>
          </w:p>
        </w:tc>
      </w:tr>
      <w:tr w:rsidR="00517A03" w:rsidRPr="005C1297" w14:paraId="63C14C76" w14:textId="77777777" w:rsidTr="00BF24DA">
        <w:trPr>
          <w:gridBefore w:val="1"/>
          <w:wBefore w:w="8" w:type="dxa"/>
          <w:cantSplit/>
        </w:trPr>
        <w:tc>
          <w:tcPr>
            <w:tcW w:w="1162" w:type="dxa"/>
          </w:tcPr>
          <w:p w14:paraId="0BFEE81D" w14:textId="023CAA5E" w:rsidR="00517A03" w:rsidRPr="005C1297" w:rsidRDefault="00BF24DA" w:rsidP="00D609B5">
            <w:pPr>
              <w:tabs>
                <w:tab w:val="left" w:pos="4111"/>
              </w:tabs>
              <w:spacing w:before="10"/>
              <w:ind w:left="57"/>
              <w:rPr>
                <w:rFonts w:cstheme="minorHAnsi"/>
                <w:b/>
                <w:bCs/>
                <w:sz w:val="22"/>
                <w:szCs w:val="22"/>
              </w:rPr>
            </w:pPr>
            <w:proofErr w:type="gramStart"/>
            <w:r w:rsidRPr="005C1297">
              <w:rPr>
                <w:rFonts w:cstheme="minorHAnsi"/>
                <w:b/>
                <w:bCs/>
                <w:sz w:val="22"/>
                <w:szCs w:val="22"/>
              </w:rPr>
              <w:t>Courriel</w:t>
            </w:r>
            <w:r w:rsidR="00036F4F" w:rsidRPr="005C1297">
              <w:rPr>
                <w:rFonts w:cstheme="minorHAnsi"/>
                <w:b/>
                <w:bCs/>
                <w:sz w:val="22"/>
                <w:szCs w:val="22"/>
              </w:rPr>
              <w:t>:</w:t>
            </w:r>
            <w:proofErr w:type="gramEnd"/>
          </w:p>
        </w:tc>
        <w:tc>
          <w:tcPr>
            <w:tcW w:w="3715" w:type="dxa"/>
            <w:gridSpan w:val="3"/>
          </w:tcPr>
          <w:p w14:paraId="4D1B4EC4" w14:textId="5420D756" w:rsidR="00517A03" w:rsidRPr="005C1297" w:rsidRDefault="00A23B5F" w:rsidP="00D609B5">
            <w:pPr>
              <w:tabs>
                <w:tab w:val="left" w:pos="4111"/>
              </w:tabs>
              <w:spacing w:before="0"/>
              <w:ind w:left="57"/>
              <w:rPr>
                <w:rFonts w:cstheme="minorHAnsi"/>
                <w:sz w:val="22"/>
                <w:szCs w:val="22"/>
              </w:rPr>
            </w:pPr>
            <w:hyperlink r:id="rId9" w:history="1">
              <w:bookmarkStart w:id="1" w:name="lt_pId035"/>
              <w:r w:rsidR="001A50F6" w:rsidRPr="005C1297">
                <w:rPr>
                  <w:rStyle w:val="Hyperlink"/>
                  <w:rFonts w:cstheme="minorHAnsi"/>
                  <w:sz w:val="22"/>
                  <w:szCs w:val="22"/>
                </w:rPr>
                <w:t>tsbevents@itu.int</w:t>
              </w:r>
              <w:bookmarkEnd w:id="1"/>
            </w:hyperlink>
          </w:p>
        </w:tc>
        <w:tc>
          <w:tcPr>
            <w:tcW w:w="5046" w:type="dxa"/>
            <w:gridSpan w:val="3"/>
          </w:tcPr>
          <w:p w14:paraId="2BA991D1" w14:textId="77777777" w:rsidR="00517A03" w:rsidRPr="005C1297" w:rsidRDefault="00517A03" w:rsidP="00D609B5">
            <w:pPr>
              <w:tabs>
                <w:tab w:val="left" w:pos="4111"/>
              </w:tabs>
              <w:spacing w:before="0"/>
              <w:rPr>
                <w:rFonts w:cstheme="minorHAnsi"/>
                <w:sz w:val="22"/>
                <w:szCs w:val="22"/>
              </w:rPr>
            </w:pPr>
            <w:proofErr w:type="gramStart"/>
            <w:r w:rsidRPr="005C1297">
              <w:rPr>
                <w:rFonts w:cstheme="minorHAnsi"/>
                <w:b/>
                <w:sz w:val="22"/>
                <w:szCs w:val="22"/>
              </w:rPr>
              <w:t>Copie</w:t>
            </w:r>
            <w:r w:rsidRPr="005C1297">
              <w:rPr>
                <w:rFonts w:cstheme="minorHAnsi"/>
                <w:sz w:val="22"/>
                <w:szCs w:val="22"/>
              </w:rPr>
              <w:t>:</w:t>
            </w:r>
            <w:proofErr w:type="gramEnd"/>
          </w:p>
          <w:p w14:paraId="610D35D2" w14:textId="6934E99B" w:rsidR="001A50F6" w:rsidRPr="005C1297" w:rsidRDefault="00517A03" w:rsidP="00D609B5">
            <w:pPr>
              <w:tabs>
                <w:tab w:val="clear" w:pos="794"/>
                <w:tab w:val="left" w:pos="226"/>
                <w:tab w:val="left" w:pos="4111"/>
              </w:tabs>
              <w:spacing w:before="0"/>
              <w:ind w:left="226" w:hanging="226"/>
              <w:rPr>
                <w:rFonts w:cstheme="minorHAnsi"/>
                <w:sz w:val="22"/>
                <w:szCs w:val="22"/>
              </w:rPr>
            </w:pPr>
            <w:r w:rsidRPr="005C1297">
              <w:rPr>
                <w:rFonts w:cstheme="minorHAnsi"/>
                <w:sz w:val="22"/>
                <w:szCs w:val="22"/>
              </w:rPr>
              <w:t>-</w:t>
            </w:r>
            <w:r w:rsidRPr="005C1297">
              <w:rPr>
                <w:rFonts w:cstheme="minorHAnsi"/>
                <w:sz w:val="22"/>
                <w:szCs w:val="22"/>
              </w:rPr>
              <w:tab/>
            </w:r>
            <w:r w:rsidR="001A50F6" w:rsidRPr="005C1297">
              <w:rPr>
                <w:rFonts w:cstheme="minorHAnsi"/>
                <w:sz w:val="22"/>
                <w:szCs w:val="22"/>
              </w:rPr>
              <w:t>Aux Présidents et Vice-Présidents des commissions d'études</w:t>
            </w:r>
            <w:r w:rsidR="00BF24DA" w:rsidRPr="005C1297">
              <w:rPr>
                <w:rFonts w:cstheme="minorHAnsi"/>
                <w:sz w:val="22"/>
                <w:szCs w:val="22"/>
              </w:rPr>
              <w:t xml:space="preserve"> de l'UIT-</w:t>
            </w:r>
            <w:proofErr w:type="gramStart"/>
            <w:r w:rsidR="00BF24DA" w:rsidRPr="005C1297">
              <w:rPr>
                <w:rFonts w:cstheme="minorHAnsi"/>
                <w:sz w:val="22"/>
                <w:szCs w:val="22"/>
              </w:rPr>
              <w:t>T</w:t>
            </w:r>
            <w:r w:rsidR="001A50F6" w:rsidRPr="005C1297">
              <w:rPr>
                <w:rFonts w:cstheme="minorHAnsi"/>
                <w:sz w:val="22"/>
                <w:szCs w:val="22"/>
              </w:rPr>
              <w:t>;</w:t>
            </w:r>
            <w:proofErr w:type="gramEnd"/>
          </w:p>
          <w:p w14:paraId="52D6A02A" w14:textId="77777777" w:rsidR="001A50F6" w:rsidRPr="005C1297" w:rsidRDefault="001A50F6" w:rsidP="00D609B5">
            <w:pPr>
              <w:tabs>
                <w:tab w:val="clear" w:pos="794"/>
                <w:tab w:val="left" w:pos="226"/>
                <w:tab w:val="left" w:pos="4111"/>
              </w:tabs>
              <w:spacing w:before="0"/>
              <w:ind w:left="226" w:hanging="226"/>
              <w:rPr>
                <w:rFonts w:cstheme="minorHAnsi"/>
                <w:sz w:val="22"/>
                <w:szCs w:val="22"/>
              </w:rPr>
            </w:pPr>
            <w:r w:rsidRPr="005C1297">
              <w:rPr>
                <w:rFonts w:cstheme="minorHAnsi"/>
                <w:sz w:val="22"/>
                <w:szCs w:val="22"/>
              </w:rPr>
              <w:t>-</w:t>
            </w:r>
            <w:r w:rsidRPr="005C1297">
              <w:rPr>
                <w:rFonts w:cstheme="minorHAnsi"/>
                <w:sz w:val="22"/>
                <w:szCs w:val="22"/>
              </w:rPr>
              <w:tab/>
              <w:t>À la Directrice du Bureau de développement des </w:t>
            </w:r>
            <w:proofErr w:type="gramStart"/>
            <w:r w:rsidRPr="005C1297">
              <w:rPr>
                <w:rFonts w:cstheme="minorHAnsi"/>
                <w:sz w:val="22"/>
                <w:szCs w:val="22"/>
              </w:rPr>
              <w:t>télécommunications;</w:t>
            </w:r>
            <w:proofErr w:type="gramEnd"/>
          </w:p>
          <w:p w14:paraId="1251B60A" w14:textId="03BCC41D" w:rsidR="00517A03" w:rsidRPr="005C1297" w:rsidRDefault="001A50F6" w:rsidP="00D609B5">
            <w:pPr>
              <w:tabs>
                <w:tab w:val="clear" w:pos="794"/>
                <w:tab w:val="left" w:pos="226"/>
                <w:tab w:val="left" w:pos="4111"/>
              </w:tabs>
              <w:spacing w:before="0"/>
              <w:ind w:left="226" w:hanging="226"/>
              <w:rPr>
                <w:rFonts w:cstheme="minorHAnsi"/>
                <w:sz w:val="22"/>
                <w:szCs w:val="22"/>
              </w:rPr>
            </w:pPr>
            <w:r w:rsidRPr="005C1297">
              <w:rPr>
                <w:rFonts w:cstheme="minorHAnsi"/>
                <w:sz w:val="22"/>
                <w:szCs w:val="22"/>
              </w:rPr>
              <w:t>-</w:t>
            </w:r>
            <w:r w:rsidRPr="005C1297">
              <w:rPr>
                <w:rFonts w:cstheme="minorHAnsi"/>
                <w:sz w:val="22"/>
                <w:szCs w:val="22"/>
              </w:rPr>
              <w:tab/>
              <w:t>Au Directeur du Bureau des radiocommunications</w:t>
            </w:r>
          </w:p>
        </w:tc>
      </w:tr>
      <w:tr w:rsidR="00517A03" w:rsidRPr="005C1297" w14:paraId="2DEA4494" w14:textId="77777777" w:rsidTr="00BF24DA">
        <w:trPr>
          <w:gridBefore w:val="1"/>
          <w:gridAfter w:val="1"/>
          <w:wBefore w:w="8" w:type="dxa"/>
          <w:wAfter w:w="8" w:type="dxa"/>
          <w:cantSplit/>
          <w:trHeight w:val="680"/>
        </w:trPr>
        <w:tc>
          <w:tcPr>
            <w:tcW w:w="1162" w:type="dxa"/>
          </w:tcPr>
          <w:p w14:paraId="099F38DE" w14:textId="77777777" w:rsidR="00517A03" w:rsidRPr="005C1297" w:rsidRDefault="00517A03" w:rsidP="00D609B5">
            <w:pPr>
              <w:tabs>
                <w:tab w:val="left" w:pos="4111"/>
              </w:tabs>
              <w:ind w:left="57"/>
              <w:rPr>
                <w:rFonts w:cstheme="minorHAnsi"/>
                <w:b/>
                <w:bCs/>
                <w:sz w:val="22"/>
                <w:szCs w:val="22"/>
              </w:rPr>
            </w:pPr>
            <w:proofErr w:type="gramStart"/>
            <w:r w:rsidRPr="005C1297">
              <w:rPr>
                <w:rFonts w:cstheme="minorHAnsi"/>
                <w:b/>
                <w:bCs/>
                <w:sz w:val="22"/>
                <w:szCs w:val="22"/>
              </w:rPr>
              <w:t>Objet:</w:t>
            </w:r>
            <w:proofErr w:type="gramEnd"/>
          </w:p>
        </w:tc>
        <w:tc>
          <w:tcPr>
            <w:tcW w:w="8753" w:type="dxa"/>
            <w:gridSpan w:val="5"/>
          </w:tcPr>
          <w:p w14:paraId="3C5542A3" w14:textId="4AA9527B" w:rsidR="00517A03" w:rsidRPr="005C1297" w:rsidRDefault="00BF24DA" w:rsidP="00D609B5">
            <w:pPr>
              <w:tabs>
                <w:tab w:val="left" w:pos="4111"/>
              </w:tabs>
              <w:ind w:left="57"/>
              <w:rPr>
                <w:rFonts w:cstheme="minorHAnsi"/>
                <w:b/>
                <w:bCs/>
                <w:sz w:val="22"/>
                <w:szCs w:val="22"/>
              </w:rPr>
            </w:pPr>
            <w:r w:rsidRPr="005C1297">
              <w:rPr>
                <w:rFonts w:cstheme="minorHAnsi"/>
                <w:b/>
                <w:bCs/>
                <w:sz w:val="22"/>
                <w:szCs w:val="22"/>
              </w:rPr>
              <w:t>Webinaires sur</w:t>
            </w:r>
            <w:r w:rsidR="001A50F6" w:rsidRPr="005C1297">
              <w:rPr>
                <w:rFonts w:cstheme="minorHAnsi"/>
                <w:b/>
                <w:bCs/>
                <w:sz w:val="22"/>
                <w:szCs w:val="22"/>
              </w:rPr>
              <w:t xml:space="preserve"> l'Initiative mondiale sur la monnaie numérique</w:t>
            </w:r>
            <w:r w:rsidR="00D609B5" w:rsidRPr="005C1297">
              <w:rPr>
                <w:rFonts w:cstheme="minorHAnsi"/>
                <w:b/>
                <w:bCs/>
                <w:sz w:val="22"/>
                <w:szCs w:val="22"/>
              </w:rPr>
              <w:br/>
            </w:r>
            <w:r w:rsidRPr="005C1297">
              <w:rPr>
                <w:rFonts w:cstheme="minorHAnsi"/>
                <w:b/>
                <w:bCs/>
                <w:sz w:val="22"/>
                <w:szCs w:val="22"/>
              </w:rPr>
              <w:t>(</w:t>
            </w:r>
            <w:r w:rsidR="00942ED0" w:rsidRPr="005C1297">
              <w:rPr>
                <w:rFonts w:cstheme="minorHAnsi"/>
                <w:b/>
                <w:bCs/>
                <w:sz w:val="22"/>
                <w:szCs w:val="22"/>
              </w:rPr>
              <w:t>entièrement virtuels</w:t>
            </w:r>
            <w:r w:rsidRPr="005C1297">
              <w:rPr>
                <w:rFonts w:cstheme="minorHAnsi"/>
                <w:b/>
                <w:bCs/>
                <w:sz w:val="22"/>
                <w:szCs w:val="22"/>
              </w:rPr>
              <w:t>,</w:t>
            </w:r>
            <w:r w:rsidR="001A50F6" w:rsidRPr="005C1297">
              <w:rPr>
                <w:rFonts w:cstheme="minorHAnsi"/>
                <w:b/>
                <w:bCs/>
                <w:sz w:val="22"/>
                <w:szCs w:val="22"/>
              </w:rPr>
              <w:t xml:space="preserve"> 19 et 23 novembre 2021</w:t>
            </w:r>
            <w:r w:rsidRPr="005C1297">
              <w:rPr>
                <w:rFonts w:cstheme="minorHAnsi"/>
                <w:b/>
                <w:bCs/>
                <w:sz w:val="22"/>
                <w:szCs w:val="22"/>
              </w:rPr>
              <w:t>)</w:t>
            </w:r>
          </w:p>
        </w:tc>
      </w:tr>
    </w:tbl>
    <w:p w14:paraId="0F55A1AF" w14:textId="77777777" w:rsidR="00517A03" w:rsidRPr="005C1297" w:rsidRDefault="00517A03" w:rsidP="00D609B5">
      <w:pPr>
        <w:spacing w:before="240"/>
        <w:rPr>
          <w:rFonts w:cstheme="minorHAnsi"/>
          <w:sz w:val="22"/>
          <w:szCs w:val="22"/>
        </w:rPr>
      </w:pPr>
      <w:bookmarkStart w:id="2" w:name="StartTyping_F"/>
      <w:bookmarkEnd w:id="2"/>
      <w:r w:rsidRPr="005C1297">
        <w:rPr>
          <w:rFonts w:cstheme="minorHAnsi"/>
          <w:sz w:val="22"/>
          <w:szCs w:val="22"/>
        </w:rPr>
        <w:t>Madame, Monsieur,</w:t>
      </w:r>
    </w:p>
    <w:p w14:paraId="5E29148A" w14:textId="0E02B23B" w:rsidR="001A50F6" w:rsidRPr="005C1297" w:rsidRDefault="001A50F6" w:rsidP="00D609B5">
      <w:pPr>
        <w:tabs>
          <w:tab w:val="left" w:pos="709"/>
        </w:tabs>
        <w:rPr>
          <w:rFonts w:cstheme="minorHAnsi"/>
          <w:sz w:val="22"/>
          <w:szCs w:val="22"/>
        </w:rPr>
      </w:pPr>
      <w:r w:rsidRPr="005C1297">
        <w:rPr>
          <w:rFonts w:cstheme="minorHAnsi"/>
          <w:bCs/>
          <w:sz w:val="22"/>
          <w:szCs w:val="22"/>
        </w:rPr>
        <w:t>1</w:t>
      </w:r>
      <w:r w:rsidRPr="005C1297">
        <w:rPr>
          <w:rFonts w:cstheme="minorHAnsi"/>
          <w:sz w:val="22"/>
          <w:szCs w:val="22"/>
        </w:rPr>
        <w:tab/>
      </w:r>
      <w:r w:rsidR="003C6601" w:rsidRPr="005C1297">
        <w:rPr>
          <w:rFonts w:cstheme="minorHAnsi"/>
          <w:sz w:val="22"/>
          <w:szCs w:val="22"/>
        </w:rPr>
        <w:t>L'Union international</w:t>
      </w:r>
      <w:r w:rsidR="00BA2E54" w:rsidRPr="005C1297">
        <w:rPr>
          <w:rFonts w:cstheme="minorHAnsi"/>
          <w:sz w:val="22"/>
          <w:szCs w:val="22"/>
        </w:rPr>
        <w:t>e</w:t>
      </w:r>
      <w:r w:rsidR="003C6601" w:rsidRPr="005C1297">
        <w:rPr>
          <w:rFonts w:cstheme="minorHAnsi"/>
          <w:sz w:val="22"/>
          <w:szCs w:val="22"/>
        </w:rPr>
        <w:t xml:space="preserve"> des télécommunications (UIT) organise une série de webinaires </w:t>
      </w:r>
      <w:r w:rsidR="00F40871" w:rsidRPr="005C1297">
        <w:rPr>
          <w:rFonts w:cstheme="minorHAnsi"/>
          <w:sz w:val="22"/>
          <w:szCs w:val="22"/>
        </w:rPr>
        <w:t>consacrés</w:t>
      </w:r>
      <w:r w:rsidR="00D609B5" w:rsidRPr="005C1297">
        <w:rPr>
          <w:rFonts w:cstheme="minorHAnsi"/>
          <w:sz w:val="22"/>
          <w:szCs w:val="22"/>
        </w:rPr>
        <w:t xml:space="preserve"> </w:t>
      </w:r>
      <w:r w:rsidR="00B745D4" w:rsidRPr="005C1297">
        <w:rPr>
          <w:rFonts w:cstheme="minorHAnsi"/>
          <w:sz w:val="22"/>
          <w:szCs w:val="22"/>
        </w:rPr>
        <w:t xml:space="preserve">à </w:t>
      </w:r>
      <w:r w:rsidR="003C6601" w:rsidRPr="005C1297">
        <w:rPr>
          <w:rFonts w:cstheme="minorHAnsi"/>
          <w:sz w:val="22"/>
          <w:szCs w:val="22"/>
        </w:rPr>
        <w:t>l'</w:t>
      </w:r>
      <w:r w:rsidR="003C6601" w:rsidRPr="005C1297">
        <w:rPr>
          <w:rFonts w:cstheme="minorHAnsi"/>
          <w:b/>
          <w:sz w:val="22"/>
          <w:szCs w:val="22"/>
        </w:rPr>
        <w:t xml:space="preserve">Initiative mondiale sur la </w:t>
      </w:r>
      <w:r w:rsidR="00EA666E" w:rsidRPr="005C1297">
        <w:rPr>
          <w:rFonts w:cstheme="minorHAnsi"/>
          <w:b/>
          <w:sz w:val="22"/>
          <w:szCs w:val="22"/>
        </w:rPr>
        <w:t>monnaie numérique</w:t>
      </w:r>
      <w:r w:rsidR="00EA666E" w:rsidRPr="005C1297">
        <w:rPr>
          <w:rFonts w:cstheme="minorHAnsi"/>
          <w:sz w:val="22"/>
          <w:szCs w:val="22"/>
        </w:rPr>
        <w:t xml:space="preserve"> les 19 et 23 novembre 2021.</w:t>
      </w:r>
    </w:p>
    <w:p w14:paraId="70A59255" w14:textId="7023C93E" w:rsidR="001A50F6" w:rsidRPr="005C1297" w:rsidRDefault="001A50F6" w:rsidP="00D609B5">
      <w:pPr>
        <w:rPr>
          <w:rFonts w:cstheme="minorHAnsi"/>
          <w:sz w:val="22"/>
          <w:szCs w:val="22"/>
        </w:rPr>
      </w:pPr>
      <w:r w:rsidRPr="005C1297">
        <w:rPr>
          <w:rFonts w:cstheme="minorHAnsi"/>
          <w:sz w:val="22"/>
          <w:szCs w:val="22"/>
        </w:rPr>
        <w:t>2</w:t>
      </w:r>
      <w:r w:rsidRPr="005C1297">
        <w:rPr>
          <w:rFonts w:cstheme="minorHAnsi"/>
          <w:sz w:val="22"/>
          <w:szCs w:val="22"/>
        </w:rPr>
        <w:tab/>
      </w:r>
      <w:r w:rsidR="00C2256F" w:rsidRPr="005C1297">
        <w:rPr>
          <w:rFonts w:cstheme="minorHAnsi"/>
          <w:sz w:val="22"/>
          <w:szCs w:val="22"/>
        </w:rPr>
        <w:t xml:space="preserve">Les objectifs de ces webinaires seront les </w:t>
      </w:r>
      <w:proofErr w:type="gramStart"/>
      <w:r w:rsidR="00C2256F" w:rsidRPr="005C1297">
        <w:rPr>
          <w:rFonts w:cstheme="minorHAnsi"/>
          <w:sz w:val="22"/>
          <w:szCs w:val="22"/>
        </w:rPr>
        <w:t>suivants</w:t>
      </w:r>
      <w:r w:rsidRPr="005C1297">
        <w:rPr>
          <w:rFonts w:cstheme="minorHAnsi"/>
          <w:sz w:val="22"/>
          <w:szCs w:val="22"/>
        </w:rPr>
        <w:t>:</w:t>
      </w:r>
      <w:proofErr w:type="gramEnd"/>
    </w:p>
    <w:p w14:paraId="1AEBC2D0" w14:textId="6B473237" w:rsidR="001A50F6" w:rsidRPr="005C1297" w:rsidRDefault="001A50F6" w:rsidP="00D609B5">
      <w:pPr>
        <w:pStyle w:val="enumlev1"/>
        <w:rPr>
          <w:rFonts w:cstheme="minorHAnsi"/>
          <w:sz w:val="22"/>
          <w:szCs w:val="22"/>
        </w:rPr>
      </w:pPr>
      <w:r w:rsidRPr="005C1297">
        <w:rPr>
          <w:rFonts w:cstheme="minorHAnsi"/>
          <w:sz w:val="22"/>
          <w:szCs w:val="22"/>
        </w:rPr>
        <w:t>–</w:t>
      </w:r>
      <w:r w:rsidR="00C2256F" w:rsidRPr="005C1297">
        <w:rPr>
          <w:rFonts w:cstheme="minorHAnsi"/>
          <w:sz w:val="22"/>
          <w:szCs w:val="22"/>
        </w:rPr>
        <w:tab/>
      </w:r>
      <w:r w:rsidRPr="005C1297">
        <w:rPr>
          <w:rFonts w:cstheme="minorHAnsi"/>
          <w:sz w:val="22"/>
          <w:szCs w:val="22"/>
        </w:rPr>
        <w:t>échanger les enseignements tirés des technologies</w:t>
      </w:r>
      <w:r w:rsidR="00F40871" w:rsidRPr="005C1297">
        <w:rPr>
          <w:rFonts w:cstheme="minorHAnsi"/>
          <w:color w:val="000000"/>
          <w:sz w:val="22"/>
          <w:szCs w:val="22"/>
        </w:rPr>
        <w:t xml:space="preserve"> liées à la</w:t>
      </w:r>
      <w:r w:rsidR="00D609B5" w:rsidRPr="005C1297">
        <w:rPr>
          <w:rFonts w:cstheme="minorHAnsi"/>
          <w:sz w:val="22"/>
          <w:szCs w:val="22"/>
        </w:rPr>
        <w:t xml:space="preserve"> </w:t>
      </w:r>
      <w:r w:rsidRPr="005C1297">
        <w:rPr>
          <w:rFonts w:cstheme="minorHAnsi"/>
          <w:sz w:val="22"/>
          <w:szCs w:val="22"/>
        </w:rPr>
        <w:t xml:space="preserve">monnaie numérique, des mises en œuvre pilotes, de l'interopérabilité et de la </w:t>
      </w:r>
      <w:proofErr w:type="gramStart"/>
      <w:r w:rsidRPr="005C1297">
        <w:rPr>
          <w:rFonts w:cstheme="minorHAnsi"/>
          <w:sz w:val="22"/>
          <w:szCs w:val="22"/>
        </w:rPr>
        <w:t>gouvernance;</w:t>
      </w:r>
      <w:proofErr w:type="gramEnd"/>
    </w:p>
    <w:p w14:paraId="619D69D2" w14:textId="374DFFBE" w:rsidR="001A50F6" w:rsidRPr="005C1297" w:rsidRDefault="001A50F6" w:rsidP="00D609B5">
      <w:pPr>
        <w:pStyle w:val="enumlev1"/>
        <w:rPr>
          <w:rFonts w:cstheme="minorHAnsi"/>
          <w:sz w:val="22"/>
          <w:szCs w:val="22"/>
        </w:rPr>
      </w:pPr>
      <w:r w:rsidRPr="005C1297">
        <w:rPr>
          <w:rFonts w:cstheme="minorHAnsi"/>
          <w:sz w:val="22"/>
          <w:szCs w:val="22"/>
        </w:rPr>
        <w:t>–</w:t>
      </w:r>
      <w:r w:rsidRPr="005C1297">
        <w:rPr>
          <w:rFonts w:cstheme="minorHAnsi"/>
          <w:sz w:val="22"/>
          <w:szCs w:val="22"/>
        </w:rPr>
        <w:tab/>
        <w:t xml:space="preserve">présenter les mises en œuvre pilotes et les innovations en matière de monnaie numérique en place dans le </w:t>
      </w:r>
      <w:proofErr w:type="gramStart"/>
      <w:r w:rsidRPr="005C1297">
        <w:rPr>
          <w:rFonts w:cstheme="minorHAnsi"/>
          <w:sz w:val="22"/>
          <w:szCs w:val="22"/>
        </w:rPr>
        <w:t>monde;</w:t>
      </w:r>
      <w:proofErr w:type="gramEnd"/>
      <w:r w:rsidR="00C2256F" w:rsidRPr="005C1297">
        <w:rPr>
          <w:rFonts w:cstheme="minorHAnsi"/>
          <w:sz w:val="22"/>
          <w:szCs w:val="22"/>
        </w:rPr>
        <w:t xml:space="preserve"> et</w:t>
      </w:r>
    </w:p>
    <w:p w14:paraId="632867BA" w14:textId="79B32C1D" w:rsidR="00036F4F" w:rsidRPr="005C1297" w:rsidRDefault="001A50F6" w:rsidP="00D609B5">
      <w:pPr>
        <w:pStyle w:val="enumlev1"/>
        <w:rPr>
          <w:rFonts w:cstheme="minorHAnsi"/>
          <w:sz w:val="22"/>
          <w:szCs w:val="22"/>
        </w:rPr>
      </w:pPr>
      <w:r w:rsidRPr="005C1297">
        <w:rPr>
          <w:rFonts w:cstheme="minorHAnsi"/>
          <w:sz w:val="22"/>
          <w:szCs w:val="22"/>
        </w:rPr>
        <w:t>–</w:t>
      </w:r>
      <w:r w:rsidRPr="005C1297">
        <w:rPr>
          <w:rFonts w:cstheme="minorHAnsi"/>
          <w:sz w:val="22"/>
          <w:szCs w:val="22"/>
        </w:rPr>
        <w:tab/>
        <w:t xml:space="preserve">engager une réflexion sur les stratégies, les normes et les innovations relatives à la monnaie numérique en tant qu'élément moteur pour réduire les disparités en matière d'inclusion financière et atteindre les Objectifs de développement durable </w:t>
      </w:r>
      <w:r w:rsidR="00F40871" w:rsidRPr="005C1297">
        <w:rPr>
          <w:rFonts w:cstheme="minorHAnsi"/>
          <w:sz w:val="22"/>
          <w:szCs w:val="22"/>
        </w:rPr>
        <w:t xml:space="preserve">(ODD) </w:t>
      </w:r>
      <w:r w:rsidRPr="005C1297">
        <w:rPr>
          <w:rFonts w:cstheme="minorHAnsi"/>
          <w:sz w:val="22"/>
          <w:szCs w:val="22"/>
        </w:rPr>
        <w:t>fixés par les Nations Unies.</w:t>
      </w:r>
    </w:p>
    <w:p w14:paraId="03917914" w14:textId="06C0D093" w:rsidR="00D16D03" w:rsidRPr="005C1297" w:rsidRDefault="00D16D03" w:rsidP="00D609B5">
      <w:pPr>
        <w:pStyle w:val="enumlev1"/>
        <w:rPr>
          <w:rFonts w:cstheme="minorHAnsi"/>
          <w:sz w:val="22"/>
          <w:szCs w:val="22"/>
        </w:rPr>
      </w:pPr>
      <w:r w:rsidRPr="005C1297">
        <w:rPr>
          <w:rFonts w:cstheme="minorHAnsi"/>
          <w:sz w:val="22"/>
          <w:szCs w:val="22"/>
        </w:rPr>
        <w:t>–</w:t>
      </w:r>
      <w:r w:rsidRPr="005C1297">
        <w:rPr>
          <w:rFonts w:cstheme="minorHAnsi"/>
          <w:sz w:val="22"/>
          <w:szCs w:val="22"/>
        </w:rPr>
        <w:tab/>
      </w:r>
      <w:r w:rsidR="00C2256F" w:rsidRPr="005C1297">
        <w:rPr>
          <w:rFonts w:cstheme="minorHAnsi"/>
          <w:sz w:val="22"/>
          <w:szCs w:val="22"/>
        </w:rPr>
        <w:t xml:space="preserve">Les webinaires </w:t>
      </w:r>
      <w:r w:rsidR="00F40871" w:rsidRPr="005C1297">
        <w:rPr>
          <w:rFonts w:cstheme="minorHAnsi"/>
          <w:sz w:val="22"/>
          <w:szCs w:val="22"/>
        </w:rPr>
        <w:t>offriront</w:t>
      </w:r>
      <w:r w:rsidR="00D609B5" w:rsidRPr="005C1297">
        <w:rPr>
          <w:rFonts w:cstheme="minorHAnsi"/>
          <w:sz w:val="22"/>
          <w:szCs w:val="22"/>
        </w:rPr>
        <w:t xml:space="preserve"> </w:t>
      </w:r>
      <w:r w:rsidR="00C2256F" w:rsidRPr="005C1297">
        <w:rPr>
          <w:rFonts w:cstheme="minorHAnsi"/>
          <w:sz w:val="22"/>
          <w:szCs w:val="22"/>
        </w:rPr>
        <w:t xml:space="preserve">également </w:t>
      </w:r>
      <w:r w:rsidR="00F40871" w:rsidRPr="005C1297">
        <w:rPr>
          <w:rFonts w:cstheme="minorHAnsi"/>
          <w:sz w:val="22"/>
          <w:szCs w:val="22"/>
        </w:rPr>
        <w:t>l</w:t>
      </w:r>
      <w:r w:rsidR="00D609B5" w:rsidRPr="005C1297">
        <w:rPr>
          <w:rFonts w:cstheme="minorHAnsi"/>
          <w:sz w:val="22"/>
          <w:szCs w:val="22"/>
        </w:rPr>
        <w:t>'</w:t>
      </w:r>
      <w:r w:rsidR="00F40871" w:rsidRPr="005C1297">
        <w:rPr>
          <w:rFonts w:cstheme="minorHAnsi"/>
          <w:sz w:val="22"/>
          <w:szCs w:val="22"/>
        </w:rPr>
        <w:t xml:space="preserve">occasion </w:t>
      </w:r>
      <w:r w:rsidR="00C2256F" w:rsidRPr="005C1297">
        <w:rPr>
          <w:rFonts w:cstheme="minorHAnsi"/>
          <w:sz w:val="22"/>
          <w:szCs w:val="22"/>
        </w:rPr>
        <w:t xml:space="preserve">de créer une dynamique favorable </w:t>
      </w:r>
      <w:r w:rsidR="00B17B7B" w:rsidRPr="005C1297">
        <w:rPr>
          <w:rFonts w:cstheme="minorHAnsi"/>
          <w:sz w:val="22"/>
          <w:szCs w:val="22"/>
        </w:rPr>
        <w:t>en vue de la Conférence sur la monnaie numérique, qui se tiendra en janvier 2022</w:t>
      </w:r>
      <w:r w:rsidRPr="005C1297">
        <w:rPr>
          <w:rFonts w:cstheme="minorHAnsi"/>
          <w:sz w:val="22"/>
          <w:szCs w:val="22"/>
        </w:rPr>
        <w:t>.</w:t>
      </w:r>
    </w:p>
    <w:p w14:paraId="04E5FCF3" w14:textId="142C6316" w:rsidR="00D16D03" w:rsidRPr="005C1297" w:rsidRDefault="00D16D03" w:rsidP="00D609B5">
      <w:pPr>
        <w:rPr>
          <w:rFonts w:cstheme="minorHAnsi"/>
          <w:sz w:val="22"/>
          <w:szCs w:val="22"/>
        </w:rPr>
      </w:pPr>
      <w:r w:rsidRPr="005C1297">
        <w:rPr>
          <w:rFonts w:cstheme="minorHAnsi"/>
          <w:sz w:val="22"/>
          <w:szCs w:val="22"/>
        </w:rPr>
        <w:t>3</w:t>
      </w:r>
      <w:r w:rsidRPr="005C1297">
        <w:rPr>
          <w:rFonts w:cstheme="minorHAnsi"/>
          <w:sz w:val="22"/>
          <w:szCs w:val="22"/>
        </w:rPr>
        <w:tab/>
      </w:r>
      <w:r w:rsidR="00447F99" w:rsidRPr="005C1297">
        <w:rPr>
          <w:rFonts w:cstheme="minorHAnsi"/>
          <w:sz w:val="22"/>
          <w:szCs w:val="22"/>
        </w:rPr>
        <w:t>L</w:t>
      </w:r>
      <w:r w:rsidR="00650527" w:rsidRPr="005C1297">
        <w:rPr>
          <w:rFonts w:cstheme="minorHAnsi"/>
          <w:sz w:val="22"/>
          <w:szCs w:val="22"/>
        </w:rPr>
        <w:t xml:space="preserve">es webinaires seront organisés comme </w:t>
      </w:r>
      <w:proofErr w:type="gramStart"/>
      <w:r w:rsidR="00650527" w:rsidRPr="005C1297">
        <w:rPr>
          <w:rFonts w:cstheme="minorHAnsi"/>
          <w:sz w:val="22"/>
          <w:szCs w:val="22"/>
        </w:rPr>
        <w:t>suit</w:t>
      </w:r>
      <w:r w:rsidR="001477EF" w:rsidRPr="005C1297">
        <w:rPr>
          <w:rFonts w:cstheme="minorHAnsi"/>
          <w:sz w:val="22"/>
          <w:szCs w:val="22"/>
        </w:rPr>
        <w:t>:</w:t>
      </w:r>
      <w:proofErr w:type="gramEnd"/>
    </w:p>
    <w:p w14:paraId="44E3D3DB" w14:textId="49C377A0" w:rsidR="00650527" w:rsidRPr="005C1297" w:rsidRDefault="00D16D03" w:rsidP="00D609B5">
      <w:pPr>
        <w:pStyle w:val="enumlev1"/>
        <w:rPr>
          <w:rFonts w:cstheme="minorHAnsi"/>
          <w:sz w:val="22"/>
          <w:szCs w:val="22"/>
        </w:rPr>
      </w:pPr>
      <w:r w:rsidRPr="005C1297">
        <w:rPr>
          <w:rFonts w:cstheme="minorHAnsi"/>
          <w:sz w:val="22"/>
          <w:szCs w:val="22"/>
        </w:rPr>
        <w:t>a)</w:t>
      </w:r>
      <w:r w:rsidRPr="005C1297">
        <w:rPr>
          <w:rFonts w:cstheme="minorHAnsi"/>
          <w:sz w:val="22"/>
          <w:szCs w:val="22"/>
        </w:rPr>
        <w:tab/>
      </w:r>
      <w:r w:rsidR="00650527" w:rsidRPr="005C1297">
        <w:rPr>
          <w:rFonts w:cstheme="minorHAnsi"/>
          <w:sz w:val="22"/>
          <w:szCs w:val="22"/>
        </w:rPr>
        <w:t>Le premier épisode</w:t>
      </w:r>
      <w:r w:rsidR="00F40871" w:rsidRPr="005C1297">
        <w:rPr>
          <w:rFonts w:cstheme="minorHAnsi"/>
          <w:sz w:val="22"/>
          <w:szCs w:val="22"/>
        </w:rPr>
        <w:t>, qui a pour</w:t>
      </w:r>
      <w:r w:rsidR="00D609B5" w:rsidRPr="005C1297">
        <w:rPr>
          <w:rFonts w:cstheme="minorHAnsi"/>
          <w:sz w:val="22"/>
          <w:szCs w:val="22"/>
        </w:rPr>
        <w:t xml:space="preserve"> </w:t>
      </w:r>
      <w:r w:rsidR="00650527" w:rsidRPr="005C1297">
        <w:rPr>
          <w:rFonts w:cstheme="minorHAnsi"/>
          <w:sz w:val="22"/>
          <w:szCs w:val="22"/>
        </w:rPr>
        <w:t>thème "</w:t>
      </w:r>
      <w:r w:rsidR="00F40871" w:rsidRPr="005C1297">
        <w:rPr>
          <w:rFonts w:cstheme="minorHAnsi"/>
          <w:sz w:val="22"/>
          <w:szCs w:val="22"/>
        </w:rPr>
        <w:t>Ape</w:t>
      </w:r>
      <w:r w:rsidR="00D609B5" w:rsidRPr="005C1297">
        <w:rPr>
          <w:rFonts w:cstheme="minorHAnsi"/>
          <w:sz w:val="22"/>
          <w:szCs w:val="22"/>
        </w:rPr>
        <w:t>r</w:t>
      </w:r>
      <w:r w:rsidR="00F40871" w:rsidRPr="005C1297">
        <w:rPr>
          <w:rFonts w:cstheme="minorHAnsi"/>
          <w:sz w:val="22"/>
          <w:szCs w:val="22"/>
        </w:rPr>
        <w:t>çu de</w:t>
      </w:r>
      <w:r w:rsidR="00D609B5" w:rsidRPr="005C1297">
        <w:rPr>
          <w:rFonts w:cstheme="minorHAnsi"/>
          <w:sz w:val="22"/>
          <w:szCs w:val="22"/>
        </w:rPr>
        <w:t xml:space="preserve"> </w:t>
      </w:r>
      <w:r w:rsidR="000224CB" w:rsidRPr="005C1297">
        <w:rPr>
          <w:rFonts w:cstheme="minorHAnsi"/>
          <w:sz w:val="22"/>
          <w:szCs w:val="22"/>
        </w:rPr>
        <w:t xml:space="preserve">la mise en œuvre des monnaies numériques de banque centrale (CBDC) </w:t>
      </w:r>
      <w:r w:rsidR="00EB0CB4" w:rsidRPr="005C1297">
        <w:rPr>
          <w:rFonts w:cstheme="minorHAnsi"/>
          <w:sz w:val="22"/>
          <w:szCs w:val="22"/>
        </w:rPr>
        <w:t>de</w:t>
      </w:r>
      <w:r w:rsidR="000224CB" w:rsidRPr="005C1297">
        <w:rPr>
          <w:rFonts w:cstheme="minorHAnsi"/>
          <w:sz w:val="22"/>
          <w:szCs w:val="22"/>
        </w:rPr>
        <w:t xml:space="preserve"> détail" (</w:t>
      </w:r>
      <w:hyperlink r:id="rId10" w:history="1">
        <w:r w:rsidR="000224CB" w:rsidRPr="005C1297">
          <w:rPr>
            <w:rStyle w:val="Hyperlink"/>
            <w:rFonts w:cstheme="minorHAnsi"/>
            <w:b/>
            <w:bCs/>
            <w:sz w:val="22"/>
            <w:szCs w:val="22"/>
          </w:rPr>
          <w:t>Insights on Retail Central Banks Digital Currencies (CBDC) Implementation</w:t>
        </w:r>
      </w:hyperlink>
      <w:r w:rsidR="000224CB" w:rsidRPr="005C1297">
        <w:rPr>
          <w:rFonts w:cstheme="minorHAnsi"/>
          <w:sz w:val="22"/>
          <w:szCs w:val="22"/>
        </w:rPr>
        <w:t>)</w:t>
      </w:r>
      <w:r w:rsidR="00B75E03" w:rsidRPr="005C1297">
        <w:rPr>
          <w:rFonts w:cstheme="minorHAnsi"/>
          <w:sz w:val="22"/>
          <w:szCs w:val="22"/>
        </w:rPr>
        <w:t xml:space="preserve">, </w:t>
      </w:r>
      <w:r w:rsidR="00E96AEE" w:rsidRPr="005C1297">
        <w:rPr>
          <w:rFonts w:cstheme="minorHAnsi"/>
          <w:sz w:val="22"/>
          <w:szCs w:val="22"/>
        </w:rPr>
        <w:t xml:space="preserve">aura lieu le </w:t>
      </w:r>
      <w:r w:rsidR="00E96AEE" w:rsidRPr="005C1297">
        <w:rPr>
          <w:rFonts w:cstheme="minorHAnsi"/>
          <w:b/>
          <w:sz w:val="22"/>
          <w:szCs w:val="22"/>
        </w:rPr>
        <w:t>19 novembre 2021 de 15 heures à 16</w:t>
      </w:r>
      <w:r w:rsidR="002203FF" w:rsidRPr="005C1297">
        <w:rPr>
          <w:rFonts w:cstheme="minorHAnsi"/>
          <w:b/>
          <w:sz w:val="22"/>
          <w:szCs w:val="22"/>
        </w:rPr>
        <w:t> </w:t>
      </w:r>
      <w:r w:rsidR="00E96AEE" w:rsidRPr="005C1297">
        <w:rPr>
          <w:rFonts w:cstheme="minorHAnsi"/>
          <w:b/>
          <w:sz w:val="22"/>
          <w:szCs w:val="22"/>
        </w:rPr>
        <w:t>h</w:t>
      </w:r>
      <w:r w:rsidR="002203FF" w:rsidRPr="005C1297">
        <w:rPr>
          <w:rFonts w:cstheme="minorHAnsi"/>
          <w:b/>
          <w:sz w:val="22"/>
          <w:szCs w:val="22"/>
        </w:rPr>
        <w:t> </w:t>
      </w:r>
      <w:r w:rsidR="00E96AEE" w:rsidRPr="005C1297">
        <w:rPr>
          <w:rFonts w:cstheme="minorHAnsi"/>
          <w:b/>
          <w:sz w:val="22"/>
          <w:szCs w:val="22"/>
        </w:rPr>
        <w:t>30</w:t>
      </w:r>
      <w:r w:rsidR="00D609B5" w:rsidRPr="005C1297">
        <w:rPr>
          <w:rFonts w:cstheme="minorHAnsi"/>
          <w:b/>
          <w:sz w:val="22"/>
          <w:szCs w:val="22"/>
        </w:rPr>
        <w:t> </w:t>
      </w:r>
      <w:r w:rsidR="00B813B7" w:rsidRPr="005C1297">
        <w:rPr>
          <w:rFonts w:cstheme="minorHAnsi"/>
          <w:b/>
          <w:sz w:val="22"/>
          <w:szCs w:val="22"/>
        </w:rPr>
        <w:t>CET</w:t>
      </w:r>
      <w:r w:rsidR="00B813B7" w:rsidRPr="005C1297">
        <w:rPr>
          <w:rFonts w:cstheme="minorHAnsi"/>
          <w:sz w:val="22"/>
          <w:szCs w:val="22"/>
        </w:rPr>
        <w:t xml:space="preserve">. Les banques centrales du monde entier </w:t>
      </w:r>
      <w:r w:rsidR="005F39F0" w:rsidRPr="005C1297">
        <w:rPr>
          <w:rFonts w:cstheme="minorHAnsi"/>
          <w:sz w:val="22"/>
          <w:szCs w:val="22"/>
        </w:rPr>
        <w:t>se penchent sur le concept de</w:t>
      </w:r>
      <w:r w:rsidR="00B75E03" w:rsidRPr="005C1297">
        <w:rPr>
          <w:rFonts w:cstheme="minorHAnsi"/>
          <w:sz w:val="22"/>
          <w:szCs w:val="22"/>
        </w:rPr>
        <w:t xml:space="preserve"> </w:t>
      </w:r>
      <w:r w:rsidR="005F39F0" w:rsidRPr="005C1297">
        <w:rPr>
          <w:rFonts w:cstheme="minorHAnsi"/>
          <w:sz w:val="22"/>
          <w:szCs w:val="22"/>
        </w:rPr>
        <w:t>monnaies CBDC</w:t>
      </w:r>
      <w:r w:rsidR="00D609B5" w:rsidRPr="005C1297">
        <w:rPr>
          <w:rFonts w:cstheme="minorHAnsi"/>
          <w:sz w:val="22"/>
          <w:szCs w:val="22"/>
        </w:rPr>
        <w:t xml:space="preserve"> </w:t>
      </w:r>
      <w:r w:rsidR="00B75E03" w:rsidRPr="005C1297">
        <w:rPr>
          <w:rFonts w:cstheme="minorHAnsi"/>
          <w:sz w:val="22"/>
          <w:szCs w:val="22"/>
        </w:rPr>
        <w:t>à</w:t>
      </w:r>
      <w:r w:rsidR="005F39F0" w:rsidRPr="005C1297">
        <w:rPr>
          <w:rFonts w:cstheme="minorHAnsi"/>
          <w:sz w:val="22"/>
          <w:szCs w:val="22"/>
        </w:rPr>
        <w:t xml:space="preserve"> usage </w:t>
      </w:r>
      <w:r w:rsidR="00B75E03" w:rsidRPr="005C1297">
        <w:rPr>
          <w:rFonts w:cstheme="minorHAnsi"/>
          <w:sz w:val="22"/>
          <w:szCs w:val="22"/>
        </w:rPr>
        <w:t>général, même si</w:t>
      </w:r>
      <w:r w:rsidR="00D609B5" w:rsidRPr="005C1297">
        <w:rPr>
          <w:rFonts w:cstheme="minorHAnsi"/>
          <w:sz w:val="22"/>
          <w:szCs w:val="22"/>
        </w:rPr>
        <w:t xml:space="preserve"> </w:t>
      </w:r>
      <w:r w:rsidR="005F39F0" w:rsidRPr="005C1297">
        <w:rPr>
          <w:rFonts w:cstheme="minorHAnsi"/>
          <w:sz w:val="22"/>
          <w:szCs w:val="22"/>
        </w:rPr>
        <w:t xml:space="preserve">elles </w:t>
      </w:r>
      <w:r w:rsidR="00B75E03" w:rsidRPr="005C1297">
        <w:rPr>
          <w:rFonts w:cstheme="minorHAnsi"/>
          <w:sz w:val="22"/>
          <w:szCs w:val="22"/>
        </w:rPr>
        <w:t xml:space="preserve">n'ont </w:t>
      </w:r>
      <w:r w:rsidR="005F39F0" w:rsidRPr="005C1297">
        <w:rPr>
          <w:rFonts w:cstheme="minorHAnsi"/>
          <w:sz w:val="22"/>
          <w:szCs w:val="22"/>
        </w:rPr>
        <w:t>pas</w:t>
      </w:r>
      <w:r w:rsidR="00B75E03" w:rsidRPr="005C1297">
        <w:rPr>
          <w:rFonts w:cstheme="minorHAnsi"/>
          <w:sz w:val="22"/>
          <w:szCs w:val="22"/>
        </w:rPr>
        <w:t xml:space="preserve"> encore</w:t>
      </w:r>
      <w:r w:rsidR="005F39F0" w:rsidRPr="005C1297">
        <w:rPr>
          <w:rFonts w:cstheme="minorHAnsi"/>
          <w:sz w:val="22"/>
          <w:szCs w:val="22"/>
        </w:rPr>
        <w:t xml:space="preserve"> décidé si elles </w:t>
      </w:r>
      <w:r w:rsidR="00B75E03" w:rsidRPr="005C1297">
        <w:rPr>
          <w:rFonts w:cstheme="minorHAnsi"/>
          <w:sz w:val="22"/>
          <w:szCs w:val="22"/>
        </w:rPr>
        <w:t xml:space="preserve">allaient ou non </w:t>
      </w:r>
      <w:r w:rsidR="00D26659" w:rsidRPr="005C1297">
        <w:rPr>
          <w:rFonts w:cstheme="minorHAnsi"/>
          <w:sz w:val="22"/>
          <w:szCs w:val="22"/>
        </w:rPr>
        <w:t xml:space="preserve">adopter ces monnaies. Il est communément admis que </w:t>
      </w:r>
      <w:r w:rsidR="00EB0CB4" w:rsidRPr="005C1297">
        <w:rPr>
          <w:rFonts w:cstheme="minorHAnsi"/>
          <w:sz w:val="22"/>
          <w:szCs w:val="22"/>
        </w:rPr>
        <w:t xml:space="preserve">pour </w:t>
      </w:r>
      <w:r w:rsidR="00B75E03" w:rsidRPr="005C1297">
        <w:rPr>
          <w:rFonts w:cstheme="minorHAnsi"/>
          <w:sz w:val="22"/>
          <w:szCs w:val="22"/>
        </w:rPr>
        <w:t>faire leurs preuves</w:t>
      </w:r>
      <w:r w:rsidR="00E95617" w:rsidRPr="005C1297">
        <w:rPr>
          <w:rFonts w:cstheme="minorHAnsi"/>
          <w:sz w:val="22"/>
          <w:szCs w:val="22"/>
        </w:rPr>
        <w:t xml:space="preserve">, </w:t>
      </w:r>
      <w:r w:rsidR="00B75E03" w:rsidRPr="005C1297">
        <w:rPr>
          <w:rFonts w:cstheme="minorHAnsi"/>
          <w:sz w:val="22"/>
          <w:szCs w:val="22"/>
        </w:rPr>
        <w:t xml:space="preserve">les </w:t>
      </w:r>
      <w:r w:rsidR="00E95617" w:rsidRPr="005C1297">
        <w:rPr>
          <w:rFonts w:cstheme="minorHAnsi"/>
          <w:sz w:val="22"/>
          <w:szCs w:val="22"/>
        </w:rPr>
        <w:t>monnaie</w:t>
      </w:r>
      <w:r w:rsidR="00B75E03" w:rsidRPr="005C1297">
        <w:rPr>
          <w:rFonts w:cstheme="minorHAnsi"/>
          <w:sz w:val="22"/>
          <w:szCs w:val="22"/>
        </w:rPr>
        <w:t>s</w:t>
      </w:r>
      <w:r w:rsidR="00E95617" w:rsidRPr="005C1297">
        <w:rPr>
          <w:rFonts w:cstheme="minorHAnsi"/>
          <w:sz w:val="22"/>
          <w:szCs w:val="22"/>
        </w:rPr>
        <w:t xml:space="preserve"> CBDC de détail </w:t>
      </w:r>
      <w:r w:rsidR="00B75E03" w:rsidRPr="005C1297">
        <w:rPr>
          <w:rFonts w:cstheme="minorHAnsi"/>
          <w:sz w:val="22"/>
          <w:szCs w:val="22"/>
        </w:rPr>
        <w:t xml:space="preserve">devront </w:t>
      </w:r>
      <w:r w:rsidR="005263D0" w:rsidRPr="005C1297">
        <w:rPr>
          <w:rFonts w:cstheme="minorHAnsi"/>
          <w:sz w:val="22"/>
          <w:szCs w:val="22"/>
        </w:rPr>
        <w:t xml:space="preserve">doit offrir une solution numérique </w:t>
      </w:r>
      <w:r w:rsidR="00EF6C72" w:rsidRPr="005C1297">
        <w:rPr>
          <w:rFonts w:cstheme="minorHAnsi"/>
          <w:sz w:val="22"/>
          <w:szCs w:val="22"/>
        </w:rPr>
        <w:t>résiliente</w:t>
      </w:r>
      <w:r w:rsidR="005263D0" w:rsidRPr="005C1297">
        <w:rPr>
          <w:rFonts w:cstheme="minorHAnsi"/>
          <w:sz w:val="22"/>
          <w:szCs w:val="22"/>
        </w:rPr>
        <w:t xml:space="preserve"> et inclusive </w:t>
      </w:r>
      <w:r w:rsidR="00CD6D18" w:rsidRPr="005C1297">
        <w:rPr>
          <w:rFonts w:cstheme="minorHAnsi"/>
          <w:sz w:val="22"/>
          <w:szCs w:val="22"/>
        </w:rPr>
        <w:t>venant compléter les</w:t>
      </w:r>
      <w:r w:rsidR="00EF6C72" w:rsidRPr="005C1297">
        <w:rPr>
          <w:rFonts w:cstheme="minorHAnsi"/>
          <w:sz w:val="22"/>
          <w:szCs w:val="22"/>
        </w:rPr>
        <w:t xml:space="preserve"> </w:t>
      </w:r>
      <w:r w:rsidR="00D23EAE" w:rsidRPr="005C1297">
        <w:rPr>
          <w:rFonts w:cstheme="minorHAnsi"/>
          <w:sz w:val="22"/>
          <w:szCs w:val="22"/>
        </w:rPr>
        <w:t>liquidités</w:t>
      </w:r>
      <w:r w:rsidR="005263D0" w:rsidRPr="005C1297">
        <w:rPr>
          <w:rFonts w:cstheme="minorHAnsi"/>
          <w:sz w:val="22"/>
          <w:szCs w:val="22"/>
        </w:rPr>
        <w:t>.</w:t>
      </w:r>
      <w:r w:rsidR="00486EB0" w:rsidRPr="005C1297">
        <w:rPr>
          <w:rFonts w:cstheme="minorHAnsi"/>
          <w:sz w:val="22"/>
          <w:szCs w:val="22"/>
        </w:rPr>
        <w:t xml:space="preserve"> À ce titre, </w:t>
      </w:r>
      <w:r w:rsidR="00F82D58" w:rsidRPr="005C1297">
        <w:rPr>
          <w:rFonts w:cstheme="minorHAnsi"/>
          <w:sz w:val="22"/>
          <w:szCs w:val="22"/>
        </w:rPr>
        <w:t xml:space="preserve">une monnaie CBDC de détail </w:t>
      </w:r>
      <w:r w:rsidR="00B9730E" w:rsidRPr="005C1297">
        <w:rPr>
          <w:rFonts w:cstheme="minorHAnsi"/>
          <w:sz w:val="22"/>
          <w:szCs w:val="22"/>
        </w:rPr>
        <w:t xml:space="preserve">doit </w:t>
      </w:r>
      <w:r w:rsidR="00CD6D18" w:rsidRPr="005C1297">
        <w:rPr>
          <w:rFonts w:cstheme="minorHAnsi"/>
          <w:sz w:val="22"/>
          <w:szCs w:val="22"/>
        </w:rPr>
        <w:t>être dotée de</w:t>
      </w:r>
      <w:r w:rsidR="00D609B5" w:rsidRPr="005C1297">
        <w:rPr>
          <w:rFonts w:cstheme="minorHAnsi"/>
          <w:sz w:val="22"/>
          <w:szCs w:val="22"/>
        </w:rPr>
        <w:t xml:space="preserve"> </w:t>
      </w:r>
      <w:r w:rsidR="00B9730E" w:rsidRPr="005C1297">
        <w:rPr>
          <w:rFonts w:cstheme="minorHAnsi"/>
          <w:sz w:val="22"/>
          <w:szCs w:val="22"/>
        </w:rPr>
        <w:t xml:space="preserve">toutes les </w:t>
      </w:r>
      <w:r w:rsidR="00CD6D18" w:rsidRPr="005C1297">
        <w:rPr>
          <w:rFonts w:cstheme="minorHAnsi"/>
          <w:sz w:val="22"/>
          <w:szCs w:val="22"/>
        </w:rPr>
        <w:t xml:space="preserve">fonctionnalités </w:t>
      </w:r>
      <w:r w:rsidR="00D609B5" w:rsidRPr="005C1297">
        <w:rPr>
          <w:rFonts w:cstheme="minorHAnsi"/>
          <w:sz w:val="22"/>
          <w:szCs w:val="22"/>
        </w:rPr>
        <w:t>−</w:t>
      </w:r>
      <w:r w:rsidR="00CD6D18" w:rsidRPr="005C1297">
        <w:rPr>
          <w:rFonts w:cstheme="minorHAnsi"/>
          <w:sz w:val="22"/>
          <w:szCs w:val="22"/>
        </w:rPr>
        <w:t xml:space="preserve"> et plus encore </w:t>
      </w:r>
      <w:r w:rsidR="00D609B5" w:rsidRPr="005C1297">
        <w:rPr>
          <w:rFonts w:cstheme="minorHAnsi"/>
          <w:sz w:val="22"/>
          <w:szCs w:val="22"/>
        </w:rPr>
        <w:t>−</w:t>
      </w:r>
      <w:r w:rsidR="00CD6D18" w:rsidRPr="005C1297">
        <w:rPr>
          <w:rFonts w:cstheme="minorHAnsi"/>
          <w:sz w:val="22"/>
          <w:szCs w:val="22"/>
        </w:rPr>
        <w:t xml:space="preserve"> </w:t>
      </w:r>
      <w:r w:rsidR="00B9730E" w:rsidRPr="005C1297">
        <w:rPr>
          <w:rFonts w:cstheme="minorHAnsi"/>
          <w:sz w:val="22"/>
          <w:szCs w:val="22"/>
        </w:rPr>
        <w:t xml:space="preserve">qui rendent les </w:t>
      </w:r>
      <w:r w:rsidR="00D23EAE" w:rsidRPr="005C1297">
        <w:rPr>
          <w:rFonts w:cstheme="minorHAnsi"/>
          <w:sz w:val="22"/>
          <w:szCs w:val="22"/>
        </w:rPr>
        <w:t>liquidités</w:t>
      </w:r>
      <w:r w:rsidR="00B9730E" w:rsidRPr="005C1297">
        <w:rPr>
          <w:rFonts w:cstheme="minorHAnsi"/>
          <w:sz w:val="22"/>
          <w:szCs w:val="22"/>
        </w:rPr>
        <w:t xml:space="preserve"> </w:t>
      </w:r>
      <w:r w:rsidR="00D23EAE" w:rsidRPr="005C1297">
        <w:rPr>
          <w:rFonts w:cstheme="minorHAnsi"/>
          <w:sz w:val="22"/>
          <w:szCs w:val="22"/>
        </w:rPr>
        <w:t xml:space="preserve">si </w:t>
      </w:r>
      <w:r w:rsidR="00B9730E" w:rsidRPr="005C1297">
        <w:rPr>
          <w:rFonts w:cstheme="minorHAnsi"/>
          <w:sz w:val="22"/>
          <w:szCs w:val="22"/>
        </w:rPr>
        <w:t>attractives</w:t>
      </w:r>
      <w:r w:rsidR="00D609B5" w:rsidRPr="005C1297">
        <w:rPr>
          <w:rFonts w:cstheme="minorHAnsi"/>
          <w:sz w:val="22"/>
          <w:szCs w:val="22"/>
        </w:rPr>
        <w:t>.</w:t>
      </w:r>
      <w:r w:rsidR="00B9730E" w:rsidRPr="005C1297">
        <w:rPr>
          <w:rFonts w:cstheme="minorHAnsi"/>
          <w:sz w:val="22"/>
          <w:szCs w:val="22"/>
        </w:rPr>
        <w:t xml:space="preserve"> </w:t>
      </w:r>
      <w:r w:rsidR="0014629D" w:rsidRPr="005C1297">
        <w:rPr>
          <w:rFonts w:cstheme="minorHAnsi"/>
          <w:sz w:val="22"/>
          <w:szCs w:val="22"/>
        </w:rPr>
        <w:t xml:space="preserve">Les </w:t>
      </w:r>
      <w:r w:rsidR="00CD6D18" w:rsidRPr="005C1297">
        <w:rPr>
          <w:rFonts w:cstheme="minorHAnsi"/>
          <w:sz w:val="22"/>
          <w:szCs w:val="22"/>
        </w:rPr>
        <w:t xml:space="preserve">principaux </w:t>
      </w:r>
      <w:r w:rsidR="0014629D" w:rsidRPr="005C1297">
        <w:rPr>
          <w:rFonts w:cstheme="minorHAnsi"/>
          <w:sz w:val="22"/>
          <w:szCs w:val="22"/>
        </w:rPr>
        <w:t>éléments</w:t>
      </w:r>
      <w:r w:rsidR="00D609B5" w:rsidRPr="005C1297">
        <w:rPr>
          <w:rFonts w:cstheme="minorHAnsi"/>
          <w:sz w:val="22"/>
          <w:szCs w:val="22"/>
        </w:rPr>
        <w:t xml:space="preserve"> </w:t>
      </w:r>
      <w:r w:rsidR="0014629D" w:rsidRPr="005C1297">
        <w:rPr>
          <w:rFonts w:cstheme="minorHAnsi"/>
          <w:sz w:val="22"/>
          <w:szCs w:val="22"/>
        </w:rPr>
        <w:t xml:space="preserve">sont </w:t>
      </w:r>
      <w:r w:rsidR="00CE748C" w:rsidRPr="005C1297">
        <w:rPr>
          <w:rFonts w:cstheme="minorHAnsi"/>
          <w:sz w:val="22"/>
          <w:szCs w:val="22"/>
        </w:rPr>
        <w:t xml:space="preserve">la confiance </w:t>
      </w:r>
      <w:r w:rsidR="00CD6D18" w:rsidRPr="005C1297">
        <w:rPr>
          <w:rFonts w:cstheme="minorHAnsi"/>
          <w:sz w:val="22"/>
          <w:szCs w:val="22"/>
        </w:rPr>
        <w:t xml:space="preserve">envers </w:t>
      </w:r>
      <w:r w:rsidR="00CE748C" w:rsidRPr="005C1297">
        <w:rPr>
          <w:rFonts w:cstheme="minorHAnsi"/>
          <w:sz w:val="22"/>
          <w:szCs w:val="22"/>
        </w:rPr>
        <w:t>l'entité émettrice, le</w:t>
      </w:r>
      <w:r w:rsidR="00D609B5" w:rsidRPr="005C1297">
        <w:rPr>
          <w:rFonts w:cstheme="minorHAnsi"/>
          <w:sz w:val="22"/>
          <w:szCs w:val="22"/>
        </w:rPr>
        <w:t xml:space="preserve"> </w:t>
      </w:r>
      <w:r w:rsidR="002208EE" w:rsidRPr="005C1297">
        <w:rPr>
          <w:rFonts w:cstheme="minorHAnsi"/>
          <w:sz w:val="22"/>
          <w:szCs w:val="22"/>
        </w:rPr>
        <w:t>cours légal</w:t>
      </w:r>
      <w:r w:rsidR="009232AA" w:rsidRPr="005C1297">
        <w:rPr>
          <w:rFonts w:cstheme="minorHAnsi"/>
          <w:sz w:val="22"/>
          <w:szCs w:val="22"/>
        </w:rPr>
        <w:t xml:space="preserve">, </w:t>
      </w:r>
      <w:r w:rsidR="00CD6D18" w:rsidRPr="005C1297">
        <w:rPr>
          <w:rFonts w:cstheme="minorHAnsi"/>
          <w:sz w:val="22"/>
          <w:szCs w:val="22"/>
        </w:rPr>
        <w:t>l</w:t>
      </w:r>
      <w:r w:rsidR="00D609B5" w:rsidRPr="005C1297">
        <w:rPr>
          <w:rFonts w:cstheme="minorHAnsi"/>
          <w:sz w:val="22"/>
          <w:szCs w:val="22"/>
        </w:rPr>
        <w:t>'</w:t>
      </w:r>
      <w:r w:rsidR="00CD6D18" w:rsidRPr="005C1297">
        <w:rPr>
          <w:rFonts w:cstheme="minorHAnsi"/>
          <w:sz w:val="22"/>
          <w:szCs w:val="22"/>
        </w:rPr>
        <w:t>échéance</w:t>
      </w:r>
      <w:r w:rsidR="00AA44D8" w:rsidRPr="005C1297">
        <w:rPr>
          <w:rFonts w:cstheme="minorHAnsi"/>
          <w:sz w:val="22"/>
          <w:szCs w:val="22"/>
        </w:rPr>
        <w:t xml:space="preserve"> en temps réel et la</w:t>
      </w:r>
      <w:r w:rsidR="00D609B5" w:rsidRPr="005C1297">
        <w:rPr>
          <w:rFonts w:cstheme="minorHAnsi"/>
          <w:sz w:val="22"/>
          <w:szCs w:val="22"/>
        </w:rPr>
        <w:t xml:space="preserve"> </w:t>
      </w:r>
      <w:r w:rsidR="00AA44D8" w:rsidRPr="005C1297">
        <w:rPr>
          <w:rFonts w:cstheme="minorHAnsi"/>
          <w:sz w:val="22"/>
          <w:szCs w:val="22"/>
        </w:rPr>
        <w:t>disponibilité</w:t>
      </w:r>
      <w:r w:rsidR="00CD6D18" w:rsidRPr="005C1297">
        <w:rPr>
          <w:rFonts w:cstheme="minorHAnsi"/>
          <w:sz w:val="22"/>
          <w:szCs w:val="22"/>
        </w:rPr>
        <w:t xml:space="preserve"> à grande échelle</w:t>
      </w:r>
      <w:r w:rsidR="00AA44D8" w:rsidRPr="005C1297">
        <w:rPr>
          <w:rFonts w:cstheme="minorHAnsi"/>
          <w:sz w:val="22"/>
          <w:szCs w:val="22"/>
        </w:rPr>
        <w:t xml:space="preserve">. </w:t>
      </w:r>
      <w:r w:rsidR="006E7BE7" w:rsidRPr="005C1297">
        <w:rPr>
          <w:rFonts w:cstheme="minorHAnsi"/>
          <w:sz w:val="22"/>
          <w:szCs w:val="22"/>
        </w:rPr>
        <w:t>Ce</w:t>
      </w:r>
      <w:r w:rsidR="007D348C" w:rsidRPr="005C1297">
        <w:rPr>
          <w:rFonts w:cstheme="minorHAnsi"/>
          <w:sz w:val="22"/>
          <w:szCs w:val="22"/>
        </w:rPr>
        <w:t xml:space="preserve"> webinaire sera l'occasion </w:t>
      </w:r>
      <w:r w:rsidR="00CD6D18" w:rsidRPr="005C1297">
        <w:rPr>
          <w:rFonts w:cstheme="minorHAnsi"/>
          <w:sz w:val="22"/>
          <w:szCs w:val="22"/>
        </w:rPr>
        <w:t>d</w:t>
      </w:r>
      <w:r w:rsidR="00D609B5" w:rsidRPr="005C1297">
        <w:rPr>
          <w:rFonts w:cstheme="minorHAnsi"/>
          <w:sz w:val="22"/>
          <w:szCs w:val="22"/>
        </w:rPr>
        <w:t>'</w:t>
      </w:r>
      <w:r w:rsidR="00CD6D18" w:rsidRPr="005C1297">
        <w:rPr>
          <w:rFonts w:cstheme="minorHAnsi"/>
          <w:sz w:val="22"/>
          <w:szCs w:val="22"/>
        </w:rPr>
        <w:t>engager une réflexion</w:t>
      </w:r>
      <w:r w:rsidR="007D348C" w:rsidRPr="005C1297">
        <w:rPr>
          <w:rFonts w:cstheme="minorHAnsi"/>
          <w:sz w:val="22"/>
          <w:szCs w:val="22"/>
        </w:rPr>
        <w:t xml:space="preserve"> sur </w:t>
      </w:r>
      <w:r w:rsidR="00E36C90" w:rsidRPr="005C1297">
        <w:rPr>
          <w:rFonts w:cstheme="minorHAnsi"/>
          <w:sz w:val="22"/>
          <w:szCs w:val="22"/>
        </w:rPr>
        <w:t xml:space="preserve">les projets en cours </w:t>
      </w:r>
      <w:r w:rsidR="00524182" w:rsidRPr="005C1297">
        <w:rPr>
          <w:rFonts w:cstheme="minorHAnsi"/>
          <w:sz w:val="22"/>
          <w:szCs w:val="22"/>
        </w:rPr>
        <w:t>dans le domaine des</w:t>
      </w:r>
      <w:r w:rsidR="00585874" w:rsidRPr="005C1297">
        <w:rPr>
          <w:rFonts w:cstheme="minorHAnsi"/>
          <w:sz w:val="22"/>
          <w:szCs w:val="22"/>
        </w:rPr>
        <w:t xml:space="preserve"> monnaies CBDC de détail, sur les</w:t>
      </w:r>
      <w:r w:rsidR="00D609B5" w:rsidRPr="005C1297">
        <w:rPr>
          <w:rFonts w:cstheme="minorHAnsi"/>
          <w:sz w:val="22"/>
          <w:szCs w:val="22"/>
        </w:rPr>
        <w:t xml:space="preserve"> </w:t>
      </w:r>
      <w:r w:rsidR="00CD6D18" w:rsidRPr="005C1297">
        <w:rPr>
          <w:rFonts w:cstheme="minorHAnsi"/>
          <w:sz w:val="22"/>
          <w:szCs w:val="22"/>
        </w:rPr>
        <w:t>options</w:t>
      </w:r>
      <w:r w:rsidR="00D609B5" w:rsidRPr="005C1297">
        <w:rPr>
          <w:rFonts w:cstheme="minorHAnsi"/>
          <w:sz w:val="22"/>
          <w:szCs w:val="22"/>
        </w:rPr>
        <w:t xml:space="preserve"> </w:t>
      </w:r>
      <w:r w:rsidR="00CD6D18" w:rsidRPr="005C1297">
        <w:rPr>
          <w:rFonts w:cstheme="minorHAnsi"/>
          <w:sz w:val="22"/>
          <w:szCs w:val="22"/>
        </w:rPr>
        <w:t xml:space="preserve">viables </w:t>
      </w:r>
      <w:r w:rsidR="00585874" w:rsidRPr="005C1297">
        <w:rPr>
          <w:rFonts w:cstheme="minorHAnsi"/>
          <w:sz w:val="22"/>
          <w:szCs w:val="22"/>
        </w:rPr>
        <w:t xml:space="preserve">en termes d'architecture et de technologie et sur </w:t>
      </w:r>
      <w:r w:rsidR="006F33D7" w:rsidRPr="005C1297">
        <w:rPr>
          <w:rFonts w:cstheme="minorHAnsi"/>
          <w:sz w:val="22"/>
          <w:szCs w:val="22"/>
        </w:rPr>
        <w:t>les discussions en cours au sein de l'UE concernant l</w:t>
      </w:r>
      <w:r w:rsidR="00CD6D18" w:rsidRPr="005C1297">
        <w:rPr>
          <w:rFonts w:cstheme="minorHAnsi"/>
          <w:sz w:val="22"/>
          <w:szCs w:val="22"/>
        </w:rPr>
        <w:t xml:space="preserve">a mise en place </w:t>
      </w:r>
      <w:r w:rsidR="006F33D7" w:rsidRPr="005C1297">
        <w:rPr>
          <w:rFonts w:cstheme="minorHAnsi"/>
          <w:sz w:val="22"/>
          <w:szCs w:val="22"/>
        </w:rPr>
        <w:t>éventuelle</w:t>
      </w:r>
      <w:r w:rsidR="00D609B5" w:rsidRPr="005C1297">
        <w:rPr>
          <w:rFonts w:cstheme="minorHAnsi"/>
          <w:sz w:val="22"/>
          <w:szCs w:val="22"/>
        </w:rPr>
        <w:t xml:space="preserve"> </w:t>
      </w:r>
      <w:r w:rsidR="006F33D7" w:rsidRPr="005C1297">
        <w:rPr>
          <w:rFonts w:cstheme="minorHAnsi"/>
          <w:sz w:val="22"/>
          <w:szCs w:val="22"/>
        </w:rPr>
        <w:t xml:space="preserve">d'un </w:t>
      </w:r>
      <w:r w:rsidR="007914B2" w:rsidRPr="005C1297">
        <w:rPr>
          <w:rFonts w:cstheme="minorHAnsi"/>
          <w:sz w:val="22"/>
          <w:szCs w:val="22"/>
        </w:rPr>
        <w:t>e</w:t>
      </w:r>
      <w:r w:rsidR="006F33D7" w:rsidRPr="005C1297">
        <w:rPr>
          <w:rFonts w:cstheme="minorHAnsi"/>
          <w:sz w:val="22"/>
          <w:szCs w:val="22"/>
        </w:rPr>
        <w:t>uro numérique.</w:t>
      </w:r>
      <w:r w:rsidR="001A514C" w:rsidRPr="005C1297">
        <w:rPr>
          <w:rFonts w:cstheme="minorHAnsi"/>
          <w:sz w:val="22"/>
          <w:szCs w:val="22"/>
        </w:rPr>
        <w:t xml:space="preserve"> </w:t>
      </w:r>
      <w:r w:rsidR="00D24E31" w:rsidRPr="005C1297">
        <w:rPr>
          <w:rFonts w:cstheme="minorHAnsi"/>
          <w:sz w:val="22"/>
          <w:szCs w:val="22"/>
        </w:rPr>
        <w:t xml:space="preserve">Les différentes </w:t>
      </w:r>
      <w:r w:rsidR="00CD6D18" w:rsidRPr="005C1297">
        <w:rPr>
          <w:rFonts w:cstheme="minorHAnsi"/>
          <w:sz w:val="22"/>
          <w:szCs w:val="22"/>
        </w:rPr>
        <w:t xml:space="preserve">options </w:t>
      </w:r>
      <w:r w:rsidR="00D24E31" w:rsidRPr="005C1297">
        <w:rPr>
          <w:rFonts w:cstheme="minorHAnsi"/>
          <w:sz w:val="22"/>
          <w:szCs w:val="22"/>
        </w:rPr>
        <w:t xml:space="preserve">en termes d'architecture pour les monnaies CBDC de détail ainsi que leurs </w:t>
      </w:r>
      <w:r w:rsidR="00CD6D18" w:rsidRPr="005C1297">
        <w:rPr>
          <w:rFonts w:cstheme="minorHAnsi"/>
          <w:sz w:val="22"/>
          <w:szCs w:val="22"/>
        </w:rPr>
        <w:t xml:space="preserve">conséquences </w:t>
      </w:r>
      <w:r w:rsidR="00066ADC" w:rsidRPr="005C1297">
        <w:rPr>
          <w:rFonts w:cstheme="minorHAnsi"/>
          <w:sz w:val="22"/>
          <w:szCs w:val="22"/>
        </w:rPr>
        <w:t xml:space="preserve">sur le plan des </w:t>
      </w:r>
      <w:r w:rsidR="00D24E31" w:rsidRPr="005C1297">
        <w:rPr>
          <w:rFonts w:cstheme="minorHAnsi"/>
          <w:sz w:val="22"/>
          <w:szCs w:val="22"/>
        </w:rPr>
        <w:t>politiques s</w:t>
      </w:r>
      <w:r w:rsidR="00762283" w:rsidRPr="005C1297">
        <w:rPr>
          <w:rFonts w:cstheme="minorHAnsi"/>
          <w:sz w:val="22"/>
          <w:szCs w:val="22"/>
        </w:rPr>
        <w:t>eront également examinées.</w:t>
      </w:r>
    </w:p>
    <w:p w14:paraId="387E76F0" w14:textId="0F1F95D3" w:rsidR="00562174" w:rsidRPr="005C1297" w:rsidRDefault="00D16D03" w:rsidP="00D609B5">
      <w:pPr>
        <w:pStyle w:val="enumlev1"/>
        <w:rPr>
          <w:rFonts w:cstheme="minorHAnsi"/>
          <w:sz w:val="22"/>
          <w:szCs w:val="22"/>
        </w:rPr>
      </w:pPr>
      <w:r w:rsidRPr="005C1297">
        <w:rPr>
          <w:rFonts w:cstheme="minorHAnsi"/>
          <w:sz w:val="22"/>
          <w:szCs w:val="22"/>
        </w:rPr>
        <w:lastRenderedPageBreak/>
        <w:t>b)</w:t>
      </w:r>
      <w:r w:rsidRPr="005C1297">
        <w:rPr>
          <w:rFonts w:cstheme="minorHAnsi"/>
          <w:sz w:val="22"/>
          <w:szCs w:val="22"/>
        </w:rPr>
        <w:tab/>
      </w:r>
      <w:r w:rsidR="00562174" w:rsidRPr="005C1297">
        <w:rPr>
          <w:rFonts w:cstheme="minorHAnsi"/>
          <w:sz w:val="22"/>
          <w:szCs w:val="22"/>
        </w:rPr>
        <w:t>Le second épisode</w:t>
      </w:r>
      <w:r w:rsidR="00D609B5" w:rsidRPr="005C1297">
        <w:rPr>
          <w:rFonts w:cstheme="minorHAnsi"/>
          <w:sz w:val="22"/>
          <w:szCs w:val="22"/>
        </w:rPr>
        <w:t>,</w:t>
      </w:r>
      <w:r w:rsidR="00CD6D18" w:rsidRPr="005C1297">
        <w:rPr>
          <w:rFonts w:cstheme="minorHAnsi"/>
          <w:sz w:val="22"/>
          <w:szCs w:val="22"/>
        </w:rPr>
        <w:t xml:space="preserve"> qui a pour</w:t>
      </w:r>
      <w:r w:rsidR="00562174" w:rsidRPr="005C1297">
        <w:rPr>
          <w:rFonts w:cstheme="minorHAnsi"/>
          <w:sz w:val="22"/>
          <w:szCs w:val="22"/>
        </w:rPr>
        <w:t xml:space="preserve"> thème "</w:t>
      </w:r>
      <w:r w:rsidR="00F62DD0" w:rsidRPr="005C1297">
        <w:rPr>
          <w:rFonts w:cstheme="minorHAnsi"/>
          <w:sz w:val="22"/>
          <w:szCs w:val="22"/>
        </w:rPr>
        <w:t xml:space="preserve">Conception des monnaies </w:t>
      </w:r>
      <w:r w:rsidR="003A09B0" w:rsidRPr="005C1297">
        <w:rPr>
          <w:rFonts w:cstheme="minorHAnsi"/>
          <w:sz w:val="22"/>
          <w:szCs w:val="22"/>
        </w:rPr>
        <w:t>numériques de banque centrale</w:t>
      </w:r>
      <w:r w:rsidR="00F62DD0" w:rsidRPr="005C1297">
        <w:rPr>
          <w:rFonts w:cstheme="minorHAnsi"/>
          <w:sz w:val="22"/>
          <w:szCs w:val="22"/>
        </w:rPr>
        <w:t xml:space="preserve"> de gros" (</w:t>
      </w:r>
      <w:hyperlink r:id="rId11" w:history="1">
        <w:r w:rsidR="00F62DD0" w:rsidRPr="005C1297">
          <w:rPr>
            <w:rStyle w:val="Hyperlink"/>
            <w:rFonts w:cstheme="minorHAnsi"/>
            <w:b/>
            <w:bCs/>
            <w:sz w:val="22"/>
            <w:szCs w:val="22"/>
          </w:rPr>
          <w:t>Design of Wholesale Central Bank Digital Currency</w:t>
        </w:r>
      </w:hyperlink>
      <w:r w:rsidR="00F62DD0" w:rsidRPr="005C1297">
        <w:rPr>
          <w:rFonts w:cstheme="minorHAnsi"/>
          <w:sz w:val="22"/>
          <w:szCs w:val="22"/>
        </w:rPr>
        <w:t>)</w:t>
      </w:r>
      <w:r w:rsidR="00D609B5" w:rsidRPr="005C1297">
        <w:rPr>
          <w:rFonts w:cstheme="minorHAnsi"/>
          <w:sz w:val="22"/>
          <w:szCs w:val="22"/>
        </w:rPr>
        <w:t>,</w:t>
      </w:r>
      <w:r w:rsidR="00F60D80" w:rsidRPr="005C1297">
        <w:rPr>
          <w:rFonts w:cstheme="minorHAnsi"/>
          <w:sz w:val="22"/>
          <w:szCs w:val="22"/>
        </w:rPr>
        <w:t xml:space="preserve"> </w:t>
      </w:r>
      <w:r w:rsidR="00F62DD0" w:rsidRPr="005C1297">
        <w:rPr>
          <w:rFonts w:cstheme="minorHAnsi"/>
          <w:sz w:val="22"/>
          <w:szCs w:val="22"/>
        </w:rPr>
        <w:t xml:space="preserve">aura lieu le </w:t>
      </w:r>
      <w:r w:rsidR="00F62DD0" w:rsidRPr="005C1297">
        <w:rPr>
          <w:rFonts w:cstheme="minorHAnsi"/>
          <w:b/>
          <w:sz w:val="22"/>
          <w:szCs w:val="22"/>
        </w:rPr>
        <w:t>23</w:t>
      </w:r>
      <w:r w:rsidR="00D609B5" w:rsidRPr="005C1297">
        <w:rPr>
          <w:rFonts w:cstheme="minorHAnsi"/>
          <w:b/>
          <w:sz w:val="22"/>
          <w:szCs w:val="22"/>
        </w:rPr>
        <w:t> </w:t>
      </w:r>
      <w:r w:rsidR="00F62DD0" w:rsidRPr="005C1297">
        <w:rPr>
          <w:rFonts w:cstheme="minorHAnsi"/>
          <w:b/>
          <w:sz w:val="22"/>
          <w:szCs w:val="22"/>
        </w:rPr>
        <w:t>novembre 2021 de 16 heures à 17 h 30 CET</w:t>
      </w:r>
      <w:r w:rsidR="00F62DD0" w:rsidRPr="005C1297">
        <w:rPr>
          <w:rFonts w:cstheme="minorHAnsi"/>
          <w:sz w:val="22"/>
          <w:szCs w:val="22"/>
        </w:rPr>
        <w:t xml:space="preserve">. </w:t>
      </w:r>
      <w:r w:rsidR="003A09B0" w:rsidRPr="005C1297">
        <w:rPr>
          <w:rFonts w:cstheme="minorHAnsi"/>
          <w:sz w:val="22"/>
          <w:szCs w:val="22"/>
        </w:rPr>
        <w:t xml:space="preserve">Les monnaies numériques de banque centrale (CBDC) </w:t>
      </w:r>
      <w:r w:rsidR="000A1766" w:rsidRPr="005C1297">
        <w:rPr>
          <w:rFonts w:cstheme="minorHAnsi"/>
          <w:sz w:val="22"/>
          <w:szCs w:val="22"/>
        </w:rPr>
        <w:t xml:space="preserve">joueront un rôle déterminant dans la nouvelle infrastructure financière moderne mondiale. Les </w:t>
      </w:r>
      <w:r w:rsidR="00BE1B09" w:rsidRPr="005C1297">
        <w:rPr>
          <w:rFonts w:cstheme="minorHAnsi"/>
          <w:sz w:val="22"/>
          <w:szCs w:val="22"/>
        </w:rPr>
        <w:t xml:space="preserve">monnaies </w:t>
      </w:r>
      <w:r w:rsidR="000A1766" w:rsidRPr="005C1297">
        <w:rPr>
          <w:rFonts w:cstheme="minorHAnsi"/>
          <w:sz w:val="22"/>
          <w:szCs w:val="22"/>
        </w:rPr>
        <w:t xml:space="preserve">CBDC de gros </w:t>
      </w:r>
      <w:r w:rsidR="003474C5" w:rsidRPr="005C1297">
        <w:rPr>
          <w:rFonts w:cstheme="minorHAnsi"/>
          <w:sz w:val="22"/>
          <w:szCs w:val="22"/>
        </w:rPr>
        <w:t xml:space="preserve">peuvent </w:t>
      </w:r>
      <w:r w:rsidR="00BE1B09" w:rsidRPr="005C1297">
        <w:rPr>
          <w:rFonts w:cstheme="minorHAnsi"/>
          <w:sz w:val="22"/>
          <w:szCs w:val="22"/>
        </w:rPr>
        <w:t xml:space="preserve">contribuer à améliorer l'efficacité des paiements et </w:t>
      </w:r>
      <w:r w:rsidR="00615E8F" w:rsidRPr="005C1297">
        <w:rPr>
          <w:rFonts w:cstheme="minorHAnsi"/>
          <w:sz w:val="22"/>
          <w:szCs w:val="22"/>
        </w:rPr>
        <w:t xml:space="preserve">du règlement des titres. Elles pourraient également </w:t>
      </w:r>
      <w:r w:rsidR="00EE5D54" w:rsidRPr="005C1297">
        <w:rPr>
          <w:rFonts w:cstheme="minorHAnsi"/>
          <w:sz w:val="22"/>
          <w:szCs w:val="22"/>
        </w:rPr>
        <w:t xml:space="preserve">permettre de simplifier les systèmes de paiement </w:t>
      </w:r>
      <w:r w:rsidR="00955738" w:rsidRPr="005C1297">
        <w:rPr>
          <w:rFonts w:cstheme="minorHAnsi"/>
          <w:sz w:val="22"/>
          <w:szCs w:val="22"/>
        </w:rPr>
        <w:t>transfrontière</w:t>
      </w:r>
      <w:r w:rsidR="00F60D80" w:rsidRPr="005C1297">
        <w:rPr>
          <w:rFonts w:cstheme="minorHAnsi"/>
          <w:sz w:val="22"/>
          <w:szCs w:val="22"/>
        </w:rPr>
        <w:t>s,</w:t>
      </w:r>
      <w:r w:rsidR="00D609B5" w:rsidRPr="005C1297">
        <w:rPr>
          <w:rFonts w:cstheme="minorHAnsi"/>
          <w:sz w:val="22"/>
          <w:szCs w:val="22"/>
        </w:rPr>
        <w:t xml:space="preserve"> </w:t>
      </w:r>
      <w:r w:rsidR="00A17D12" w:rsidRPr="005C1297">
        <w:rPr>
          <w:rFonts w:cstheme="minorHAnsi"/>
          <w:sz w:val="22"/>
          <w:szCs w:val="22"/>
        </w:rPr>
        <w:t xml:space="preserve">en réduisant </w:t>
      </w:r>
      <w:r w:rsidR="00F60D80" w:rsidRPr="005C1297">
        <w:rPr>
          <w:rFonts w:cstheme="minorHAnsi"/>
          <w:sz w:val="22"/>
          <w:szCs w:val="22"/>
        </w:rPr>
        <w:t>réellement</w:t>
      </w:r>
      <w:r w:rsidR="00A17D12" w:rsidRPr="005C1297">
        <w:rPr>
          <w:rFonts w:cstheme="minorHAnsi"/>
          <w:sz w:val="22"/>
          <w:szCs w:val="22"/>
        </w:rPr>
        <w:t xml:space="preserve"> </w:t>
      </w:r>
      <w:r w:rsidR="00FF775B" w:rsidRPr="005C1297">
        <w:rPr>
          <w:rFonts w:cstheme="minorHAnsi"/>
          <w:sz w:val="22"/>
          <w:szCs w:val="22"/>
        </w:rPr>
        <w:t xml:space="preserve">le nombre d'intermédiaires. </w:t>
      </w:r>
      <w:r w:rsidR="00973547" w:rsidRPr="005C1297">
        <w:rPr>
          <w:rFonts w:cstheme="minorHAnsi"/>
          <w:sz w:val="22"/>
          <w:szCs w:val="22"/>
        </w:rPr>
        <w:t xml:space="preserve">Toutefois, </w:t>
      </w:r>
      <w:r w:rsidR="00C71EB9" w:rsidRPr="005C1297">
        <w:rPr>
          <w:rFonts w:cstheme="minorHAnsi"/>
          <w:sz w:val="22"/>
          <w:szCs w:val="22"/>
        </w:rPr>
        <w:t xml:space="preserve">pour qu'un système fonctionne réellement à l'échelle mondiale, </w:t>
      </w:r>
      <w:r w:rsidR="00BE0683" w:rsidRPr="005C1297">
        <w:rPr>
          <w:rFonts w:cstheme="minorHAnsi"/>
          <w:sz w:val="22"/>
          <w:szCs w:val="22"/>
        </w:rPr>
        <w:t xml:space="preserve">l'interopérabilité est essentielle. </w:t>
      </w:r>
      <w:r w:rsidR="002B175B" w:rsidRPr="005C1297">
        <w:rPr>
          <w:rFonts w:cstheme="minorHAnsi"/>
          <w:sz w:val="22"/>
          <w:szCs w:val="22"/>
        </w:rPr>
        <w:t xml:space="preserve">Au cours de ce webinaire, </w:t>
      </w:r>
      <w:r w:rsidR="00037180" w:rsidRPr="005C1297">
        <w:rPr>
          <w:rFonts w:cstheme="minorHAnsi"/>
          <w:sz w:val="22"/>
          <w:szCs w:val="22"/>
        </w:rPr>
        <w:t xml:space="preserve">des experts du secteur </w:t>
      </w:r>
      <w:r w:rsidR="00F60D80" w:rsidRPr="005C1297">
        <w:rPr>
          <w:rFonts w:cstheme="minorHAnsi"/>
          <w:sz w:val="22"/>
          <w:szCs w:val="22"/>
        </w:rPr>
        <w:t>se pencheront sur</w:t>
      </w:r>
      <w:r w:rsidR="00D653B3" w:rsidRPr="005C1297">
        <w:rPr>
          <w:rFonts w:cstheme="minorHAnsi"/>
          <w:sz w:val="22"/>
          <w:szCs w:val="22"/>
        </w:rPr>
        <w:t xml:space="preserve"> l'avenir des CBDC de gros, sur leur</w:t>
      </w:r>
      <w:r w:rsidR="00F60D80" w:rsidRPr="005C1297">
        <w:rPr>
          <w:rFonts w:cstheme="minorHAnsi"/>
          <w:sz w:val="22"/>
          <w:szCs w:val="22"/>
        </w:rPr>
        <w:t>s incidences</w:t>
      </w:r>
      <w:r w:rsidR="00D609B5" w:rsidRPr="005C1297">
        <w:rPr>
          <w:rFonts w:cstheme="minorHAnsi"/>
          <w:sz w:val="22"/>
          <w:szCs w:val="22"/>
        </w:rPr>
        <w:t xml:space="preserve"> </w:t>
      </w:r>
      <w:r w:rsidR="00F60D80" w:rsidRPr="005C1297">
        <w:rPr>
          <w:rFonts w:cstheme="minorHAnsi"/>
          <w:sz w:val="22"/>
          <w:szCs w:val="22"/>
        </w:rPr>
        <w:t>sur les</w:t>
      </w:r>
      <w:r w:rsidR="00D653B3" w:rsidRPr="005C1297">
        <w:rPr>
          <w:rFonts w:cstheme="minorHAnsi"/>
          <w:sz w:val="22"/>
          <w:szCs w:val="22"/>
        </w:rPr>
        <w:t xml:space="preserve"> paiements transfrontières et sur l'importance de l'inte</w:t>
      </w:r>
      <w:r w:rsidR="008567FA" w:rsidRPr="005C1297">
        <w:rPr>
          <w:rFonts w:cstheme="minorHAnsi"/>
          <w:sz w:val="22"/>
          <w:szCs w:val="22"/>
        </w:rPr>
        <w:t>ropérabilité.</w:t>
      </w:r>
    </w:p>
    <w:p w14:paraId="6D9F97CA" w14:textId="7B545AAF" w:rsidR="00D16D03" w:rsidRPr="005C1297" w:rsidRDefault="00D16D03" w:rsidP="00D609B5">
      <w:pPr>
        <w:rPr>
          <w:rFonts w:cstheme="minorHAnsi"/>
          <w:sz w:val="22"/>
          <w:szCs w:val="22"/>
        </w:rPr>
      </w:pPr>
      <w:r w:rsidRPr="005C1297">
        <w:rPr>
          <w:rFonts w:cstheme="minorHAnsi"/>
          <w:sz w:val="22"/>
          <w:szCs w:val="22"/>
        </w:rPr>
        <w:t>4</w:t>
      </w:r>
      <w:r w:rsidRPr="005C1297">
        <w:rPr>
          <w:rFonts w:cstheme="minorHAnsi"/>
          <w:sz w:val="22"/>
          <w:szCs w:val="22"/>
        </w:rPr>
        <w:tab/>
      </w:r>
      <w:r w:rsidR="00250DC0" w:rsidRPr="005C1297">
        <w:rPr>
          <w:rFonts w:cstheme="minorHAnsi"/>
          <w:sz w:val="22"/>
          <w:szCs w:val="22"/>
        </w:rPr>
        <w:t>Cette série de webinaires s'adresse</w:t>
      </w:r>
      <w:r w:rsidR="00CF5ACA" w:rsidRPr="005C1297">
        <w:rPr>
          <w:rFonts w:cstheme="minorHAnsi"/>
          <w:sz w:val="22"/>
          <w:szCs w:val="22"/>
        </w:rPr>
        <w:t xml:space="preserve"> notamment</w:t>
      </w:r>
      <w:r w:rsidRPr="005C1297">
        <w:rPr>
          <w:rFonts w:cstheme="minorHAnsi"/>
          <w:sz w:val="22"/>
          <w:szCs w:val="22"/>
        </w:rPr>
        <w:t xml:space="preserve"> aux banques centrales, aux entreprises du secteur des technologies</w:t>
      </w:r>
      <w:r w:rsidR="00D609B5" w:rsidRPr="005C1297">
        <w:rPr>
          <w:rFonts w:cstheme="minorHAnsi"/>
          <w:sz w:val="22"/>
          <w:szCs w:val="22"/>
        </w:rPr>
        <w:t xml:space="preserve"> </w:t>
      </w:r>
      <w:r w:rsidR="00F60D80" w:rsidRPr="005C1297">
        <w:rPr>
          <w:rFonts w:cstheme="minorHAnsi"/>
          <w:sz w:val="22"/>
          <w:szCs w:val="22"/>
        </w:rPr>
        <w:t xml:space="preserve">liées aux </w:t>
      </w:r>
      <w:r w:rsidRPr="005C1297">
        <w:rPr>
          <w:rFonts w:cstheme="minorHAnsi"/>
          <w:sz w:val="22"/>
          <w:szCs w:val="22"/>
        </w:rPr>
        <w:t>monnaie numérique, aux fournisseurs de systèmes de paiement, aux sociétés du secteur des technologies financières, aux organismes de normalisation, aux entreprises du secteur de la sécurité informatique, aux forums du secteur privé, aux établissements universitaires et aux décideurs. La participation au</w:t>
      </w:r>
      <w:r w:rsidR="0069497E" w:rsidRPr="005C1297">
        <w:rPr>
          <w:rFonts w:cstheme="minorHAnsi"/>
          <w:sz w:val="22"/>
          <w:szCs w:val="22"/>
        </w:rPr>
        <w:t>x</w:t>
      </w:r>
      <w:r w:rsidRPr="005C1297">
        <w:rPr>
          <w:rFonts w:cstheme="minorHAnsi"/>
          <w:sz w:val="22"/>
          <w:szCs w:val="22"/>
        </w:rPr>
        <w:t xml:space="preserve"> webinaire</w:t>
      </w:r>
      <w:r w:rsidR="0069497E" w:rsidRPr="005C1297">
        <w:rPr>
          <w:rFonts w:cstheme="minorHAnsi"/>
          <w:sz w:val="22"/>
          <w:szCs w:val="22"/>
        </w:rPr>
        <w:t>s</w:t>
      </w:r>
      <w:r w:rsidRPr="005C1297">
        <w:rPr>
          <w:rFonts w:cstheme="minorHAnsi"/>
          <w:sz w:val="22"/>
          <w:szCs w:val="22"/>
        </w:rPr>
        <w:t xml:space="preserve"> est gratuite et ouverte à tous les États Membres, Membres de Secteur, Associés de l'UIT et à tous les établissements universitaires participant aux travaux de l'UIT, ainsi qu'à toute personne issue d'un pays Membre de l'UIT qui souhaite contribuer aux travaux. Il peut s'agir de personnes qui sont aussi membres d'organisations internationales, régionales ou nationales.</w:t>
      </w:r>
    </w:p>
    <w:p w14:paraId="6F7DE688" w14:textId="5E4BB57A" w:rsidR="00D16D03" w:rsidRPr="005C1297" w:rsidRDefault="00D16D03" w:rsidP="00D609B5">
      <w:pPr>
        <w:rPr>
          <w:rFonts w:cstheme="minorHAnsi"/>
          <w:bCs/>
          <w:sz w:val="22"/>
          <w:szCs w:val="22"/>
        </w:rPr>
      </w:pPr>
      <w:r w:rsidRPr="005C1297">
        <w:rPr>
          <w:rFonts w:cstheme="minorHAnsi"/>
          <w:sz w:val="22"/>
          <w:szCs w:val="22"/>
        </w:rPr>
        <w:t>5</w:t>
      </w:r>
      <w:r w:rsidRPr="005C1297">
        <w:rPr>
          <w:rFonts w:cstheme="minorHAnsi"/>
          <w:sz w:val="22"/>
          <w:szCs w:val="22"/>
        </w:rPr>
        <w:tab/>
      </w:r>
      <w:r w:rsidRPr="005C1297">
        <w:rPr>
          <w:rFonts w:cstheme="minorHAnsi"/>
          <w:bCs/>
          <w:sz w:val="22"/>
          <w:szCs w:val="22"/>
        </w:rPr>
        <w:t>Toutes les informations utiles concernant le</w:t>
      </w:r>
      <w:r w:rsidR="00515806" w:rsidRPr="005C1297">
        <w:rPr>
          <w:rFonts w:cstheme="minorHAnsi"/>
          <w:bCs/>
          <w:sz w:val="22"/>
          <w:szCs w:val="22"/>
        </w:rPr>
        <w:t>s</w:t>
      </w:r>
      <w:r w:rsidRPr="005C1297">
        <w:rPr>
          <w:rFonts w:cstheme="minorHAnsi"/>
          <w:bCs/>
          <w:sz w:val="22"/>
          <w:szCs w:val="22"/>
        </w:rPr>
        <w:t xml:space="preserve"> webinaire</w:t>
      </w:r>
      <w:r w:rsidR="00515806" w:rsidRPr="005C1297">
        <w:rPr>
          <w:rFonts w:cstheme="minorHAnsi"/>
          <w:bCs/>
          <w:sz w:val="22"/>
          <w:szCs w:val="22"/>
        </w:rPr>
        <w:t>s (intervenants,</w:t>
      </w:r>
      <w:r w:rsidRPr="005C1297">
        <w:rPr>
          <w:rFonts w:cstheme="minorHAnsi"/>
          <w:bCs/>
          <w:sz w:val="22"/>
          <w:szCs w:val="22"/>
        </w:rPr>
        <w:t xml:space="preserve"> lien pour l'inscription</w:t>
      </w:r>
      <w:r w:rsidR="00222E91" w:rsidRPr="005C1297">
        <w:rPr>
          <w:rFonts w:cstheme="minorHAnsi"/>
          <w:bCs/>
          <w:sz w:val="22"/>
          <w:szCs w:val="22"/>
        </w:rPr>
        <w:t xml:space="preserve">, </w:t>
      </w:r>
      <w:r w:rsidR="00B65F14" w:rsidRPr="005C1297">
        <w:rPr>
          <w:rFonts w:cstheme="minorHAnsi"/>
          <w:bCs/>
          <w:sz w:val="22"/>
          <w:szCs w:val="22"/>
        </w:rPr>
        <w:t>modalités de</w:t>
      </w:r>
      <w:r w:rsidR="00515806" w:rsidRPr="005C1297">
        <w:rPr>
          <w:rFonts w:cstheme="minorHAnsi"/>
          <w:bCs/>
          <w:sz w:val="22"/>
          <w:szCs w:val="22"/>
        </w:rPr>
        <w:t xml:space="preserve"> connexion à distance et </w:t>
      </w:r>
      <w:r w:rsidR="00200193" w:rsidRPr="005C1297">
        <w:rPr>
          <w:rFonts w:cstheme="minorHAnsi"/>
          <w:bCs/>
          <w:sz w:val="22"/>
          <w:szCs w:val="22"/>
        </w:rPr>
        <w:t>éventuelles</w:t>
      </w:r>
      <w:r w:rsidR="00515806" w:rsidRPr="005C1297">
        <w:rPr>
          <w:rFonts w:cstheme="minorHAnsi"/>
          <w:bCs/>
          <w:sz w:val="22"/>
          <w:szCs w:val="22"/>
        </w:rPr>
        <w:t xml:space="preserve"> informations complémentaires</w:t>
      </w:r>
      <w:r w:rsidRPr="005C1297">
        <w:rPr>
          <w:rFonts w:cstheme="minorHAnsi"/>
          <w:bCs/>
          <w:sz w:val="22"/>
          <w:szCs w:val="22"/>
        </w:rPr>
        <w:t>) seront communiquées sur</w:t>
      </w:r>
      <w:r w:rsidR="00200193" w:rsidRPr="005C1297">
        <w:rPr>
          <w:rFonts w:cstheme="minorHAnsi"/>
          <w:bCs/>
          <w:sz w:val="22"/>
          <w:szCs w:val="22"/>
        </w:rPr>
        <w:t xml:space="preserve"> la page d'accueil principale à </w:t>
      </w:r>
      <w:proofErr w:type="gramStart"/>
      <w:r w:rsidR="00200193" w:rsidRPr="005C1297">
        <w:rPr>
          <w:rFonts w:cstheme="minorHAnsi"/>
          <w:bCs/>
          <w:sz w:val="22"/>
          <w:szCs w:val="22"/>
        </w:rPr>
        <w:t>l'adresse</w:t>
      </w:r>
      <w:r w:rsidRPr="005C1297">
        <w:rPr>
          <w:rFonts w:cstheme="minorHAnsi"/>
          <w:bCs/>
          <w:sz w:val="22"/>
          <w:szCs w:val="22"/>
        </w:rPr>
        <w:t>:</w:t>
      </w:r>
      <w:proofErr w:type="gramEnd"/>
      <w:r w:rsidRPr="005C1297">
        <w:rPr>
          <w:rFonts w:cstheme="minorHAnsi"/>
          <w:bCs/>
          <w:sz w:val="22"/>
          <w:szCs w:val="22"/>
        </w:rPr>
        <w:t xml:space="preserve"> </w:t>
      </w:r>
      <w:hyperlink r:id="rId12" w:history="1">
        <w:r w:rsidR="00D609B5" w:rsidRPr="005C1297">
          <w:rPr>
            <w:rStyle w:val="Hyperlink"/>
            <w:rFonts w:cstheme="minorHAnsi"/>
            <w:bCs/>
            <w:sz w:val="22"/>
            <w:szCs w:val="22"/>
          </w:rPr>
          <w:t>https://www.itu.int/en/ITU</w:t>
        </w:r>
        <w:r w:rsidR="00D609B5" w:rsidRPr="005C1297">
          <w:rPr>
            <w:rStyle w:val="Hyperlink"/>
            <w:rFonts w:cstheme="minorHAnsi"/>
            <w:bCs/>
            <w:sz w:val="22"/>
            <w:szCs w:val="22"/>
          </w:rPr>
          <w:noBreakHyphen/>
          <w:t>T/webinars/dcgi/Pages/default.aspx</w:t>
        </w:r>
      </w:hyperlink>
      <w:r w:rsidRPr="005C1297">
        <w:rPr>
          <w:rFonts w:cstheme="minorHAnsi"/>
          <w:bCs/>
          <w:sz w:val="22"/>
          <w:szCs w:val="22"/>
        </w:rPr>
        <w:t>.</w:t>
      </w:r>
    </w:p>
    <w:p w14:paraId="234486DF" w14:textId="0A8BD4CD" w:rsidR="00D16D03" w:rsidRPr="005C1297" w:rsidRDefault="00EB7E27" w:rsidP="00D609B5">
      <w:pPr>
        <w:rPr>
          <w:rFonts w:cstheme="minorHAnsi"/>
          <w:bCs/>
          <w:sz w:val="22"/>
          <w:szCs w:val="22"/>
        </w:rPr>
      </w:pPr>
      <w:r w:rsidRPr="005C1297">
        <w:rPr>
          <w:rFonts w:cstheme="minorHAnsi"/>
          <w:bCs/>
          <w:sz w:val="22"/>
          <w:szCs w:val="22"/>
        </w:rPr>
        <w:t>Ce site web sera régulièrement actualisé</w:t>
      </w:r>
      <w:r w:rsidR="00D16D03" w:rsidRPr="005C1297">
        <w:rPr>
          <w:rFonts w:cstheme="minorHAnsi"/>
          <w:bCs/>
          <w:sz w:val="22"/>
          <w:szCs w:val="22"/>
        </w:rPr>
        <w:t xml:space="preserve"> à mesure que parviendront des informations nouvelles ou modifiées. </w:t>
      </w:r>
      <w:r w:rsidRPr="005C1297">
        <w:rPr>
          <w:rFonts w:cstheme="minorHAnsi"/>
          <w:bCs/>
          <w:sz w:val="22"/>
          <w:szCs w:val="22"/>
        </w:rPr>
        <w:t>Il est recommandé aux participants</w:t>
      </w:r>
      <w:r w:rsidR="00D16D03" w:rsidRPr="005C1297">
        <w:rPr>
          <w:rFonts w:cstheme="minorHAnsi"/>
          <w:bCs/>
          <w:sz w:val="22"/>
          <w:szCs w:val="22"/>
        </w:rPr>
        <w:t xml:space="preserve"> de consulter régulièrement les pages web </w:t>
      </w:r>
      <w:r w:rsidR="00DD17FF" w:rsidRPr="005C1297">
        <w:rPr>
          <w:rFonts w:cstheme="minorHAnsi"/>
          <w:bCs/>
          <w:sz w:val="22"/>
          <w:szCs w:val="22"/>
        </w:rPr>
        <w:t xml:space="preserve">des épisodes </w:t>
      </w:r>
      <w:r w:rsidR="00D16D03" w:rsidRPr="005C1297">
        <w:rPr>
          <w:rFonts w:cstheme="minorHAnsi"/>
          <w:bCs/>
          <w:sz w:val="22"/>
          <w:szCs w:val="22"/>
        </w:rPr>
        <w:t>pour prendre connaissance des dernières informations.</w:t>
      </w:r>
    </w:p>
    <w:p w14:paraId="0826E469" w14:textId="2FB9EEC1" w:rsidR="00D16D03" w:rsidRPr="005C1297" w:rsidRDefault="00D16D03" w:rsidP="00D609B5">
      <w:pPr>
        <w:rPr>
          <w:rFonts w:cstheme="minorHAnsi"/>
          <w:sz w:val="22"/>
          <w:szCs w:val="22"/>
        </w:rPr>
      </w:pPr>
      <w:r w:rsidRPr="005C1297">
        <w:rPr>
          <w:rFonts w:cstheme="minorHAnsi"/>
          <w:bCs/>
          <w:sz w:val="22"/>
          <w:szCs w:val="22"/>
        </w:rPr>
        <w:t>6</w:t>
      </w:r>
      <w:r w:rsidRPr="005C1297">
        <w:rPr>
          <w:rFonts w:cstheme="minorHAnsi"/>
          <w:bCs/>
          <w:sz w:val="22"/>
          <w:szCs w:val="22"/>
        </w:rPr>
        <w:tab/>
      </w:r>
      <w:r w:rsidR="00111E38" w:rsidRPr="005C1297">
        <w:rPr>
          <w:rFonts w:cstheme="minorHAnsi"/>
          <w:bCs/>
          <w:sz w:val="22"/>
          <w:szCs w:val="22"/>
        </w:rPr>
        <w:t>L</w:t>
      </w:r>
      <w:r w:rsidRPr="005C1297">
        <w:rPr>
          <w:rFonts w:cstheme="minorHAnsi"/>
          <w:bCs/>
          <w:sz w:val="22"/>
          <w:szCs w:val="22"/>
        </w:rPr>
        <w:t xml:space="preserve">'inscription </w:t>
      </w:r>
      <w:r w:rsidR="00111E38" w:rsidRPr="005C1297">
        <w:rPr>
          <w:rFonts w:cstheme="minorHAnsi"/>
          <w:bCs/>
          <w:sz w:val="22"/>
          <w:szCs w:val="22"/>
        </w:rPr>
        <w:t xml:space="preserve">en ligne </w:t>
      </w:r>
      <w:r w:rsidRPr="005C1297">
        <w:rPr>
          <w:rFonts w:cstheme="minorHAnsi"/>
          <w:bCs/>
          <w:sz w:val="22"/>
          <w:szCs w:val="22"/>
        </w:rPr>
        <w:t xml:space="preserve">est obligatoire pour tous les participants à chaque manifestation. De plus amples informations sur l'inscription seront disponibles sur le site web de chaque </w:t>
      </w:r>
      <w:r w:rsidR="00970B83" w:rsidRPr="005C1297">
        <w:rPr>
          <w:rFonts w:cstheme="minorHAnsi"/>
          <w:bCs/>
          <w:sz w:val="22"/>
          <w:szCs w:val="22"/>
        </w:rPr>
        <w:t>manifestation</w:t>
      </w:r>
      <w:r w:rsidRPr="005C1297">
        <w:rPr>
          <w:rFonts w:cstheme="minorHAnsi"/>
          <w:bCs/>
          <w:sz w:val="22"/>
          <w:szCs w:val="22"/>
        </w:rPr>
        <w:t xml:space="preserve">, accessible depuis la </w:t>
      </w:r>
      <w:hyperlink r:id="rId13" w:history="1">
        <w:r w:rsidRPr="005C1297">
          <w:rPr>
            <w:rStyle w:val="Hyperlink"/>
            <w:rFonts w:cstheme="minorHAnsi"/>
            <w:bCs/>
            <w:sz w:val="22"/>
            <w:szCs w:val="22"/>
          </w:rPr>
          <w:t>page d'accueil principale</w:t>
        </w:r>
      </w:hyperlink>
      <w:r w:rsidRPr="005C1297">
        <w:rPr>
          <w:rFonts w:cstheme="minorHAnsi"/>
          <w:bCs/>
          <w:sz w:val="22"/>
          <w:szCs w:val="22"/>
        </w:rPr>
        <w:t>.</w:t>
      </w:r>
    </w:p>
    <w:p w14:paraId="0D079779" w14:textId="57568525" w:rsidR="00BD6ECF" w:rsidRPr="005C1297" w:rsidRDefault="00D16D03" w:rsidP="00D609B5">
      <w:pPr>
        <w:rPr>
          <w:rFonts w:cstheme="minorHAnsi"/>
          <w:sz w:val="22"/>
          <w:szCs w:val="22"/>
        </w:rPr>
      </w:pPr>
      <w:r w:rsidRPr="005C1297">
        <w:rPr>
          <w:rFonts w:cstheme="minorHAnsi"/>
          <w:sz w:val="22"/>
          <w:szCs w:val="22"/>
        </w:rPr>
        <w:t>Veuillez agréer, Madame, Monsieur, l'assurance de ma considération distinguée</w:t>
      </w:r>
      <w:r w:rsidR="00517A03" w:rsidRPr="005C1297">
        <w:rPr>
          <w:rFonts w:cstheme="minorHAnsi"/>
          <w:sz w:val="22"/>
          <w:szCs w:val="22"/>
        </w:rPr>
        <w:t>.</w:t>
      </w:r>
    </w:p>
    <w:p w14:paraId="09A409E0" w14:textId="2D3ECCFC" w:rsidR="00517A03" w:rsidRPr="005C1297" w:rsidRDefault="00A23B5F" w:rsidP="00BC6BF7">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23274581" wp14:editId="4A03C184">
            <wp:simplePos x="0" y="0"/>
            <wp:positionH relativeFrom="column">
              <wp:posOffset>1060</wp:posOffset>
            </wp:positionH>
            <wp:positionV relativeFrom="paragraph">
              <wp:posOffset>141605</wp:posOffset>
            </wp:positionV>
            <wp:extent cx="539750" cy="404814"/>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9750" cy="404814"/>
                    </a:xfrm>
                    <a:prstGeom prst="rect">
                      <a:avLst/>
                    </a:prstGeom>
                  </pic:spPr>
                </pic:pic>
              </a:graphicData>
            </a:graphic>
            <wp14:sizeRelH relativeFrom="margin">
              <wp14:pctWidth>0</wp14:pctWidth>
            </wp14:sizeRelH>
            <wp14:sizeRelV relativeFrom="margin">
              <wp14:pctHeight>0</wp14:pctHeight>
            </wp14:sizeRelV>
          </wp:anchor>
        </w:drawing>
      </w:r>
      <w:r w:rsidR="00036F4F" w:rsidRPr="005C1297">
        <w:rPr>
          <w:rFonts w:cstheme="minorHAnsi"/>
          <w:sz w:val="22"/>
          <w:szCs w:val="22"/>
        </w:rPr>
        <w:t>Chaesub Lee</w:t>
      </w:r>
      <w:r w:rsidR="00036F4F" w:rsidRPr="005C1297">
        <w:rPr>
          <w:rFonts w:cstheme="minorHAnsi"/>
          <w:sz w:val="22"/>
          <w:szCs w:val="22"/>
        </w:rPr>
        <w:br/>
        <w:t xml:space="preserve">Directeur du Bureau de la normalisation </w:t>
      </w:r>
      <w:r w:rsidR="00036F4F" w:rsidRPr="005C1297">
        <w:rPr>
          <w:rFonts w:cstheme="minorHAnsi"/>
          <w:sz w:val="22"/>
          <w:szCs w:val="22"/>
        </w:rPr>
        <w:br/>
        <w:t>des télécommunications</w:t>
      </w:r>
    </w:p>
    <w:sectPr w:rsidR="00517A03" w:rsidRPr="005C1297"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37E9" w14:textId="77777777" w:rsidR="001A50F6" w:rsidRDefault="001A50F6">
      <w:r>
        <w:separator/>
      </w:r>
    </w:p>
  </w:endnote>
  <w:endnote w:type="continuationSeparator" w:id="0">
    <w:p w14:paraId="3C994F86" w14:textId="77777777" w:rsidR="001A50F6" w:rsidRDefault="001A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D73B" w14:textId="77777777"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F301" w14:textId="77777777" w:rsidR="001A50F6" w:rsidRDefault="001A50F6">
      <w:r>
        <w:t>____________________</w:t>
      </w:r>
    </w:p>
  </w:footnote>
  <w:footnote w:type="continuationSeparator" w:id="0">
    <w:p w14:paraId="1A0FE638" w14:textId="77777777" w:rsidR="001A50F6" w:rsidRDefault="001A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E6B4" w14:textId="7EBE8DE3" w:rsidR="00697BC1" w:rsidRPr="00697BC1" w:rsidRDefault="00A23B5F"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970B83">
          <w:rPr>
            <w:noProof/>
            <w:sz w:val="18"/>
            <w:szCs w:val="16"/>
          </w:rPr>
          <w:t>4</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8D601F">
      <w:rPr>
        <w:noProof/>
        <w:sz w:val="18"/>
        <w:szCs w:val="16"/>
      </w:rPr>
      <w:br/>
      <w:t>Circulaire TSB 348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105A04B8"/>
    <w:multiLevelType w:val="hybridMultilevel"/>
    <w:tmpl w:val="5BB81A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en-US" w:vendorID="64" w:dllVersion="6" w:nlCheck="1" w:checkStyle="1"/>
  <w:activeWritingStyle w:appName="MSWord" w:lang="en-IE" w:vendorID="64" w:dllVersion="6" w:nlCheck="1" w:checkStyle="1"/>
  <w:activeWritingStyle w:appName="MSWord" w:lang="fr-FR"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BC505E9-DF32-4D44-9754-1ACD023FACD0}"/>
    <w:docVar w:name="dgnword-eventsink" w:val="2692414634496"/>
  </w:docVars>
  <w:rsids>
    <w:rsidRoot w:val="001A50F6"/>
    <w:rsid w:val="000039EE"/>
    <w:rsid w:val="00005622"/>
    <w:rsid w:val="000224CB"/>
    <w:rsid w:val="0002519E"/>
    <w:rsid w:val="00035B43"/>
    <w:rsid w:val="00036F4F"/>
    <w:rsid w:val="00037180"/>
    <w:rsid w:val="00066ADC"/>
    <w:rsid w:val="000758B3"/>
    <w:rsid w:val="00085F5A"/>
    <w:rsid w:val="000A1766"/>
    <w:rsid w:val="000B0D96"/>
    <w:rsid w:val="000B59D8"/>
    <w:rsid w:val="000C1F6B"/>
    <w:rsid w:val="000C25CC"/>
    <w:rsid w:val="000C56BE"/>
    <w:rsid w:val="000F7777"/>
    <w:rsid w:val="001026FD"/>
    <w:rsid w:val="00103F8B"/>
    <w:rsid w:val="001077FD"/>
    <w:rsid w:val="00111E38"/>
    <w:rsid w:val="00115DD7"/>
    <w:rsid w:val="0014629D"/>
    <w:rsid w:val="001477EF"/>
    <w:rsid w:val="00167472"/>
    <w:rsid w:val="00167F92"/>
    <w:rsid w:val="00173738"/>
    <w:rsid w:val="001949B6"/>
    <w:rsid w:val="001A50F6"/>
    <w:rsid w:val="001A514C"/>
    <w:rsid w:val="001B79A3"/>
    <w:rsid w:val="00200193"/>
    <w:rsid w:val="002152A3"/>
    <w:rsid w:val="002203FF"/>
    <w:rsid w:val="002208EE"/>
    <w:rsid w:val="00222E91"/>
    <w:rsid w:val="00250DC0"/>
    <w:rsid w:val="00283629"/>
    <w:rsid w:val="00283DEC"/>
    <w:rsid w:val="002B0DCA"/>
    <w:rsid w:val="002B175B"/>
    <w:rsid w:val="002E395D"/>
    <w:rsid w:val="003131F0"/>
    <w:rsid w:val="00333A80"/>
    <w:rsid w:val="00341117"/>
    <w:rsid w:val="003474C5"/>
    <w:rsid w:val="00364E95"/>
    <w:rsid w:val="00372875"/>
    <w:rsid w:val="003858F7"/>
    <w:rsid w:val="00393A46"/>
    <w:rsid w:val="00396A9E"/>
    <w:rsid w:val="003A09B0"/>
    <w:rsid w:val="003B1E80"/>
    <w:rsid w:val="003B4A8B"/>
    <w:rsid w:val="003B6157"/>
    <w:rsid w:val="003B66E8"/>
    <w:rsid w:val="003C5F07"/>
    <w:rsid w:val="003C6601"/>
    <w:rsid w:val="003E66AD"/>
    <w:rsid w:val="003F5CFF"/>
    <w:rsid w:val="004033F1"/>
    <w:rsid w:val="00414B0C"/>
    <w:rsid w:val="00423C21"/>
    <w:rsid w:val="004257AC"/>
    <w:rsid w:val="0043711B"/>
    <w:rsid w:val="00447F99"/>
    <w:rsid w:val="00472926"/>
    <w:rsid w:val="00486EB0"/>
    <w:rsid w:val="004977C9"/>
    <w:rsid w:val="004B732E"/>
    <w:rsid w:val="004D51F4"/>
    <w:rsid w:val="004D64E0"/>
    <w:rsid w:val="004F7EB2"/>
    <w:rsid w:val="00506297"/>
    <w:rsid w:val="005111CC"/>
    <w:rsid w:val="005120A2"/>
    <w:rsid w:val="0051210D"/>
    <w:rsid w:val="005136D2"/>
    <w:rsid w:val="00515806"/>
    <w:rsid w:val="00517A03"/>
    <w:rsid w:val="00524182"/>
    <w:rsid w:val="005263D0"/>
    <w:rsid w:val="00526F0B"/>
    <w:rsid w:val="005508BD"/>
    <w:rsid w:val="00562174"/>
    <w:rsid w:val="00585874"/>
    <w:rsid w:val="005A3DD9"/>
    <w:rsid w:val="005B1DFC"/>
    <w:rsid w:val="005C1297"/>
    <w:rsid w:val="005C6E61"/>
    <w:rsid w:val="005F39F0"/>
    <w:rsid w:val="005F7A5E"/>
    <w:rsid w:val="00601682"/>
    <w:rsid w:val="00603470"/>
    <w:rsid w:val="00615E8F"/>
    <w:rsid w:val="00625E79"/>
    <w:rsid w:val="006333F7"/>
    <w:rsid w:val="00635226"/>
    <w:rsid w:val="006427A1"/>
    <w:rsid w:val="00644741"/>
    <w:rsid w:val="00650527"/>
    <w:rsid w:val="0069497E"/>
    <w:rsid w:val="00697BC1"/>
    <w:rsid w:val="006A631E"/>
    <w:rsid w:val="006A6FFE"/>
    <w:rsid w:val="006C5A91"/>
    <w:rsid w:val="006E7BE7"/>
    <w:rsid w:val="006F33D7"/>
    <w:rsid w:val="006F78F4"/>
    <w:rsid w:val="00716BBC"/>
    <w:rsid w:val="007321BC"/>
    <w:rsid w:val="00760063"/>
    <w:rsid w:val="00762283"/>
    <w:rsid w:val="00775E4B"/>
    <w:rsid w:val="007847DD"/>
    <w:rsid w:val="007914B2"/>
    <w:rsid w:val="007932F7"/>
    <w:rsid w:val="0079553B"/>
    <w:rsid w:val="00795679"/>
    <w:rsid w:val="007A40FE"/>
    <w:rsid w:val="007D1442"/>
    <w:rsid w:val="007D348C"/>
    <w:rsid w:val="00810105"/>
    <w:rsid w:val="008157E0"/>
    <w:rsid w:val="00847DC2"/>
    <w:rsid w:val="00850477"/>
    <w:rsid w:val="00854E1D"/>
    <w:rsid w:val="008567FA"/>
    <w:rsid w:val="00863642"/>
    <w:rsid w:val="0087050B"/>
    <w:rsid w:val="00887FA6"/>
    <w:rsid w:val="008C4397"/>
    <w:rsid w:val="008C465A"/>
    <w:rsid w:val="008D601F"/>
    <w:rsid w:val="008F2690"/>
    <w:rsid w:val="008F2C9B"/>
    <w:rsid w:val="009232AA"/>
    <w:rsid w:val="00923CD6"/>
    <w:rsid w:val="00935AA8"/>
    <w:rsid w:val="009376E8"/>
    <w:rsid w:val="00942ED0"/>
    <w:rsid w:val="00955738"/>
    <w:rsid w:val="009677C8"/>
    <w:rsid w:val="00970B83"/>
    <w:rsid w:val="00971C9A"/>
    <w:rsid w:val="00973547"/>
    <w:rsid w:val="009D51FA"/>
    <w:rsid w:val="009F1E23"/>
    <w:rsid w:val="00A15179"/>
    <w:rsid w:val="00A17D12"/>
    <w:rsid w:val="00A23B5F"/>
    <w:rsid w:val="00A51537"/>
    <w:rsid w:val="00A5280F"/>
    <w:rsid w:val="00A5645A"/>
    <w:rsid w:val="00A60FC1"/>
    <w:rsid w:val="00A770B4"/>
    <w:rsid w:val="00A97C37"/>
    <w:rsid w:val="00AA131B"/>
    <w:rsid w:val="00AA44D8"/>
    <w:rsid w:val="00AB604D"/>
    <w:rsid w:val="00AC37B5"/>
    <w:rsid w:val="00AC5D54"/>
    <w:rsid w:val="00AD752F"/>
    <w:rsid w:val="00AF08A4"/>
    <w:rsid w:val="00B17B7B"/>
    <w:rsid w:val="00B27B41"/>
    <w:rsid w:val="00B42659"/>
    <w:rsid w:val="00B65F14"/>
    <w:rsid w:val="00B745D4"/>
    <w:rsid w:val="00B75E03"/>
    <w:rsid w:val="00B813B7"/>
    <w:rsid w:val="00B8573E"/>
    <w:rsid w:val="00B9730E"/>
    <w:rsid w:val="00BA2E54"/>
    <w:rsid w:val="00BB24C0"/>
    <w:rsid w:val="00BB384D"/>
    <w:rsid w:val="00BC6BF7"/>
    <w:rsid w:val="00BD6ECF"/>
    <w:rsid w:val="00BE0683"/>
    <w:rsid w:val="00BE1B09"/>
    <w:rsid w:val="00BF24DA"/>
    <w:rsid w:val="00C2256F"/>
    <w:rsid w:val="00C26F2E"/>
    <w:rsid w:val="00C302E3"/>
    <w:rsid w:val="00C45376"/>
    <w:rsid w:val="00C71EB9"/>
    <w:rsid w:val="00C9028F"/>
    <w:rsid w:val="00CA0416"/>
    <w:rsid w:val="00CB1125"/>
    <w:rsid w:val="00CB63AD"/>
    <w:rsid w:val="00CD042E"/>
    <w:rsid w:val="00CD11E2"/>
    <w:rsid w:val="00CD6D18"/>
    <w:rsid w:val="00CE748C"/>
    <w:rsid w:val="00CF2560"/>
    <w:rsid w:val="00CF5ACA"/>
    <w:rsid w:val="00CF5B46"/>
    <w:rsid w:val="00D16D03"/>
    <w:rsid w:val="00D23EAE"/>
    <w:rsid w:val="00D24E31"/>
    <w:rsid w:val="00D26659"/>
    <w:rsid w:val="00D41998"/>
    <w:rsid w:val="00D46B68"/>
    <w:rsid w:val="00D542A5"/>
    <w:rsid w:val="00D609B5"/>
    <w:rsid w:val="00D653B3"/>
    <w:rsid w:val="00D80C87"/>
    <w:rsid w:val="00DA5DBD"/>
    <w:rsid w:val="00DC3D47"/>
    <w:rsid w:val="00DC5810"/>
    <w:rsid w:val="00DD17FF"/>
    <w:rsid w:val="00DD77DA"/>
    <w:rsid w:val="00E06C61"/>
    <w:rsid w:val="00E13DB3"/>
    <w:rsid w:val="00E2408B"/>
    <w:rsid w:val="00E27102"/>
    <w:rsid w:val="00E36C90"/>
    <w:rsid w:val="00E41EF9"/>
    <w:rsid w:val="00E62CEA"/>
    <w:rsid w:val="00E72AE1"/>
    <w:rsid w:val="00E95617"/>
    <w:rsid w:val="00E96AEE"/>
    <w:rsid w:val="00EA550D"/>
    <w:rsid w:val="00EA666E"/>
    <w:rsid w:val="00EB0CB4"/>
    <w:rsid w:val="00EB7E27"/>
    <w:rsid w:val="00ED2D12"/>
    <w:rsid w:val="00ED6A7A"/>
    <w:rsid w:val="00EE4C36"/>
    <w:rsid w:val="00EE5D54"/>
    <w:rsid w:val="00EF6C72"/>
    <w:rsid w:val="00F03B8E"/>
    <w:rsid w:val="00F346CE"/>
    <w:rsid w:val="00F34F98"/>
    <w:rsid w:val="00F40435"/>
    <w:rsid w:val="00F40540"/>
    <w:rsid w:val="00F40871"/>
    <w:rsid w:val="00F60D80"/>
    <w:rsid w:val="00F62DD0"/>
    <w:rsid w:val="00F67402"/>
    <w:rsid w:val="00F766A2"/>
    <w:rsid w:val="00F82D58"/>
    <w:rsid w:val="00F87344"/>
    <w:rsid w:val="00F9451D"/>
    <w:rsid w:val="00FA125D"/>
    <w:rsid w:val="00FF619E"/>
    <w:rsid w:val="00FF775B"/>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55BE1"/>
  <w15:docId w15:val="{E5FFA201-099E-48E3-9368-68973919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1A50F6"/>
    <w:rPr>
      <w:color w:val="605E5C"/>
      <w:shd w:val="clear" w:color="auto" w:fill="E1DFDD"/>
    </w:rPr>
  </w:style>
  <w:style w:type="character" w:styleId="FollowedHyperlink">
    <w:name w:val="FollowedHyperlink"/>
    <w:basedOn w:val="DefaultParagraphFont"/>
    <w:semiHidden/>
    <w:unhideWhenUsed/>
    <w:rsid w:val="001A50F6"/>
    <w:rPr>
      <w:color w:val="800080" w:themeColor="followedHyperlink"/>
      <w:u w:val="single"/>
    </w:rPr>
  </w:style>
  <w:style w:type="paragraph" w:styleId="ListParagraph">
    <w:name w:val="List Paragraph"/>
    <w:basedOn w:val="Normal"/>
    <w:uiPriority w:val="34"/>
    <w:qFormat/>
    <w:rsid w:val="00D16D03"/>
    <w:pPr>
      <w:tabs>
        <w:tab w:val="clear" w:pos="794"/>
        <w:tab w:val="clear" w:pos="1191"/>
        <w:tab w:val="clear" w:pos="1588"/>
        <w:tab w:val="clear" w:pos="1985"/>
        <w:tab w:val="left" w:pos="1134"/>
        <w:tab w:val="left" w:pos="1871"/>
        <w:tab w:val="left" w:pos="2268"/>
      </w:tabs>
      <w:ind w:left="720"/>
      <w:contextualSpacing/>
    </w:pPr>
    <w:rPr>
      <w:lang w:val="en-GB"/>
    </w:rPr>
  </w:style>
  <w:style w:type="character" w:styleId="CommentReference">
    <w:name w:val="annotation reference"/>
    <w:basedOn w:val="DefaultParagraphFont"/>
    <w:semiHidden/>
    <w:unhideWhenUsed/>
    <w:rsid w:val="00EA666E"/>
    <w:rPr>
      <w:sz w:val="16"/>
      <w:szCs w:val="16"/>
    </w:rPr>
  </w:style>
  <w:style w:type="paragraph" w:styleId="CommentText">
    <w:name w:val="annotation text"/>
    <w:basedOn w:val="Normal"/>
    <w:link w:val="CommentTextChar"/>
    <w:semiHidden/>
    <w:unhideWhenUsed/>
    <w:rsid w:val="00EA666E"/>
    <w:rPr>
      <w:sz w:val="20"/>
    </w:rPr>
  </w:style>
  <w:style w:type="character" w:customStyle="1" w:styleId="CommentTextChar">
    <w:name w:val="Comment Text Char"/>
    <w:basedOn w:val="DefaultParagraphFont"/>
    <w:link w:val="CommentText"/>
    <w:semiHidden/>
    <w:rsid w:val="00EA666E"/>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EA666E"/>
    <w:rPr>
      <w:b/>
      <w:bCs/>
    </w:rPr>
  </w:style>
  <w:style w:type="character" w:customStyle="1" w:styleId="CommentSubjectChar">
    <w:name w:val="Comment Subject Char"/>
    <w:basedOn w:val="CommentTextChar"/>
    <w:link w:val="CommentSubject"/>
    <w:semiHidden/>
    <w:rsid w:val="00EA666E"/>
    <w:rPr>
      <w:rFonts w:asciiTheme="minorHAnsi" w:hAnsiTheme="minorHAnsi"/>
      <w:b/>
      <w:bCs/>
      <w:lang w:val="fr-FR" w:eastAsia="en-US"/>
    </w:rPr>
  </w:style>
  <w:style w:type="paragraph" w:styleId="Revision">
    <w:name w:val="Revision"/>
    <w:hidden/>
    <w:uiPriority w:val="99"/>
    <w:semiHidden/>
    <w:rsid w:val="00EA666E"/>
    <w:rPr>
      <w:rFonts w:asciiTheme="minorHAnsi" w:hAnsiTheme="minorHAnsi"/>
      <w:sz w:val="24"/>
      <w:lang w:val="fr-FR" w:eastAsia="en-US"/>
    </w:rPr>
  </w:style>
  <w:style w:type="paragraph" w:styleId="BalloonText">
    <w:name w:val="Balloon Text"/>
    <w:basedOn w:val="Normal"/>
    <w:link w:val="BalloonTextChar"/>
    <w:semiHidden/>
    <w:unhideWhenUsed/>
    <w:rsid w:val="00EA666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A666E"/>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D60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dcgi/Pages/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cgi/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ebinars/dcgi/20211123/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ebinars/dcgi/20211119/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4367-40DF-4CC5-A0F3-6DA477DF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6179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7</cp:revision>
  <cp:lastPrinted>2021-10-26T14:02:00Z</cp:lastPrinted>
  <dcterms:created xsi:type="dcterms:W3CDTF">2021-10-08T05:29:00Z</dcterms:created>
  <dcterms:modified xsi:type="dcterms:W3CDTF">2021-10-26T14:03:00Z</dcterms:modified>
</cp:coreProperties>
</file>