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6DC591B6" w14:textId="77777777" w:rsidTr="007B6316">
        <w:trPr>
          <w:cantSplit/>
          <w:trHeight w:val="340"/>
        </w:trPr>
        <w:tc>
          <w:tcPr>
            <w:tcW w:w="1410" w:type="dxa"/>
            <w:gridSpan w:val="2"/>
          </w:tcPr>
          <w:p w14:paraId="23BB1830"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6BFF9A50" wp14:editId="47CFF08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B9BA1A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C94A687"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BC6B28" w14:paraId="43772EB8" w14:textId="77777777" w:rsidTr="00303D62">
        <w:trPr>
          <w:cantSplit/>
          <w:trHeight w:val="340"/>
        </w:trPr>
        <w:tc>
          <w:tcPr>
            <w:tcW w:w="993" w:type="dxa"/>
          </w:tcPr>
          <w:p w14:paraId="4F73D8F2" w14:textId="77777777" w:rsidR="007B6316" w:rsidRPr="00BC6B28" w:rsidRDefault="007B6316" w:rsidP="00303D62">
            <w:pPr>
              <w:tabs>
                <w:tab w:val="left" w:pos="4111"/>
              </w:tabs>
              <w:spacing w:before="10"/>
              <w:ind w:left="57"/>
              <w:rPr>
                <w:b/>
                <w:bCs/>
                <w:sz w:val="22"/>
                <w:szCs w:val="22"/>
              </w:rPr>
            </w:pPr>
          </w:p>
        </w:tc>
        <w:tc>
          <w:tcPr>
            <w:tcW w:w="3884" w:type="dxa"/>
            <w:gridSpan w:val="2"/>
          </w:tcPr>
          <w:p w14:paraId="2A56900F" w14:textId="77777777" w:rsidR="007B6316" w:rsidRPr="00BC6B28" w:rsidRDefault="007B6316" w:rsidP="00303D62">
            <w:pPr>
              <w:tabs>
                <w:tab w:val="left" w:pos="4111"/>
              </w:tabs>
              <w:spacing w:before="0"/>
              <w:ind w:left="57"/>
              <w:rPr>
                <w:b/>
                <w:sz w:val="22"/>
                <w:szCs w:val="22"/>
              </w:rPr>
            </w:pPr>
          </w:p>
        </w:tc>
        <w:tc>
          <w:tcPr>
            <w:tcW w:w="5329" w:type="dxa"/>
          </w:tcPr>
          <w:p w14:paraId="55E1689D" w14:textId="7426BC81" w:rsidR="007B6316" w:rsidRPr="00BC6B28" w:rsidRDefault="007B6316" w:rsidP="007B6316">
            <w:pPr>
              <w:tabs>
                <w:tab w:val="clear" w:pos="794"/>
                <w:tab w:val="clear" w:pos="1191"/>
                <w:tab w:val="clear" w:pos="1588"/>
                <w:tab w:val="clear" w:pos="1985"/>
                <w:tab w:val="left" w:pos="284"/>
              </w:tabs>
              <w:spacing w:after="120"/>
              <w:ind w:left="284" w:hanging="227"/>
              <w:rPr>
                <w:sz w:val="22"/>
                <w:szCs w:val="22"/>
              </w:rPr>
            </w:pPr>
            <w:r w:rsidRPr="00BC6B28">
              <w:rPr>
                <w:sz w:val="22"/>
                <w:szCs w:val="22"/>
              </w:rPr>
              <w:t>Ginebra,</w:t>
            </w:r>
            <w:r w:rsidR="00673C91" w:rsidRPr="00BC6B28">
              <w:rPr>
                <w:sz w:val="22"/>
                <w:szCs w:val="22"/>
              </w:rPr>
              <w:t xml:space="preserve"> 14 de julio de 2021</w:t>
            </w:r>
          </w:p>
        </w:tc>
      </w:tr>
      <w:tr w:rsidR="007B6316" w:rsidRPr="00BC6B28" w14:paraId="4560C1AC" w14:textId="77777777" w:rsidTr="00303D62">
        <w:trPr>
          <w:cantSplit/>
          <w:trHeight w:val="340"/>
        </w:trPr>
        <w:tc>
          <w:tcPr>
            <w:tcW w:w="993" w:type="dxa"/>
          </w:tcPr>
          <w:p w14:paraId="4E4820F5" w14:textId="77777777" w:rsidR="007B6316" w:rsidRPr="00BC6B28" w:rsidRDefault="007B6316" w:rsidP="00303D62">
            <w:pPr>
              <w:tabs>
                <w:tab w:val="left" w:pos="4111"/>
              </w:tabs>
              <w:spacing w:before="10"/>
              <w:ind w:left="57"/>
              <w:rPr>
                <w:b/>
                <w:bCs/>
                <w:sz w:val="22"/>
                <w:szCs w:val="22"/>
              </w:rPr>
            </w:pPr>
            <w:r w:rsidRPr="00BC6B28">
              <w:rPr>
                <w:b/>
                <w:bCs/>
                <w:sz w:val="22"/>
                <w:szCs w:val="22"/>
              </w:rPr>
              <w:t>Ref.:</w:t>
            </w:r>
          </w:p>
          <w:p w14:paraId="40254839" w14:textId="77777777" w:rsidR="007B6316" w:rsidRPr="00BC6B28" w:rsidRDefault="007B6316" w:rsidP="007B6316">
            <w:pPr>
              <w:tabs>
                <w:tab w:val="left" w:pos="4111"/>
              </w:tabs>
              <w:spacing w:before="10"/>
              <w:ind w:left="57"/>
              <w:rPr>
                <w:b/>
                <w:bCs/>
                <w:sz w:val="22"/>
                <w:szCs w:val="22"/>
              </w:rPr>
            </w:pPr>
          </w:p>
        </w:tc>
        <w:tc>
          <w:tcPr>
            <w:tcW w:w="3884" w:type="dxa"/>
            <w:gridSpan w:val="2"/>
          </w:tcPr>
          <w:p w14:paraId="715077CA" w14:textId="5F1B9C6B" w:rsidR="007B6316" w:rsidRPr="00BC6B28" w:rsidRDefault="007B6316" w:rsidP="00303D62">
            <w:pPr>
              <w:tabs>
                <w:tab w:val="left" w:pos="4111"/>
              </w:tabs>
              <w:spacing w:before="0"/>
              <w:ind w:left="57"/>
              <w:rPr>
                <w:b/>
                <w:sz w:val="22"/>
                <w:szCs w:val="22"/>
              </w:rPr>
            </w:pPr>
            <w:r w:rsidRPr="00BC6B28">
              <w:rPr>
                <w:b/>
                <w:sz w:val="22"/>
                <w:szCs w:val="22"/>
              </w:rPr>
              <w:t xml:space="preserve">Circular TSB </w:t>
            </w:r>
            <w:r w:rsidR="00673C91" w:rsidRPr="00BC6B28">
              <w:rPr>
                <w:b/>
                <w:sz w:val="22"/>
                <w:szCs w:val="22"/>
              </w:rPr>
              <w:t>333</w:t>
            </w:r>
          </w:p>
          <w:p w14:paraId="37106C5B" w14:textId="170F6FEF" w:rsidR="007B6316" w:rsidRPr="00BC6B28" w:rsidRDefault="007B6316" w:rsidP="00303D62">
            <w:pPr>
              <w:tabs>
                <w:tab w:val="left" w:pos="4111"/>
              </w:tabs>
              <w:spacing w:before="0"/>
              <w:ind w:left="57"/>
              <w:rPr>
                <w:b/>
                <w:sz w:val="22"/>
                <w:szCs w:val="22"/>
              </w:rPr>
            </w:pPr>
          </w:p>
          <w:p w14:paraId="0C19AF29" w14:textId="77777777" w:rsidR="007B6316" w:rsidRPr="00BC6B28" w:rsidRDefault="007B6316" w:rsidP="007B6316">
            <w:pPr>
              <w:tabs>
                <w:tab w:val="left" w:pos="4111"/>
              </w:tabs>
              <w:spacing w:before="0"/>
              <w:ind w:left="57"/>
              <w:rPr>
                <w:sz w:val="22"/>
                <w:szCs w:val="22"/>
              </w:rPr>
            </w:pPr>
          </w:p>
        </w:tc>
        <w:tc>
          <w:tcPr>
            <w:tcW w:w="5329" w:type="dxa"/>
            <w:vMerge w:val="restart"/>
          </w:tcPr>
          <w:p w14:paraId="4F68B487" w14:textId="6B6AD227" w:rsidR="007B6316" w:rsidRPr="00BC6B28" w:rsidRDefault="007B6316" w:rsidP="00303D62">
            <w:pPr>
              <w:tabs>
                <w:tab w:val="clear" w:pos="794"/>
                <w:tab w:val="clear" w:pos="1191"/>
                <w:tab w:val="clear" w:pos="1588"/>
                <w:tab w:val="clear" w:pos="1985"/>
                <w:tab w:val="left" w:pos="284"/>
              </w:tabs>
              <w:spacing w:before="0"/>
              <w:ind w:left="284" w:hanging="227"/>
              <w:rPr>
                <w:sz w:val="22"/>
                <w:szCs w:val="22"/>
              </w:rPr>
            </w:pPr>
            <w:bookmarkStart w:id="0" w:name="Addressee_S"/>
            <w:bookmarkEnd w:id="0"/>
            <w:r w:rsidRPr="00BC6B28">
              <w:rPr>
                <w:sz w:val="22"/>
                <w:szCs w:val="22"/>
              </w:rPr>
              <w:t>-</w:t>
            </w:r>
            <w:r w:rsidRPr="00BC6B28">
              <w:rPr>
                <w:sz w:val="22"/>
                <w:szCs w:val="22"/>
              </w:rPr>
              <w:tab/>
              <w:t>A las Administraciones de los Estados Miembros</w:t>
            </w:r>
            <w:r w:rsidR="00B82B4B" w:rsidRPr="00BC6B28">
              <w:rPr>
                <w:sz w:val="22"/>
                <w:szCs w:val="22"/>
              </w:rPr>
              <w:t xml:space="preserve"> </w:t>
            </w:r>
            <w:r w:rsidRPr="00BC6B28">
              <w:rPr>
                <w:sz w:val="22"/>
                <w:szCs w:val="22"/>
              </w:rPr>
              <w:t>de la Unión</w:t>
            </w:r>
            <w:r w:rsidR="00673C91" w:rsidRPr="00BC6B28">
              <w:rPr>
                <w:sz w:val="22"/>
                <w:szCs w:val="22"/>
              </w:rPr>
              <w:t>;</w:t>
            </w:r>
          </w:p>
          <w:p w14:paraId="6CB8C0DD" w14:textId="64344D22" w:rsidR="00673C91" w:rsidRPr="00BC6B28" w:rsidRDefault="00673C91" w:rsidP="00303D62">
            <w:pPr>
              <w:tabs>
                <w:tab w:val="clear" w:pos="794"/>
                <w:tab w:val="clear" w:pos="1191"/>
                <w:tab w:val="clear" w:pos="1588"/>
                <w:tab w:val="clear" w:pos="1985"/>
                <w:tab w:val="left" w:pos="284"/>
              </w:tabs>
              <w:spacing w:before="0"/>
              <w:ind w:left="284" w:hanging="227"/>
              <w:rPr>
                <w:sz w:val="22"/>
                <w:szCs w:val="22"/>
              </w:rPr>
            </w:pPr>
            <w:r w:rsidRPr="00BC6B28">
              <w:rPr>
                <w:sz w:val="22"/>
                <w:szCs w:val="22"/>
              </w:rPr>
              <w:t>-</w:t>
            </w:r>
            <w:r w:rsidRPr="00BC6B28">
              <w:rPr>
                <w:sz w:val="22"/>
                <w:szCs w:val="22"/>
              </w:rPr>
              <w:tab/>
              <w:t xml:space="preserve">A los Miembros del Sector </w:t>
            </w:r>
            <w:r w:rsidR="00B82B4B" w:rsidRPr="00BC6B28">
              <w:rPr>
                <w:sz w:val="22"/>
                <w:szCs w:val="22"/>
              </w:rPr>
              <w:t xml:space="preserve">del </w:t>
            </w:r>
            <w:r w:rsidRPr="00BC6B28">
              <w:rPr>
                <w:sz w:val="22"/>
                <w:szCs w:val="22"/>
              </w:rPr>
              <w:t>UIT-T;</w:t>
            </w:r>
          </w:p>
          <w:p w14:paraId="2BD3935C" w14:textId="77777777" w:rsidR="00673C91" w:rsidRPr="00BC6B28" w:rsidRDefault="00673C91" w:rsidP="00303D62">
            <w:pPr>
              <w:tabs>
                <w:tab w:val="clear" w:pos="794"/>
                <w:tab w:val="clear" w:pos="1191"/>
                <w:tab w:val="clear" w:pos="1588"/>
                <w:tab w:val="clear" w:pos="1985"/>
                <w:tab w:val="left" w:pos="284"/>
              </w:tabs>
              <w:spacing w:before="0"/>
              <w:ind w:left="284" w:hanging="227"/>
              <w:rPr>
                <w:sz w:val="22"/>
                <w:szCs w:val="22"/>
              </w:rPr>
            </w:pPr>
            <w:r w:rsidRPr="00BC6B28">
              <w:rPr>
                <w:sz w:val="22"/>
                <w:szCs w:val="22"/>
              </w:rPr>
              <w:t>-</w:t>
            </w:r>
            <w:r w:rsidRPr="00BC6B28">
              <w:rPr>
                <w:sz w:val="22"/>
                <w:szCs w:val="22"/>
              </w:rPr>
              <w:tab/>
              <w:t>A los Asociados del UIT-T;</w:t>
            </w:r>
          </w:p>
          <w:p w14:paraId="5061720A" w14:textId="37EEE707" w:rsidR="00673C91" w:rsidRPr="00BC6B28" w:rsidRDefault="00673C91" w:rsidP="00303D62">
            <w:pPr>
              <w:tabs>
                <w:tab w:val="clear" w:pos="794"/>
                <w:tab w:val="clear" w:pos="1191"/>
                <w:tab w:val="clear" w:pos="1588"/>
                <w:tab w:val="clear" w:pos="1985"/>
                <w:tab w:val="left" w:pos="284"/>
              </w:tabs>
              <w:spacing w:before="0"/>
              <w:ind w:left="284" w:hanging="227"/>
              <w:rPr>
                <w:sz w:val="22"/>
                <w:szCs w:val="22"/>
              </w:rPr>
            </w:pPr>
            <w:r w:rsidRPr="00BC6B28">
              <w:rPr>
                <w:sz w:val="22"/>
                <w:szCs w:val="22"/>
              </w:rPr>
              <w:t>-</w:t>
            </w:r>
            <w:r w:rsidRPr="00BC6B28">
              <w:rPr>
                <w:sz w:val="22"/>
                <w:szCs w:val="22"/>
              </w:rPr>
              <w:tab/>
              <w:t>A las Instituciones Académicas de la UIT</w:t>
            </w:r>
          </w:p>
        </w:tc>
      </w:tr>
      <w:tr w:rsidR="007B6316" w:rsidRPr="00BC6B28" w14:paraId="178562A1" w14:textId="77777777" w:rsidTr="00303D62">
        <w:trPr>
          <w:cantSplit/>
        </w:trPr>
        <w:tc>
          <w:tcPr>
            <w:tcW w:w="993" w:type="dxa"/>
          </w:tcPr>
          <w:p w14:paraId="2BF2CDBC" w14:textId="77777777" w:rsidR="007B6316" w:rsidRPr="00BC6B28" w:rsidRDefault="007B6316" w:rsidP="00303D62">
            <w:pPr>
              <w:tabs>
                <w:tab w:val="left" w:pos="4111"/>
              </w:tabs>
              <w:spacing w:before="10"/>
              <w:ind w:left="57"/>
              <w:rPr>
                <w:b/>
                <w:bCs/>
                <w:sz w:val="22"/>
                <w:szCs w:val="22"/>
              </w:rPr>
            </w:pPr>
            <w:r w:rsidRPr="00BC6B28">
              <w:rPr>
                <w:b/>
                <w:bCs/>
                <w:sz w:val="22"/>
                <w:szCs w:val="22"/>
              </w:rPr>
              <w:t>Tel.:</w:t>
            </w:r>
          </w:p>
        </w:tc>
        <w:tc>
          <w:tcPr>
            <w:tcW w:w="3884" w:type="dxa"/>
            <w:gridSpan w:val="2"/>
          </w:tcPr>
          <w:p w14:paraId="1CCB6E81" w14:textId="6AAB8D42" w:rsidR="007B6316" w:rsidRPr="00BC6B28" w:rsidRDefault="007B6316" w:rsidP="00303D62">
            <w:pPr>
              <w:tabs>
                <w:tab w:val="left" w:pos="4111"/>
              </w:tabs>
              <w:spacing w:before="0"/>
              <w:ind w:left="57"/>
              <w:rPr>
                <w:rStyle w:val="Hyperlink"/>
                <w:sz w:val="22"/>
                <w:szCs w:val="22"/>
              </w:rPr>
            </w:pPr>
            <w:r w:rsidRPr="00BC6B28">
              <w:rPr>
                <w:sz w:val="22"/>
                <w:szCs w:val="22"/>
              </w:rPr>
              <w:t>+41 22 730</w:t>
            </w:r>
            <w:r w:rsidR="00C53FE5" w:rsidRPr="00BC6B28">
              <w:rPr>
                <w:sz w:val="22"/>
                <w:szCs w:val="22"/>
              </w:rPr>
              <w:t xml:space="preserve"> 5860</w:t>
            </w:r>
          </w:p>
        </w:tc>
        <w:tc>
          <w:tcPr>
            <w:tcW w:w="5329" w:type="dxa"/>
            <w:vMerge/>
          </w:tcPr>
          <w:p w14:paraId="435B1019" w14:textId="77777777" w:rsidR="007B6316" w:rsidRPr="00BC6B28" w:rsidRDefault="007B6316" w:rsidP="00303D62">
            <w:pPr>
              <w:tabs>
                <w:tab w:val="left" w:pos="4111"/>
              </w:tabs>
              <w:spacing w:before="0"/>
              <w:rPr>
                <w:b/>
                <w:sz w:val="22"/>
                <w:szCs w:val="22"/>
              </w:rPr>
            </w:pPr>
          </w:p>
        </w:tc>
      </w:tr>
      <w:tr w:rsidR="007B6316" w:rsidRPr="00BC6B28" w14:paraId="08322040" w14:textId="77777777" w:rsidTr="00303D62">
        <w:trPr>
          <w:cantSplit/>
        </w:trPr>
        <w:tc>
          <w:tcPr>
            <w:tcW w:w="993" w:type="dxa"/>
          </w:tcPr>
          <w:p w14:paraId="73258244" w14:textId="77777777" w:rsidR="007B6316" w:rsidRPr="00BC6B28" w:rsidRDefault="007B6316" w:rsidP="00303D62">
            <w:pPr>
              <w:tabs>
                <w:tab w:val="left" w:pos="4111"/>
              </w:tabs>
              <w:spacing w:before="10"/>
              <w:ind w:left="57"/>
              <w:rPr>
                <w:b/>
                <w:bCs/>
                <w:sz w:val="22"/>
                <w:szCs w:val="22"/>
              </w:rPr>
            </w:pPr>
            <w:r w:rsidRPr="00BC6B28">
              <w:rPr>
                <w:b/>
                <w:bCs/>
                <w:sz w:val="22"/>
                <w:szCs w:val="22"/>
              </w:rPr>
              <w:t>Fax:</w:t>
            </w:r>
          </w:p>
        </w:tc>
        <w:tc>
          <w:tcPr>
            <w:tcW w:w="3884" w:type="dxa"/>
            <w:gridSpan w:val="2"/>
          </w:tcPr>
          <w:p w14:paraId="01036B5C" w14:textId="77777777" w:rsidR="007B6316" w:rsidRPr="00BC6B28" w:rsidRDefault="007B6316" w:rsidP="00303D62">
            <w:pPr>
              <w:tabs>
                <w:tab w:val="left" w:pos="4111"/>
              </w:tabs>
              <w:spacing w:before="0"/>
              <w:ind w:left="57"/>
              <w:rPr>
                <w:rStyle w:val="Hyperlink"/>
                <w:sz w:val="22"/>
                <w:szCs w:val="22"/>
              </w:rPr>
            </w:pPr>
            <w:r w:rsidRPr="00BC6B28">
              <w:rPr>
                <w:sz w:val="22"/>
                <w:szCs w:val="22"/>
              </w:rPr>
              <w:t>+41 22 730 5853</w:t>
            </w:r>
          </w:p>
        </w:tc>
        <w:tc>
          <w:tcPr>
            <w:tcW w:w="5329" w:type="dxa"/>
            <w:vMerge/>
          </w:tcPr>
          <w:p w14:paraId="7B3A5740" w14:textId="77777777" w:rsidR="007B6316" w:rsidRPr="00BC6B28" w:rsidRDefault="007B6316" w:rsidP="00303D62">
            <w:pPr>
              <w:tabs>
                <w:tab w:val="left" w:pos="4111"/>
              </w:tabs>
              <w:spacing w:before="0"/>
              <w:rPr>
                <w:b/>
                <w:sz w:val="22"/>
                <w:szCs w:val="22"/>
              </w:rPr>
            </w:pPr>
          </w:p>
        </w:tc>
      </w:tr>
      <w:tr w:rsidR="00C34772" w:rsidRPr="00BC6B28" w14:paraId="2D4622F3" w14:textId="77777777" w:rsidTr="00303D62">
        <w:trPr>
          <w:cantSplit/>
        </w:trPr>
        <w:tc>
          <w:tcPr>
            <w:tcW w:w="993" w:type="dxa"/>
          </w:tcPr>
          <w:p w14:paraId="060BE8C8" w14:textId="77777777" w:rsidR="00C34772" w:rsidRPr="00BC6B28" w:rsidRDefault="00C34772" w:rsidP="00303D62">
            <w:pPr>
              <w:tabs>
                <w:tab w:val="left" w:pos="4111"/>
              </w:tabs>
              <w:spacing w:before="10"/>
              <w:ind w:left="57"/>
              <w:rPr>
                <w:b/>
                <w:bCs/>
                <w:sz w:val="22"/>
                <w:szCs w:val="22"/>
              </w:rPr>
            </w:pPr>
            <w:r w:rsidRPr="00BC6B28">
              <w:rPr>
                <w:b/>
                <w:bCs/>
                <w:sz w:val="22"/>
                <w:szCs w:val="22"/>
              </w:rPr>
              <w:t>Correo-e:</w:t>
            </w:r>
          </w:p>
        </w:tc>
        <w:tc>
          <w:tcPr>
            <w:tcW w:w="3884" w:type="dxa"/>
            <w:gridSpan w:val="2"/>
          </w:tcPr>
          <w:p w14:paraId="11EDF69C" w14:textId="0AB6AADE" w:rsidR="00C34772" w:rsidRPr="00BC6B28" w:rsidRDefault="00AF2FF0" w:rsidP="00303D62">
            <w:pPr>
              <w:tabs>
                <w:tab w:val="left" w:pos="4111"/>
              </w:tabs>
              <w:spacing w:before="0"/>
              <w:ind w:left="57"/>
              <w:rPr>
                <w:sz w:val="22"/>
                <w:szCs w:val="22"/>
              </w:rPr>
            </w:pPr>
            <w:hyperlink r:id="rId9" w:history="1">
              <w:r w:rsidR="00C53FE5" w:rsidRPr="00BC6B28">
                <w:rPr>
                  <w:rStyle w:val="Hyperlink"/>
                  <w:rFonts w:cstheme="minorHAnsi"/>
                  <w:sz w:val="22"/>
                  <w:szCs w:val="22"/>
                </w:rPr>
                <w:t>ai5gchallenge@itu.int</w:t>
              </w:r>
            </w:hyperlink>
          </w:p>
        </w:tc>
        <w:tc>
          <w:tcPr>
            <w:tcW w:w="5329" w:type="dxa"/>
          </w:tcPr>
          <w:p w14:paraId="711A69C1" w14:textId="77777777" w:rsidR="00C34772" w:rsidRPr="00BC6B28" w:rsidRDefault="00C34772" w:rsidP="00673C91">
            <w:pPr>
              <w:tabs>
                <w:tab w:val="left" w:pos="4111"/>
              </w:tabs>
              <w:spacing w:before="240"/>
              <w:rPr>
                <w:sz w:val="22"/>
                <w:szCs w:val="22"/>
              </w:rPr>
            </w:pPr>
            <w:r w:rsidRPr="00BC6B28">
              <w:rPr>
                <w:b/>
                <w:sz w:val="22"/>
                <w:szCs w:val="22"/>
              </w:rPr>
              <w:t>Copia</w:t>
            </w:r>
            <w:r w:rsidRPr="00BC6B28">
              <w:rPr>
                <w:sz w:val="22"/>
                <w:szCs w:val="22"/>
              </w:rPr>
              <w:t>:</w:t>
            </w:r>
          </w:p>
          <w:p w14:paraId="145AE512" w14:textId="4D56FA0A" w:rsidR="00C34772" w:rsidRPr="00BC6B28" w:rsidRDefault="00C34772" w:rsidP="00303D62">
            <w:pPr>
              <w:tabs>
                <w:tab w:val="clear" w:pos="794"/>
                <w:tab w:val="clear" w:pos="1191"/>
                <w:tab w:val="clear" w:pos="1588"/>
                <w:tab w:val="clear" w:pos="1985"/>
                <w:tab w:val="left" w:pos="226"/>
                <w:tab w:val="left" w:pos="510"/>
              </w:tabs>
              <w:spacing w:before="0"/>
              <w:ind w:left="226" w:hanging="169"/>
              <w:rPr>
                <w:sz w:val="22"/>
                <w:szCs w:val="22"/>
              </w:rPr>
            </w:pPr>
            <w:r w:rsidRPr="00BC6B28">
              <w:rPr>
                <w:sz w:val="22"/>
                <w:szCs w:val="22"/>
              </w:rPr>
              <w:t>-</w:t>
            </w:r>
            <w:r w:rsidRPr="00BC6B28">
              <w:rPr>
                <w:sz w:val="22"/>
                <w:szCs w:val="22"/>
              </w:rPr>
              <w:tab/>
              <w:t>A</w:t>
            </w:r>
            <w:r w:rsidR="00876165" w:rsidRPr="00BC6B28">
              <w:rPr>
                <w:sz w:val="22"/>
                <w:szCs w:val="22"/>
              </w:rPr>
              <w:t xml:space="preserve"> </w:t>
            </w:r>
            <w:r w:rsidR="00673C91" w:rsidRPr="00BC6B28">
              <w:rPr>
                <w:sz w:val="22"/>
                <w:szCs w:val="22"/>
              </w:rPr>
              <w:t xml:space="preserve">los </w:t>
            </w:r>
            <w:proofErr w:type="gramStart"/>
            <w:r w:rsidR="00673C91" w:rsidRPr="00BC6B28">
              <w:rPr>
                <w:sz w:val="22"/>
                <w:szCs w:val="22"/>
              </w:rPr>
              <w:t>Presidentes</w:t>
            </w:r>
            <w:proofErr w:type="gramEnd"/>
            <w:r w:rsidR="00673C91" w:rsidRPr="00BC6B28">
              <w:rPr>
                <w:sz w:val="22"/>
                <w:szCs w:val="22"/>
              </w:rPr>
              <w:t xml:space="preserve"> y Vicepresidentes de las Comisiones de Estudio y los Grupos Temáticos</w:t>
            </w:r>
            <w:r w:rsidRPr="00BC6B28">
              <w:rPr>
                <w:sz w:val="22"/>
                <w:szCs w:val="22"/>
              </w:rPr>
              <w:t>;</w:t>
            </w:r>
          </w:p>
          <w:p w14:paraId="14B1A387" w14:textId="7DDB2CDC" w:rsidR="00673C91" w:rsidRPr="00BC6B28" w:rsidRDefault="00673C91" w:rsidP="00303D62">
            <w:pPr>
              <w:tabs>
                <w:tab w:val="clear" w:pos="794"/>
                <w:tab w:val="clear" w:pos="1191"/>
                <w:tab w:val="clear" w:pos="1588"/>
                <w:tab w:val="clear" w:pos="1985"/>
                <w:tab w:val="left" w:pos="226"/>
                <w:tab w:val="left" w:pos="510"/>
              </w:tabs>
              <w:spacing w:before="0"/>
              <w:ind w:left="226" w:hanging="169"/>
              <w:rPr>
                <w:sz w:val="22"/>
                <w:szCs w:val="22"/>
              </w:rPr>
            </w:pPr>
            <w:r w:rsidRPr="00BC6B28">
              <w:rPr>
                <w:sz w:val="22"/>
                <w:szCs w:val="22"/>
              </w:rPr>
              <w:t>-</w:t>
            </w:r>
            <w:r w:rsidRPr="00BC6B28">
              <w:rPr>
                <w:sz w:val="22"/>
                <w:szCs w:val="22"/>
              </w:rPr>
              <w:tab/>
              <w:t xml:space="preserve">A la </w:t>
            </w:r>
            <w:proofErr w:type="gramStart"/>
            <w:r w:rsidRPr="00BC6B28">
              <w:rPr>
                <w:sz w:val="22"/>
                <w:szCs w:val="22"/>
              </w:rPr>
              <w:t>Directora</w:t>
            </w:r>
            <w:proofErr w:type="gramEnd"/>
            <w:r w:rsidRPr="00BC6B28">
              <w:rPr>
                <w:sz w:val="22"/>
                <w:szCs w:val="22"/>
              </w:rPr>
              <w:t xml:space="preserve"> de la Oficina de Desarrollo de las Telecomunicaciones</w:t>
            </w:r>
          </w:p>
          <w:p w14:paraId="7E12AB64" w14:textId="77777777" w:rsidR="00C34772" w:rsidRPr="00BC6B28" w:rsidRDefault="00C34772" w:rsidP="00303D62">
            <w:pPr>
              <w:tabs>
                <w:tab w:val="clear" w:pos="794"/>
                <w:tab w:val="clear" w:pos="1191"/>
                <w:tab w:val="clear" w:pos="1588"/>
                <w:tab w:val="clear" w:pos="1985"/>
                <w:tab w:val="left" w:pos="226"/>
                <w:tab w:val="left" w:pos="510"/>
              </w:tabs>
              <w:spacing w:before="0"/>
              <w:ind w:left="226" w:hanging="169"/>
              <w:rPr>
                <w:sz w:val="22"/>
                <w:szCs w:val="22"/>
              </w:rPr>
            </w:pPr>
            <w:r w:rsidRPr="00BC6B28">
              <w:rPr>
                <w:sz w:val="22"/>
                <w:szCs w:val="22"/>
              </w:rPr>
              <w:t>-</w:t>
            </w:r>
            <w:r w:rsidRPr="00BC6B28">
              <w:rPr>
                <w:sz w:val="22"/>
                <w:szCs w:val="22"/>
              </w:rPr>
              <w:tab/>
              <w:t xml:space="preserve">Al </w:t>
            </w:r>
            <w:proofErr w:type="gramStart"/>
            <w:r w:rsidRPr="00BC6B28">
              <w:rPr>
                <w:sz w:val="22"/>
                <w:szCs w:val="22"/>
              </w:rPr>
              <w:t>Director</w:t>
            </w:r>
            <w:proofErr w:type="gramEnd"/>
            <w:r w:rsidRPr="00BC6B28">
              <w:rPr>
                <w:sz w:val="22"/>
                <w:szCs w:val="22"/>
              </w:rPr>
              <w:t xml:space="preserve"> de la Oficina de Radiocomunicaciones</w:t>
            </w:r>
          </w:p>
        </w:tc>
      </w:tr>
      <w:tr w:rsidR="007B6316" w:rsidRPr="00BC6B28" w14:paraId="3235DD43" w14:textId="77777777" w:rsidTr="00DA30ED">
        <w:trPr>
          <w:cantSplit/>
        </w:trPr>
        <w:tc>
          <w:tcPr>
            <w:tcW w:w="993" w:type="dxa"/>
          </w:tcPr>
          <w:p w14:paraId="76B7956C" w14:textId="77777777" w:rsidR="007B6316" w:rsidRPr="00BC6B28" w:rsidRDefault="007B6316" w:rsidP="00673C91">
            <w:pPr>
              <w:tabs>
                <w:tab w:val="left" w:pos="4111"/>
              </w:tabs>
              <w:spacing w:before="240"/>
              <w:ind w:left="57"/>
              <w:rPr>
                <w:b/>
                <w:bCs/>
                <w:sz w:val="22"/>
                <w:szCs w:val="22"/>
              </w:rPr>
            </w:pPr>
            <w:r w:rsidRPr="00BC6B28">
              <w:rPr>
                <w:b/>
                <w:bCs/>
                <w:sz w:val="22"/>
                <w:szCs w:val="22"/>
              </w:rPr>
              <w:t>Asunto:</w:t>
            </w:r>
          </w:p>
        </w:tc>
        <w:tc>
          <w:tcPr>
            <w:tcW w:w="9213" w:type="dxa"/>
            <w:gridSpan w:val="3"/>
          </w:tcPr>
          <w:p w14:paraId="7BEC4592" w14:textId="6C3B4CF1" w:rsidR="007B6316" w:rsidRPr="00BC6B28" w:rsidRDefault="00673C91" w:rsidP="00673C91">
            <w:pPr>
              <w:tabs>
                <w:tab w:val="left" w:pos="4111"/>
              </w:tabs>
              <w:spacing w:before="240"/>
              <w:rPr>
                <w:b/>
                <w:sz w:val="22"/>
                <w:szCs w:val="22"/>
              </w:rPr>
            </w:pPr>
            <w:bookmarkStart w:id="1" w:name="_Hlk77166794"/>
            <w:r w:rsidRPr="00BC6B28">
              <w:rPr>
                <w:rFonts w:cstheme="minorHAnsi"/>
                <w:b/>
                <w:bCs/>
                <w:sz w:val="22"/>
                <w:szCs w:val="22"/>
                <w:lang w:val="es-ES"/>
              </w:rPr>
              <w:t>Convocatoria a la participación de estudiantes y profesionales en la edición de 2021 del Concurso de la UIT sobre inteligencia artificial y aprendizaje automático en el ámbito de la 5G</w:t>
            </w:r>
            <w:bookmarkEnd w:id="1"/>
          </w:p>
        </w:tc>
      </w:tr>
    </w:tbl>
    <w:p w14:paraId="57762A7B" w14:textId="6135ABE8" w:rsidR="00C34772" w:rsidRPr="00BC6B28" w:rsidRDefault="00C34772" w:rsidP="007B6316">
      <w:pPr>
        <w:spacing w:before="320"/>
        <w:rPr>
          <w:sz w:val="22"/>
          <w:szCs w:val="22"/>
        </w:rPr>
      </w:pPr>
      <w:bookmarkStart w:id="2" w:name="StartTyping_S"/>
      <w:bookmarkStart w:id="3" w:name="suitetext"/>
      <w:bookmarkStart w:id="4" w:name="text"/>
      <w:bookmarkEnd w:id="2"/>
      <w:bookmarkEnd w:id="3"/>
      <w:bookmarkEnd w:id="4"/>
      <w:r w:rsidRPr="00BC6B28">
        <w:rPr>
          <w:sz w:val="22"/>
          <w:szCs w:val="22"/>
        </w:rPr>
        <w:t>Muy Señora mía/Muy Señor mío</w:t>
      </w:r>
      <w:r w:rsidR="00BC6B28">
        <w:rPr>
          <w:sz w:val="22"/>
          <w:szCs w:val="22"/>
        </w:rPr>
        <w:t>,</w:t>
      </w:r>
    </w:p>
    <w:p w14:paraId="499CCFC4" w14:textId="5BF84A5C" w:rsidR="00673C91" w:rsidRPr="00BC6B28" w:rsidRDefault="00673C91" w:rsidP="00673C91">
      <w:pPr>
        <w:rPr>
          <w:sz w:val="22"/>
          <w:szCs w:val="22"/>
        </w:rPr>
      </w:pPr>
      <w:r w:rsidRPr="00BC6B28">
        <w:rPr>
          <w:sz w:val="22"/>
          <w:szCs w:val="22"/>
        </w:rPr>
        <w:t>1</w:t>
      </w:r>
      <w:r w:rsidRPr="00BC6B28">
        <w:rPr>
          <w:sz w:val="22"/>
          <w:szCs w:val="22"/>
        </w:rPr>
        <w:tab/>
      </w:r>
      <w:proofErr w:type="gramStart"/>
      <w:r w:rsidRPr="00BC6B28">
        <w:rPr>
          <w:sz w:val="22"/>
          <w:szCs w:val="22"/>
        </w:rPr>
        <w:t>Me</w:t>
      </w:r>
      <w:proofErr w:type="gramEnd"/>
      <w:r w:rsidRPr="00BC6B28">
        <w:rPr>
          <w:sz w:val="22"/>
          <w:szCs w:val="22"/>
        </w:rPr>
        <w:t xml:space="preserve"> complace invitarle a participar en la edición de 2021 del Concurso de la UIT sobre inteligencia artificial y aprendizaje automático en el ámbito de la 5G, cuya celebración se extenderá hasta finales de año. </w:t>
      </w:r>
    </w:p>
    <w:p w14:paraId="1FDB8080" w14:textId="5F499691" w:rsidR="00673C91" w:rsidRPr="00BC6B28" w:rsidRDefault="00673C91" w:rsidP="00673C91">
      <w:pPr>
        <w:rPr>
          <w:sz w:val="22"/>
          <w:szCs w:val="22"/>
        </w:rPr>
      </w:pPr>
      <w:r w:rsidRPr="00BC6B28">
        <w:rPr>
          <w:sz w:val="22"/>
          <w:szCs w:val="22"/>
        </w:rPr>
        <w:t>2</w:t>
      </w:r>
      <w:r w:rsidRPr="00BC6B28">
        <w:rPr>
          <w:sz w:val="22"/>
          <w:szCs w:val="22"/>
        </w:rPr>
        <w:tab/>
      </w:r>
      <w:proofErr w:type="gramStart"/>
      <w:r w:rsidRPr="00BC6B28">
        <w:rPr>
          <w:sz w:val="22"/>
          <w:szCs w:val="22"/>
        </w:rPr>
        <w:t>El</w:t>
      </w:r>
      <w:proofErr w:type="gramEnd"/>
      <w:r w:rsidRPr="00BC6B28">
        <w:rPr>
          <w:sz w:val="22"/>
          <w:szCs w:val="22"/>
        </w:rPr>
        <w:t xml:space="preserve"> Concurso de la UIT sobre inteligencia artificial y aprendizaje automático en el ámbito de la 5G reúne a estudiantes y profesionales afines de todo el mundo para resolver problemas de red reales gracias a la inteligencia artificial (IA) y el aprendizaje automático (ML). El Concurso permite a los participantes ponerse en contacto con nuevos asociados de la industria y el mundo académico, aplicar las herramientas más modernas a nuevos recursos de datos y vincular las soluciones a las normas de la UIT. Esas soluciones pueden consultarse en los diversos repositorios del </w:t>
      </w:r>
      <w:proofErr w:type="spellStart"/>
      <w:r w:rsidRPr="00BC6B28">
        <w:rPr>
          <w:sz w:val="22"/>
          <w:szCs w:val="22"/>
        </w:rPr>
        <w:t>Challenge</w:t>
      </w:r>
      <w:proofErr w:type="spellEnd"/>
      <w:r w:rsidRPr="00BC6B28">
        <w:rPr>
          <w:sz w:val="22"/>
          <w:szCs w:val="22"/>
        </w:rPr>
        <w:t xml:space="preserve"> GitHub.</w:t>
      </w:r>
    </w:p>
    <w:p w14:paraId="42DD705D" w14:textId="24BBD31B" w:rsidR="00673C91" w:rsidRPr="00BC6B28" w:rsidRDefault="00673C91" w:rsidP="00673C91">
      <w:pPr>
        <w:rPr>
          <w:sz w:val="22"/>
          <w:szCs w:val="22"/>
        </w:rPr>
      </w:pPr>
      <w:r w:rsidRPr="00BC6B28">
        <w:rPr>
          <w:sz w:val="22"/>
          <w:szCs w:val="22"/>
        </w:rPr>
        <w:t>3</w:t>
      </w:r>
      <w:r w:rsidRPr="00BC6B28">
        <w:rPr>
          <w:sz w:val="22"/>
          <w:szCs w:val="22"/>
        </w:rPr>
        <w:tab/>
      </w:r>
      <w:proofErr w:type="gramStart"/>
      <w:r w:rsidRPr="00BC6B28">
        <w:rPr>
          <w:sz w:val="22"/>
          <w:szCs w:val="22"/>
        </w:rPr>
        <w:t>La</w:t>
      </w:r>
      <w:proofErr w:type="gramEnd"/>
      <w:r w:rsidRPr="00BC6B28">
        <w:rPr>
          <w:sz w:val="22"/>
          <w:szCs w:val="22"/>
        </w:rPr>
        <w:t xml:space="preserve"> primera edición del Concurso en 2020, patrocinado por la Autoridad de Reglamentación de las Telecomunicaciones de los EAU (patrocinador de oro), Cisco y ZTE (patrocinadores de bronce), contó con la participación de más de 1 300 estudiantes y profesionales de 62 países, que compitieron por los premios y el reconocimiento mundial. Los mejores trabajos revisados por pares del Concurso se publicarán en la edición especial de julio de 2021 de la revista de la UIT, dedicada al tema "Tecnologías futuras y en evolución" (</w:t>
      </w:r>
      <w:hyperlink r:id="rId10" w:history="1">
        <w:r w:rsidRPr="00BC6B28">
          <w:rPr>
            <w:rStyle w:val="Hyperlink"/>
            <w:sz w:val="22"/>
            <w:szCs w:val="22"/>
          </w:rPr>
          <w:t>https://www.itu.int/en/journal/j-fet/Pages/default.aspx</w:t>
        </w:r>
      </w:hyperlink>
      <w:r w:rsidRPr="00BC6B28">
        <w:rPr>
          <w:sz w:val="22"/>
          <w:szCs w:val="22"/>
        </w:rPr>
        <w:t>). En diciembre de 2020 la revista Actualidades de la UIT, publicada en seis idiomas, dedicó una edición especial de 91 páginas al Concurso (</w:t>
      </w:r>
      <w:hyperlink r:id="rId11" w:history="1">
        <w:r w:rsidRPr="00BC6B28">
          <w:rPr>
            <w:rStyle w:val="Hyperlink"/>
            <w:sz w:val="22"/>
            <w:szCs w:val="22"/>
          </w:rPr>
          <w:t>https://www.itu.int/en/itunews</w:t>
        </w:r>
      </w:hyperlink>
      <w:r w:rsidRPr="00BC6B28">
        <w:rPr>
          <w:sz w:val="22"/>
          <w:szCs w:val="22"/>
        </w:rPr>
        <w:t>).</w:t>
      </w:r>
    </w:p>
    <w:p w14:paraId="442C6CA9" w14:textId="77777777" w:rsidR="00673C91" w:rsidRPr="00BC6B28" w:rsidRDefault="00673C91" w:rsidP="00673C91">
      <w:pPr>
        <w:rPr>
          <w:sz w:val="22"/>
          <w:szCs w:val="22"/>
        </w:rPr>
      </w:pPr>
      <w:r w:rsidRPr="00BC6B28">
        <w:rPr>
          <w:sz w:val="22"/>
          <w:szCs w:val="22"/>
        </w:rPr>
        <w:t>4</w:t>
      </w:r>
      <w:r w:rsidRPr="00BC6B28">
        <w:rPr>
          <w:sz w:val="22"/>
          <w:szCs w:val="22"/>
        </w:rPr>
        <w:tab/>
      </w:r>
      <w:proofErr w:type="gramStart"/>
      <w:r w:rsidRPr="00BC6B28">
        <w:rPr>
          <w:sz w:val="22"/>
          <w:szCs w:val="22"/>
        </w:rPr>
        <w:t>La</w:t>
      </w:r>
      <w:proofErr w:type="gramEnd"/>
      <w:r w:rsidRPr="00BC6B28">
        <w:rPr>
          <w:sz w:val="22"/>
          <w:szCs w:val="22"/>
        </w:rPr>
        <w:t xml:space="preserve"> edición de 2021 del Concurso volverá a basarse en la labor de normalización de la UIT en el ámbito de la inteligencia artificial y el aprendizaje automático mediante la utilización del conjunto de herramientas de la UIT sobre IA/ML en las redes 5G con el objetivo de elaborar soluciones de extremo a extremo que permitan aprovechar todas las capacidades de los modelos de IA/ML en las redes de comunicaciones. Los equipos tendrán que habilitar, crear, formar y desplegar modelos de aprendizaje automático que permitan a los participantes obtener experiencia práctica en la aplicación de la IA/ML en ámbitos pertinentes para la 5G.</w:t>
      </w:r>
    </w:p>
    <w:p w14:paraId="7751772B" w14:textId="382C5040" w:rsidR="00673C91" w:rsidRPr="00BC6B28" w:rsidRDefault="00673C91" w:rsidP="00673C91">
      <w:pPr>
        <w:rPr>
          <w:sz w:val="22"/>
          <w:szCs w:val="22"/>
        </w:rPr>
      </w:pPr>
      <w:r w:rsidRPr="00BC6B28">
        <w:rPr>
          <w:sz w:val="22"/>
          <w:szCs w:val="22"/>
        </w:rPr>
        <w:t>5</w:t>
      </w:r>
      <w:r w:rsidRPr="00BC6B28">
        <w:rPr>
          <w:sz w:val="22"/>
          <w:szCs w:val="22"/>
        </w:rPr>
        <w:tab/>
        <w:t xml:space="preserve">queremos dar las gracias al patrocinador del Concurso de este año, </w:t>
      </w:r>
      <w:hyperlink r:id="rId12" w:history="1">
        <w:r w:rsidRPr="00BC6B28">
          <w:rPr>
            <w:rStyle w:val="Hyperlink"/>
            <w:sz w:val="22"/>
            <w:szCs w:val="22"/>
          </w:rPr>
          <w:t>Xilinx</w:t>
        </w:r>
      </w:hyperlink>
      <w:r w:rsidRPr="00BC6B28">
        <w:rPr>
          <w:sz w:val="22"/>
          <w:szCs w:val="22"/>
        </w:rPr>
        <w:t>, y a las entidades que han formulado los 16 apasionantes enunciados de problemas: </w:t>
      </w:r>
      <w:hyperlink r:id="rId13" w:history="1">
        <w:r w:rsidRPr="00BC6B28">
          <w:rPr>
            <w:rStyle w:val="Hyperlink"/>
            <w:sz w:val="22"/>
            <w:szCs w:val="22"/>
          </w:rPr>
          <w:t xml:space="preserve">Barcelona Neural </w:t>
        </w:r>
        <w:proofErr w:type="spellStart"/>
        <w:r w:rsidRPr="00BC6B28">
          <w:rPr>
            <w:rStyle w:val="Hyperlink"/>
            <w:sz w:val="22"/>
            <w:szCs w:val="22"/>
          </w:rPr>
          <w:t>Networking</w:t>
        </w:r>
        <w:proofErr w:type="spellEnd"/>
        <w:r w:rsidRPr="00BC6B28">
          <w:rPr>
            <w:rStyle w:val="Hyperlink"/>
            <w:sz w:val="22"/>
            <w:szCs w:val="22"/>
          </w:rPr>
          <w:t xml:space="preserve"> Center</w:t>
        </w:r>
      </w:hyperlink>
      <w:r w:rsidRPr="00BC6B28">
        <w:rPr>
          <w:sz w:val="22"/>
          <w:szCs w:val="22"/>
        </w:rPr>
        <w:t xml:space="preserve">, </w:t>
      </w:r>
      <w:hyperlink r:id="rId14" w:history="1">
        <w:r w:rsidRPr="00BC6B28">
          <w:rPr>
            <w:rStyle w:val="Hyperlink"/>
            <w:sz w:val="22"/>
            <w:szCs w:val="22"/>
          </w:rPr>
          <w:t>Instituto Nacional de Normas y Tecnología</w:t>
        </w:r>
        <w:r w:rsidRPr="00BC6B28">
          <w:rPr>
            <w:sz w:val="22"/>
            <w:szCs w:val="22"/>
          </w:rPr>
          <w:t xml:space="preserve"> (NIST)</w:t>
        </w:r>
      </w:hyperlink>
      <w:r w:rsidRPr="00BC6B28">
        <w:rPr>
          <w:sz w:val="22"/>
          <w:szCs w:val="22"/>
        </w:rPr>
        <w:t>, </w:t>
      </w:r>
      <w:hyperlink r:id="rId15" w:history="1">
        <w:r w:rsidRPr="00BC6B28">
          <w:rPr>
            <w:rStyle w:val="Hyperlink"/>
            <w:sz w:val="22"/>
            <w:szCs w:val="22"/>
          </w:rPr>
          <w:t>Universidad Pompeu Fabra</w:t>
        </w:r>
      </w:hyperlink>
      <w:r w:rsidRPr="00BC6B28">
        <w:rPr>
          <w:sz w:val="22"/>
          <w:szCs w:val="22"/>
        </w:rPr>
        <w:t>, </w:t>
      </w:r>
      <w:hyperlink r:id="rId16" w:history="1">
        <w:r w:rsidRPr="00BC6B28">
          <w:rPr>
            <w:rStyle w:val="Hyperlink"/>
            <w:sz w:val="22"/>
            <w:szCs w:val="22"/>
          </w:rPr>
          <w:t xml:space="preserve">China </w:t>
        </w:r>
        <w:proofErr w:type="spellStart"/>
        <w:r w:rsidRPr="00BC6B28">
          <w:rPr>
            <w:rStyle w:val="Hyperlink"/>
            <w:sz w:val="22"/>
            <w:szCs w:val="22"/>
          </w:rPr>
          <w:t>Unicom</w:t>
        </w:r>
        <w:proofErr w:type="spellEnd"/>
      </w:hyperlink>
      <w:r w:rsidRPr="00BC6B28">
        <w:rPr>
          <w:sz w:val="22"/>
          <w:szCs w:val="22"/>
        </w:rPr>
        <w:t>, </w:t>
      </w:r>
      <w:hyperlink r:id="rId17" w:history="1">
        <w:r w:rsidRPr="00BC6B28">
          <w:rPr>
            <w:rStyle w:val="Hyperlink"/>
            <w:sz w:val="22"/>
            <w:szCs w:val="22"/>
          </w:rPr>
          <w:t>Universidad Estatal de Carolina del Norte</w:t>
        </w:r>
      </w:hyperlink>
      <w:r w:rsidRPr="00BC6B28">
        <w:rPr>
          <w:sz w:val="22"/>
          <w:szCs w:val="22"/>
        </w:rPr>
        <w:t> (NCSU), </w:t>
      </w:r>
      <w:hyperlink r:id="rId18" w:history="1">
        <w:r w:rsidRPr="00BC6B28">
          <w:rPr>
            <w:rStyle w:val="Hyperlink"/>
            <w:sz w:val="22"/>
            <w:szCs w:val="22"/>
          </w:rPr>
          <w:t>Universidad Federal de Pará</w:t>
        </w:r>
      </w:hyperlink>
      <w:r w:rsidRPr="00BC6B28">
        <w:rPr>
          <w:sz w:val="22"/>
          <w:szCs w:val="22"/>
        </w:rPr>
        <w:t> (UFPA), </w:t>
      </w:r>
      <w:hyperlink r:id="rId19" w:history="1">
        <w:r w:rsidRPr="00BC6B28">
          <w:rPr>
            <w:rStyle w:val="Hyperlink"/>
            <w:sz w:val="22"/>
            <w:szCs w:val="22"/>
          </w:rPr>
          <w:t>Xilinx</w:t>
        </w:r>
      </w:hyperlink>
      <w:r w:rsidRPr="00BC6B28">
        <w:rPr>
          <w:sz w:val="22"/>
          <w:szCs w:val="22"/>
        </w:rPr>
        <w:t>, </w:t>
      </w:r>
      <w:hyperlink r:id="rId20" w:history="1">
        <w:r w:rsidRPr="00BC6B28">
          <w:rPr>
            <w:rStyle w:val="Hyperlink"/>
            <w:sz w:val="22"/>
            <w:szCs w:val="22"/>
          </w:rPr>
          <w:t xml:space="preserve">Universidad de </w:t>
        </w:r>
        <w:r w:rsidRPr="00BC6B28">
          <w:rPr>
            <w:rStyle w:val="Hyperlink"/>
            <w:sz w:val="22"/>
            <w:szCs w:val="22"/>
          </w:rPr>
          <w:lastRenderedPageBreak/>
          <w:t>Alabama</w:t>
        </w:r>
      </w:hyperlink>
      <w:r w:rsidRPr="00BC6B28">
        <w:rPr>
          <w:sz w:val="22"/>
          <w:szCs w:val="22"/>
        </w:rPr>
        <w:t>, </w:t>
      </w:r>
      <w:hyperlink r:id="rId21" w:history="1">
        <w:r w:rsidRPr="00BC6B28">
          <w:rPr>
            <w:rStyle w:val="Hyperlink"/>
            <w:sz w:val="22"/>
            <w:szCs w:val="22"/>
          </w:rPr>
          <w:t>Universidad Estatal de Telecomunicaciones de Saint Petersburg</w:t>
        </w:r>
      </w:hyperlink>
      <w:r w:rsidRPr="00BC6B28">
        <w:rPr>
          <w:sz w:val="22"/>
          <w:szCs w:val="22"/>
        </w:rPr>
        <w:t> (</w:t>
      </w:r>
      <w:proofErr w:type="spellStart"/>
      <w:r w:rsidRPr="00BC6B28">
        <w:rPr>
          <w:sz w:val="22"/>
          <w:szCs w:val="22"/>
        </w:rPr>
        <w:t>SPbSUT</w:t>
      </w:r>
      <w:proofErr w:type="spellEnd"/>
      <w:r w:rsidRPr="00BC6B28">
        <w:rPr>
          <w:sz w:val="22"/>
          <w:szCs w:val="22"/>
        </w:rPr>
        <w:t>), </w:t>
      </w:r>
      <w:hyperlink r:id="rId22" w:history="1">
        <w:r w:rsidRPr="00BC6B28">
          <w:rPr>
            <w:rStyle w:val="Hyperlink"/>
            <w:sz w:val="22"/>
            <w:szCs w:val="22"/>
          </w:rPr>
          <w:t xml:space="preserve">ZTE </w:t>
        </w:r>
        <w:proofErr w:type="spellStart"/>
        <w:r w:rsidRPr="00BC6B28">
          <w:rPr>
            <w:rStyle w:val="Hyperlink"/>
            <w:sz w:val="22"/>
            <w:szCs w:val="22"/>
          </w:rPr>
          <w:t>Corporation</w:t>
        </w:r>
        <w:proofErr w:type="spellEnd"/>
      </w:hyperlink>
      <w:r w:rsidRPr="00BC6B28">
        <w:rPr>
          <w:sz w:val="22"/>
          <w:szCs w:val="22"/>
        </w:rPr>
        <w:t>, </w:t>
      </w:r>
      <w:proofErr w:type="spellStart"/>
      <w:r w:rsidR="002B6E5B" w:rsidRPr="00BC6B28">
        <w:rPr>
          <w:sz w:val="22"/>
          <w:szCs w:val="22"/>
        </w:rPr>
        <w:fldChar w:fldCharType="begin"/>
      </w:r>
      <w:r w:rsidR="002B6E5B" w:rsidRPr="00BC6B28">
        <w:rPr>
          <w:sz w:val="22"/>
          <w:szCs w:val="22"/>
        </w:rPr>
        <w:instrText xml:space="preserve"> HYPERLINK "https://www.linkedin.com/company/turkcell/" </w:instrText>
      </w:r>
      <w:r w:rsidR="002B6E5B" w:rsidRPr="00BC6B28">
        <w:rPr>
          <w:sz w:val="22"/>
          <w:szCs w:val="22"/>
        </w:rPr>
        <w:fldChar w:fldCharType="separate"/>
      </w:r>
      <w:r w:rsidRPr="00BC6B28">
        <w:rPr>
          <w:rStyle w:val="Hyperlink"/>
          <w:sz w:val="22"/>
          <w:szCs w:val="22"/>
        </w:rPr>
        <w:t>Turkcell</w:t>
      </w:r>
      <w:proofErr w:type="spellEnd"/>
      <w:r w:rsidR="002B6E5B" w:rsidRPr="00BC6B28">
        <w:rPr>
          <w:rStyle w:val="Hyperlink"/>
          <w:sz w:val="22"/>
          <w:szCs w:val="22"/>
        </w:rPr>
        <w:fldChar w:fldCharType="end"/>
      </w:r>
      <w:r w:rsidRPr="00BC6B28">
        <w:rPr>
          <w:sz w:val="22"/>
          <w:szCs w:val="22"/>
        </w:rPr>
        <w:t>, </w:t>
      </w:r>
      <w:hyperlink r:id="rId23" w:history="1">
        <w:r w:rsidRPr="00BC6B28">
          <w:rPr>
            <w:rStyle w:val="Hyperlink"/>
            <w:sz w:val="22"/>
            <w:szCs w:val="22"/>
          </w:rPr>
          <w:t>China Mobile</w:t>
        </w:r>
      </w:hyperlink>
      <w:r w:rsidRPr="00BC6B28">
        <w:rPr>
          <w:sz w:val="22"/>
          <w:szCs w:val="22"/>
        </w:rPr>
        <w:t xml:space="preserve">, </w:t>
      </w:r>
      <w:hyperlink r:id="rId24" w:history="1">
        <w:r w:rsidRPr="00BC6B28">
          <w:rPr>
            <w:rStyle w:val="Hyperlink"/>
            <w:sz w:val="22"/>
            <w:szCs w:val="22"/>
          </w:rPr>
          <w:t>Grupo Temático de la UIT sobre redes autónomas</w:t>
        </w:r>
        <w:r w:rsidRPr="00BC6B28">
          <w:rPr>
            <w:sz w:val="22"/>
            <w:szCs w:val="22"/>
          </w:rPr>
          <w:t xml:space="preserve"> (FG-AN)</w:t>
        </w:r>
      </w:hyperlink>
      <w:r w:rsidRPr="00BC6B28">
        <w:rPr>
          <w:sz w:val="22"/>
          <w:szCs w:val="22"/>
        </w:rPr>
        <w:t xml:space="preserve">, </w:t>
      </w:r>
      <w:hyperlink r:id="rId25" w:history="1">
        <w:r w:rsidRPr="00BC6B28">
          <w:rPr>
            <w:rStyle w:val="Hyperlink"/>
            <w:sz w:val="22"/>
            <w:szCs w:val="22"/>
          </w:rPr>
          <w:t>RISING</w:t>
        </w:r>
      </w:hyperlink>
      <w:r w:rsidRPr="00BC6B28">
        <w:rPr>
          <w:sz w:val="22"/>
          <w:szCs w:val="22"/>
        </w:rPr>
        <w:t xml:space="preserve"> (Japón) y la </w:t>
      </w:r>
      <w:hyperlink r:id="rId26" w:history="1">
        <w:r w:rsidRPr="00BC6B28">
          <w:rPr>
            <w:rStyle w:val="Hyperlink"/>
            <w:sz w:val="22"/>
            <w:szCs w:val="22"/>
          </w:rPr>
          <w:t xml:space="preserve">KDDI </w:t>
        </w:r>
        <w:proofErr w:type="spellStart"/>
        <w:r w:rsidRPr="00BC6B28">
          <w:rPr>
            <w:rStyle w:val="Hyperlink"/>
            <w:sz w:val="22"/>
            <w:szCs w:val="22"/>
          </w:rPr>
          <w:t>Corporation</w:t>
        </w:r>
        <w:proofErr w:type="spellEnd"/>
      </w:hyperlink>
      <w:r w:rsidRPr="00BC6B28">
        <w:rPr>
          <w:sz w:val="22"/>
          <w:szCs w:val="22"/>
        </w:rPr>
        <w:t xml:space="preserve">. Queremos también dar las gracias a la AIIA (Alianza Industrial de </w:t>
      </w:r>
      <w:proofErr w:type="spellStart"/>
      <w:r w:rsidRPr="00BC6B28">
        <w:rPr>
          <w:sz w:val="22"/>
          <w:szCs w:val="22"/>
        </w:rPr>
        <w:t>Inteligneci</w:t>
      </w:r>
      <w:r w:rsidR="00C53FE5" w:rsidRPr="00BC6B28">
        <w:rPr>
          <w:sz w:val="22"/>
          <w:szCs w:val="22"/>
        </w:rPr>
        <w:t>a</w:t>
      </w:r>
      <w:proofErr w:type="spellEnd"/>
      <w:r w:rsidRPr="00BC6B28">
        <w:rPr>
          <w:sz w:val="22"/>
          <w:szCs w:val="22"/>
        </w:rPr>
        <w:t xml:space="preserve"> Artificial) de China por facilitar el software frontal para la administración del Concurso.</w:t>
      </w:r>
    </w:p>
    <w:p w14:paraId="0B559C6B" w14:textId="77777777" w:rsidR="00673C91" w:rsidRPr="00BC6B28" w:rsidRDefault="00673C91" w:rsidP="00673C91">
      <w:pPr>
        <w:rPr>
          <w:sz w:val="22"/>
          <w:szCs w:val="22"/>
        </w:rPr>
      </w:pPr>
      <w:r w:rsidRPr="00BC6B28">
        <w:rPr>
          <w:sz w:val="22"/>
          <w:szCs w:val="22"/>
        </w:rPr>
        <w:t>6</w:t>
      </w:r>
      <w:r w:rsidRPr="00BC6B28">
        <w:rPr>
          <w:sz w:val="22"/>
          <w:szCs w:val="22"/>
        </w:rPr>
        <w:tab/>
      </w:r>
      <w:proofErr w:type="gramStart"/>
      <w:r w:rsidRPr="00BC6B28">
        <w:rPr>
          <w:sz w:val="22"/>
          <w:szCs w:val="22"/>
        </w:rPr>
        <w:t>Los</w:t>
      </w:r>
      <w:proofErr w:type="gramEnd"/>
      <w:r w:rsidRPr="00BC6B28">
        <w:rPr>
          <w:sz w:val="22"/>
          <w:szCs w:val="22"/>
        </w:rPr>
        <w:t xml:space="preserve"> enunciados de los problemas en los que trabajarán los participantes se dividirán en tres líneas técnicas:</w:t>
      </w:r>
    </w:p>
    <w:p w14:paraId="6E5E68A5" w14:textId="16CE8CC0" w:rsidR="00673C91" w:rsidRPr="00BC6B28" w:rsidRDefault="00673C91" w:rsidP="00673C91">
      <w:pPr>
        <w:pStyle w:val="enumlev1"/>
        <w:rPr>
          <w:sz w:val="22"/>
          <w:szCs w:val="22"/>
        </w:rPr>
      </w:pPr>
      <w:r w:rsidRPr="00BC6B28">
        <w:rPr>
          <w:sz w:val="22"/>
          <w:szCs w:val="22"/>
        </w:rPr>
        <w:t>–</w:t>
      </w:r>
      <w:r w:rsidRPr="00BC6B28">
        <w:rPr>
          <w:sz w:val="22"/>
          <w:szCs w:val="22"/>
        </w:rPr>
        <w:tab/>
        <w:t>Línea de red</w:t>
      </w:r>
    </w:p>
    <w:p w14:paraId="36E16F7D" w14:textId="7D19E76B" w:rsidR="00673C91" w:rsidRPr="00BC6B28" w:rsidRDefault="00673C91" w:rsidP="00673C91">
      <w:pPr>
        <w:pStyle w:val="enumlev1"/>
        <w:rPr>
          <w:sz w:val="22"/>
          <w:szCs w:val="22"/>
        </w:rPr>
      </w:pPr>
      <w:r w:rsidRPr="00BC6B28">
        <w:rPr>
          <w:sz w:val="22"/>
          <w:szCs w:val="22"/>
        </w:rPr>
        <w:t>–</w:t>
      </w:r>
      <w:r w:rsidRPr="00BC6B28">
        <w:rPr>
          <w:sz w:val="22"/>
          <w:szCs w:val="22"/>
        </w:rPr>
        <w:tab/>
        <w:t>Línea de prueba de concepto</w:t>
      </w:r>
    </w:p>
    <w:p w14:paraId="017ED778" w14:textId="72BCD223" w:rsidR="00673C91" w:rsidRPr="00BC6B28" w:rsidRDefault="00673C91" w:rsidP="00673C91">
      <w:pPr>
        <w:pStyle w:val="enumlev1"/>
        <w:rPr>
          <w:sz w:val="22"/>
          <w:szCs w:val="22"/>
        </w:rPr>
      </w:pPr>
      <w:r w:rsidRPr="00BC6B28">
        <w:rPr>
          <w:sz w:val="22"/>
          <w:szCs w:val="22"/>
        </w:rPr>
        <w:t>–</w:t>
      </w:r>
      <w:r w:rsidRPr="00BC6B28">
        <w:rPr>
          <w:sz w:val="22"/>
          <w:szCs w:val="22"/>
        </w:rPr>
        <w:tab/>
        <w:t>Línea vertical</w:t>
      </w:r>
    </w:p>
    <w:p w14:paraId="7A1CCDE3" w14:textId="4E9AB05C" w:rsidR="00673C91" w:rsidRPr="00BC6B28" w:rsidRDefault="00673C91" w:rsidP="00673C91">
      <w:pPr>
        <w:rPr>
          <w:sz w:val="22"/>
          <w:szCs w:val="22"/>
        </w:rPr>
      </w:pPr>
      <w:r w:rsidRPr="00BC6B28">
        <w:rPr>
          <w:sz w:val="22"/>
          <w:szCs w:val="22"/>
        </w:rPr>
        <w:t>7</w:t>
      </w:r>
      <w:r w:rsidRPr="00BC6B28">
        <w:rPr>
          <w:sz w:val="22"/>
          <w:szCs w:val="22"/>
        </w:rPr>
        <w:tab/>
      </w:r>
      <w:proofErr w:type="gramStart"/>
      <w:r w:rsidRPr="00BC6B28">
        <w:rPr>
          <w:sz w:val="22"/>
          <w:szCs w:val="22"/>
        </w:rPr>
        <w:t>Entre</w:t>
      </w:r>
      <w:proofErr w:type="gramEnd"/>
      <w:r w:rsidRPr="00BC6B28">
        <w:rPr>
          <w:sz w:val="22"/>
          <w:szCs w:val="22"/>
        </w:rPr>
        <w:t xml:space="preserve"> otros premios, se concederán 5 000 CHF al ganador, 3 000 CHF al segundo puesto, 2 000 CHF al tercer puesto, becas, un puesto de investigador invitado y diversos certificados.</w:t>
      </w:r>
    </w:p>
    <w:p w14:paraId="3E137F9E" w14:textId="77777777" w:rsidR="00673C91" w:rsidRPr="00BC6B28" w:rsidRDefault="00673C91" w:rsidP="00673C91">
      <w:pPr>
        <w:rPr>
          <w:sz w:val="22"/>
          <w:szCs w:val="22"/>
        </w:rPr>
      </w:pPr>
      <w:r w:rsidRPr="00BC6B28">
        <w:rPr>
          <w:sz w:val="22"/>
          <w:szCs w:val="22"/>
        </w:rPr>
        <w:t>8</w:t>
      </w:r>
      <w:r w:rsidRPr="00BC6B28">
        <w:rPr>
          <w:sz w:val="22"/>
          <w:szCs w:val="22"/>
        </w:rPr>
        <w:tab/>
      </w:r>
      <w:proofErr w:type="gramStart"/>
      <w:r w:rsidRPr="00BC6B28">
        <w:rPr>
          <w:sz w:val="22"/>
          <w:szCs w:val="22"/>
        </w:rPr>
        <w:t>La</w:t>
      </w:r>
      <w:proofErr w:type="gramEnd"/>
      <w:r w:rsidRPr="00BC6B28">
        <w:rPr>
          <w:sz w:val="22"/>
          <w:szCs w:val="22"/>
        </w:rPr>
        <w:t xml:space="preserve"> participación en el Concurso es gratuita y está abierta a todos los interesados, que podrán inscribirse y participar en el Concurso en la dirección </w:t>
      </w:r>
      <w:hyperlink r:id="rId27" w:history="1">
        <w:r w:rsidRPr="00BC6B28">
          <w:rPr>
            <w:rStyle w:val="Hyperlink"/>
            <w:sz w:val="22"/>
            <w:szCs w:val="22"/>
          </w:rPr>
          <w:t>https://aiforgood.itu.int/ai-ml-in-5g-challenge/</w:t>
        </w:r>
      </w:hyperlink>
      <w:r w:rsidRPr="00BC6B28">
        <w:rPr>
          <w:sz w:val="22"/>
          <w:szCs w:val="22"/>
        </w:rPr>
        <w:t>. La inscripción está abierta hasta el 31 de agosto de 2021. Las soluciones deberán presentarse a finales de septiembre/principios de octubre.</w:t>
      </w:r>
    </w:p>
    <w:p w14:paraId="0D13A30C" w14:textId="77777777" w:rsidR="00673C91" w:rsidRPr="00BC6B28" w:rsidRDefault="00673C91" w:rsidP="00673C91">
      <w:pPr>
        <w:rPr>
          <w:sz w:val="22"/>
          <w:szCs w:val="22"/>
        </w:rPr>
      </w:pPr>
      <w:r w:rsidRPr="00BC6B28">
        <w:rPr>
          <w:sz w:val="22"/>
          <w:szCs w:val="22"/>
        </w:rPr>
        <w:t>9</w:t>
      </w:r>
      <w:r w:rsidRPr="00BC6B28">
        <w:rPr>
          <w:sz w:val="22"/>
          <w:szCs w:val="22"/>
        </w:rPr>
        <w:tab/>
      </w:r>
      <w:proofErr w:type="gramStart"/>
      <w:r w:rsidRPr="00BC6B28">
        <w:rPr>
          <w:sz w:val="22"/>
          <w:szCs w:val="22"/>
        </w:rPr>
        <w:t>A</w:t>
      </w:r>
      <w:proofErr w:type="gramEnd"/>
      <w:r w:rsidRPr="00BC6B28">
        <w:rPr>
          <w:sz w:val="22"/>
          <w:szCs w:val="22"/>
        </w:rPr>
        <w:t xml:space="preserve"> lo largo del año se celebrarán seminarios web en paralelo al Concurso, que culminará con la Gran Final del Concurso y la Ceremonia de Premios en diciembre de 2021, donde se presentarán las soluciones en directo y se dará a conocer el nombre de los ganadores.</w:t>
      </w:r>
    </w:p>
    <w:p w14:paraId="4562C43F" w14:textId="77777777" w:rsidR="00673C91" w:rsidRPr="00BC6B28" w:rsidRDefault="00673C91" w:rsidP="00673C91">
      <w:pPr>
        <w:rPr>
          <w:sz w:val="22"/>
          <w:szCs w:val="22"/>
        </w:rPr>
      </w:pPr>
      <w:r w:rsidRPr="00BC6B28">
        <w:rPr>
          <w:sz w:val="22"/>
          <w:szCs w:val="22"/>
        </w:rPr>
        <w:t>10</w:t>
      </w:r>
      <w:r w:rsidRPr="00BC6B28">
        <w:rPr>
          <w:sz w:val="22"/>
          <w:szCs w:val="22"/>
        </w:rPr>
        <w:tab/>
      </w:r>
      <w:proofErr w:type="gramStart"/>
      <w:r w:rsidRPr="00BC6B28">
        <w:rPr>
          <w:sz w:val="22"/>
          <w:szCs w:val="22"/>
        </w:rPr>
        <w:t>Le</w:t>
      </w:r>
      <w:proofErr w:type="gramEnd"/>
      <w:r w:rsidRPr="00BC6B28">
        <w:rPr>
          <w:sz w:val="22"/>
          <w:szCs w:val="22"/>
        </w:rPr>
        <w:t xml:space="preserve"> invitamos a patrocinar este concurso, puesto que se trata de una excelente oportunidad para posicionar a su país, organización o empresa como líder mundial en inteligencia artificial y aprendizaje automático para la 5G. Puede dirigir sus preguntas al respecto a </w:t>
      </w:r>
      <w:hyperlink r:id="rId28" w:history="1">
        <w:r w:rsidRPr="00BC6B28">
          <w:rPr>
            <w:rStyle w:val="Hyperlink"/>
            <w:sz w:val="22"/>
            <w:szCs w:val="22"/>
          </w:rPr>
          <w:t>ai5gchallenge@itu.int</w:t>
        </w:r>
      </w:hyperlink>
      <w:r w:rsidRPr="00BC6B28">
        <w:rPr>
          <w:sz w:val="22"/>
          <w:szCs w:val="22"/>
        </w:rPr>
        <w:t>.</w:t>
      </w:r>
    </w:p>
    <w:p w14:paraId="790F8A43" w14:textId="77777777" w:rsidR="00673C91" w:rsidRPr="00BC6B28" w:rsidRDefault="00673C91" w:rsidP="00673C91">
      <w:pPr>
        <w:rPr>
          <w:sz w:val="22"/>
          <w:szCs w:val="22"/>
        </w:rPr>
      </w:pPr>
      <w:r w:rsidRPr="00BC6B28">
        <w:rPr>
          <w:sz w:val="22"/>
          <w:szCs w:val="22"/>
        </w:rPr>
        <w:t>11</w:t>
      </w:r>
      <w:r w:rsidRPr="00BC6B28">
        <w:rPr>
          <w:sz w:val="22"/>
          <w:szCs w:val="22"/>
        </w:rPr>
        <w:tab/>
        <w:t xml:space="preserve">la información relacionada con el Concurso, incluido un enlace al formulario de notificación de interés, se ha publicado en </w:t>
      </w:r>
      <w:hyperlink r:id="rId29" w:history="1">
        <w:r w:rsidRPr="00BC6B28">
          <w:rPr>
            <w:rStyle w:val="Hyperlink"/>
            <w:sz w:val="22"/>
            <w:szCs w:val="22"/>
          </w:rPr>
          <w:t>https://aiforgood.itu.int/ai-ml-in-5g-challenge/</w:t>
        </w:r>
      </w:hyperlink>
      <w:r w:rsidRPr="00BC6B28">
        <w:rPr>
          <w:sz w:val="22"/>
          <w:szCs w:val="22"/>
        </w:rPr>
        <w:t>. Le rogamos consulte periódicamente la página principal del concurso para obtener información actualizada.</w:t>
      </w:r>
    </w:p>
    <w:p w14:paraId="6B489409" w14:textId="64382353" w:rsidR="007B6316" w:rsidRPr="00BC6B28" w:rsidRDefault="00673C91" w:rsidP="00673C91">
      <w:pPr>
        <w:rPr>
          <w:sz w:val="22"/>
          <w:szCs w:val="22"/>
        </w:rPr>
      </w:pPr>
      <w:r w:rsidRPr="00BC6B28">
        <w:rPr>
          <w:sz w:val="22"/>
          <w:szCs w:val="22"/>
        </w:rPr>
        <w:t>12</w:t>
      </w:r>
      <w:r w:rsidRPr="00BC6B28">
        <w:rPr>
          <w:sz w:val="22"/>
          <w:szCs w:val="22"/>
        </w:rPr>
        <w:tab/>
      </w:r>
      <w:proofErr w:type="gramStart"/>
      <w:r w:rsidRPr="00BC6B28">
        <w:rPr>
          <w:sz w:val="22"/>
          <w:szCs w:val="22"/>
        </w:rPr>
        <w:t>Si</w:t>
      </w:r>
      <w:proofErr w:type="gramEnd"/>
      <w:r w:rsidRPr="00BC6B28">
        <w:rPr>
          <w:sz w:val="22"/>
          <w:szCs w:val="22"/>
        </w:rPr>
        <w:t xml:space="preserve"> desea más información o tiene dudas relacionadas con el Concurso, diríjase a: </w:t>
      </w:r>
      <w:hyperlink r:id="rId30" w:history="1">
        <w:r w:rsidRPr="00BC6B28">
          <w:rPr>
            <w:rStyle w:val="Hyperlink"/>
            <w:sz w:val="22"/>
            <w:szCs w:val="22"/>
          </w:rPr>
          <w:t>ai5gchallenge@itu.int</w:t>
        </w:r>
      </w:hyperlink>
      <w:r w:rsidRPr="00BC6B28">
        <w:rPr>
          <w:sz w:val="22"/>
          <w:szCs w:val="22"/>
        </w:rPr>
        <w:t>.</w:t>
      </w:r>
    </w:p>
    <w:p w14:paraId="4CF6C646" w14:textId="512A2FC4" w:rsidR="007B6316" w:rsidRPr="00BC6B28" w:rsidRDefault="007B6316" w:rsidP="007B6316">
      <w:pPr>
        <w:rPr>
          <w:sz w:val="22"/>
          <w:szCs w:val="22"/>
        </w:rPr>
      </w:pPr>
      <w:r w:rsidRPr="00BC6B28">
        <w:rPr>
          <w:sz w:val="22"/>
          <w:szCs w:val="22"/>
        </w:rPr>
        <w:t>Atentamente,</w:t>
      </w:r>
    </w:p>
    <w:p w14:paraId="105A1C62" w14:textId="5A776584" w:rsidR="00401C20" w:rsidRPr="00BC6B28" w:rsidRDefault="00AF2FF0" w:rsidP="00BC6B28">
      <w:pPr>
        <w:spacing w:before="960"/>
        <w:rPr>
          <w:sz w:val="22"/>
          <w:szCs w:val="22"/>
        </w:rPr>
      </w:pPr>
      <w:r>
        <w:rPr>
          <w:noProof/>
          <w:sz w:val="22"/>
          <w:szCs w:val="22"/>
        </w:rPr>
        <w:drawing>
          <wp:anchor distT="0" distB="0" distL="114300" distR="114300" simplePos="0" relativeHeight="251658240" behindDoc="1" locked="0" layoutInCell="1" allowOverlap="1" wp14:anchorId="76EB697D" wp14:editId="3242F3B9">
            <wp:simplePos x="0" y="0"/>
            <wp:positionH relativeFrom="column">
              <wp:posOffset>-33655</wp:posOffset>
            </wp:positionH>
            <wp:positionV relativeFrom="paragraph">
              <wp:posOffset>152400</wp:posOffset>
            </wp:positionV>
            <wp:extent cx="647700" cy="29171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47700" cy="291712"/>
                    </a:xfrm>
                    <a:prstGeom prst="rect">
                      <a:avLst/>
                    </a:prstGeom>
                  </pic:spPr>
                </pic:pic>
              </a:graphicData>
            </a:graphic>
            <wp14:sizeRelH relativeFrom="margin">
              <wp14:pctWidth>0</wp14:pctWidth>
            </wp14:sizeRelH>
            <wp14:sizeRelV relativeFrom="margin">
              <wp14:pctHeight>0</wp14:pctHeight>
            </wp14:sizeRelV>
          </wp:anchor>
        </w:drawing>
      </w:r>
      <w:r w:rsidR="007B6316" w:rsidRPr="00BC6B28">
        <w:rPr>
          <w:sz w:val="22"/>
          <w:szCs w:val="22"/>
        </w:rPr>
        <w:t>Chaesub Lee</w:t>
      </w:r>
      <w:r w:rsidR="007B6316" w:rsidRPr="00BC6B28">
        <w:rPr>
          <w:sz w:val="22"/>
          <w:szCs w:val="22"/>
        </w:rPr>
        <w:br/>
      </w:r>
      <w:proofErr w:type="gramStart"/>
      <w:r w:rsidR="007B6316" w:rsidRPr="00BC6B28">
        <w:rPr>
          <w:sz w:val="22"/>
          <w:szCs w:val="22"/>
        </w:rPr>
        <w:t>Director</w:t>
      </w:r>
      <w:proofErr w:type="gramEnd"/>
      <w:r w:rsidR="007B6316" w:rsidRPr="00BC6B28">
        <w:rPr>
          <w:sz w:val="22"/>
          <w:szCs w:val="22"/>
        </w:rPr>
        <w:t xml:space="preserve"> de la Oficina de </w:t>
      </w:r>
      <w:r w:rsidR="007B6316" w:rsidRPr="00BC6B28">
        <w:rPr>
          <w:sz w:val="22"/>
          <w:szCs w:val="22"/>
        </w:rPr>
        <w:br/>
        <w:t>Normalización de las Telecomunicaciones</w:t>
      </w:r>
    </w:p>
    <w:sectPr w:rsidR="00401C20" w:rsidRPr="00BC6B28" w:rsidSect="00B87E9E">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D9B" w14:textId="77777777" w:rsidR="002B6E5B" w:rsidRDefault="002B6E5B">
      <w:r>
        <w:separator/>
      </w:r>
    </w:p>
  </w:endnote>
  <w:endnote w:type="continuationSeparator" w:id="0">
    <w:p w14:paraId="1C2576E6" w14:textId="77777777" w:rsidR="002B6E5B" w:rsidRDefault="002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C26D" w14:textId="77777777" w:rsidR="00C05659" w:rsidRDefault="00C0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D34" w14:textId="0E0459E6" w:rsidR="006969B4" w:rsidRPr="00C53FE5" w:rsidRDefault="006969B4" w:rsidP="009A0BA0">
    <w:pPr>
      <w:pStyle w:val="Footer"/>
      <w:rPr>
        <w:szCs w:val="18"/>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B879"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553A" w14:textId="77777777" w:rsidR="002B6E5B" w:rsidRDefault="002B6E5B">
      <w:r>
        <w:t>____________________</w:t>
      </w:r>
    </w:p>
  </w:footnote>
  <w:footnote w:type="continuationSeparator" w:id="0">
    <w:p w14:paraId="456DF37C" w14:textId="77777777" w:rsidR="002B6E5B" w:rsidRDefault="002B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F1C9" w14:textId="77777777" w:rsidR="00C05659" w:rsidRDefault="00C05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C0DB" w14:textId="35F55AA1"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20A2B146" w14:textId="29F86E99" w:rsidR="00B82B4B" w:rsidRPr="00303D62" w:rsidRDefault="00B82B4B">
    <w:pPr>
      <w:pStyle w:val="Header"/>
      <w:rPr>
        <w:sz w:val="18"/>
        <w:szCs w:val="18"/>
      </w:rPr>
    </w:pPr>
    <w:proofErr w:type="spellStart"/>
    <w:r w:rsidRPr="00A21DD9">
      <w:rPr>
        <w:sz w:val="18"/>
        <w:szCs w:val="18"/>
        <w:lang w:val="fr-FR"/>
      </w:rPr>
      <w:t>Circular</w:t>
    </w:r>
    <w:proofErr w:type="spellEnd"/>
    <w:r w:rsidRPr="00A21DD9">
      <w:rPr>
        <w:sz w:val="18"/>
        <w:szCs w:val="18"/>
        <w:lang w:val="fr-FR"/>
      </w:rPr>
      <w:t xml:space="preserve"> TSB 33</w:t>
    </w:r>
    <w:r>
      <w:rPr>
        <w:sz w:val="18"/>
        <w:szCs w:val="18"/>
        <w:lang w:val="fr-F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FA2F" w14:textId="77777777" w:rsidR="00C05659" w:rsidRDefault="00C05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CCE241A"/>
    <w:multiLevelType w:val="hybridMultilevel"/>
    <w:tmpl w:val="68B2E47A"/>
    <w:lvl w:ilvl="0" w:tplc="015229A2">
      <w:start w:val="1"/>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91"/>
    <w:rsid w:val="00002529"/>
    <w:rsid w:val="00085662"/>
    <w:rsid w:val="000C382F"/>
    <w:rsid w:val="001173CC"/>
    <w:rsid w:val="0014464D"/>
    <w:rsid w:val="001A54CC"/>
    <w:rsid w:val="00257FB4"/>
    <w:rsid w:val="002B6E5B"/>
    <w:rsid w:val="002E496E"/>
    <w:rsid w:val="00303D62"/>
    <w:rsid w:val="00335367"/>
    <w:rsid w:val="00370C2D"/>
    <w:rsid w:val="003D1E8D"/>
    <w:rsid w:val="003D673B"/>
    <w:rsid w:val="003F2855"/>
    <w:rsid w:val="00401C20"/>
    <w:rsid w:val="004A7957"/>
    <w:rsid w:val="004C4144"/>
    <w:rsid w:val="0055719E"/>
    <w:rsid w:val="00673C91"/>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3662B"/>
    <w:rsid w:val="0095172A"/>
    <w:rsid w:val="009A0BA0"/>
    <w:rsid w:val="00A54E47"/>
    <w:rsid w:val="00AB6E3A"/>
    <w:rsid w:val="00AE7093"/>
    <w:rsid w:val="00AF2FF0"/>
    <w:rsid w:val="00B422BC"/>
    <w:rsid w:val="00B43F77"/>
    <w:rsid w:val="00B55A3E"/>
    <w:rsid w:val="00B82B4B"/>
    <w:rsid w:val="00B87E9E"/>
    <w:rsid w:val="00B95F0A"/>
    <w:rsid w:val="00B96180"/>
    <w:rsid w:val="00BC6B28"/>
    <w:rsid w:val="00C05659"/>
    <w:rsid w:val="00C116FE"/>
    <w:rsid w:val="00C17AC0"/>
    <w:rsid w:val="00C34772"/>
    <w:rsid w:val="00C53FE5"/>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8B8044"/>
  <w15:docId w15:val="{BC821354-A86D-4C3F-903C-7679A730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673C9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HAnsi" w:cstheme="minorBidi"/>
      <w:sz w:val="22"/>
      <w:szCs w:val="22"/>
      <w:lang w:val="en-IN"/>
    </w:rPr>
  </w:style>
  <w:style w:type="character" w:customStyle="1" w:styleId="normaltextrun">
    <w:name w:val="normaltextrun"/>
    <w:basedOn w:val="DefaultParagraphFont"/>
    <w:rsid w:val="0067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bnn-upc/" TargetMode="External"/><Relationship Id="rId18" Type="http://schemas.openxmlformats.org/officeDocument/2006/relationships/hyperlink" Target="https://www.linkedin.com/school/10690/?legacySchoolId=10690" TargetMode="External"/><Relationship Id="rId26" Type="http://schemas.openxmlformats.org/officeDocument/2006/relationships/hyperlink" Target="https://www.linkedin.com/company/kddi-corporation/" TargetMode="External"/><Relationship Id="rId39" Type="http://schemas.openxmlformats.org/officeDocument/2006/relationships/theme" Target="theme/theme1.xml"/><Relationship Id="rId21" Type="http://schemas.openxmlformats.org/officeDocument/2006/relationships/hyperlink" Target="https://www.linkedin.com/company/saint-petersburg-state-university-of-telecommunica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xilinx/" TargetMode="External"/><Relationship Id="rId17" Type="http://schemas.openxmlformats.org/officeDocument/2006/relationships/hyperlink" Target="https://www.linkedin.com/school/18786/?legacySchoolId=18786" TargetMode="External"/><Relationship Id="rId25" Type="http://schemas.openxmlformats.org/officeDocument/2006/relationships/hyperlink" Target="https://www.ieice.org/~rising/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company/china-unicom/" TargetMode="External"/><Relationship Id="rId20" Type="http://schemas.openxmlformats.org/officeDocument/2006/relationships/hyperlink" Target="https://www.linkedin.com/company/university-of-alabama/" TargetMode="External"/><Relationship Id="rId29" Type="http://schemas.openxmlformats.org/officeDocument/2006/relationships/hyperlink" Target="https://aiforgood.itu.int/ai-ml-in-5g-challe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news" TargetMode="External"/><Relationship Id="rId24" Type="http://schemas.openxmlformats.org/officeDocument/2006/relationships/hyperlink" Target="https://www.itu.int/en/ITU-T/focusgroups/an/Pages/default.a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inkedin.com/school/12262/?legacySchoolId=12262" TargetMode="External"/><Relationship Id="rId23" Type="http://schemas.openxmlformats.org/officeDocument/2006/relationships/hyperlink" Target="https://www.linkedin.com/company/china-mobile/" TargetMode="External"/><Relationship Id="rId28" Type="http://schemas.openxmlformats.org/officeDocument/2006/relationships/hyperlink" Target="mailto:ai5gchallenge@itu.int" TargetMode="External"/><Relationship Id="rId36" Type="http://schemas.openxmlformats.org/officeDocument/2006/relationships/header" Target="header3.xml"/><Relationship Id="rId10" Type="http://schemas.openxmlformats.org/officeDocument/2006/relationships/hyperlink" Target="https://www.itu.int/en/journal/j-fet/Pages/default.aspx" TargetMode="External"/><Relationship Id="rId19" Type="http://schemas.openxmlformats.org/officeDocument/2006/relationships/hyperlink" Target="https://www.linkedin.com/company/xilinx/"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i5gchallenge@itu.int" TargetMode="External"/><Relationship Id="rId14" Type="http://schemas.openxmlformats.org/officeDocument/2006/relationships/hyperlink" Target="https://www.linkedin.com/company/nist/" TargetMode="External"/><Relationship Id="rId22" Type="http://schemas.openxmlformats.org/officeDocument/2006/relationships/hyperlink" Target="https://www.linkedin.com/company/zte/" TargetMode="External"/><Relationship Id="rId27" Type="http://schemas.openxmlformats.org/officeDocument/2006/relationships/hyperlink" Target="https://aiforgood.itu.int/ai-ml-in-5g-challenge/" TargetMode="External"/><Relationship Id="rId30" Type="http://schemas.openxmlformats.org/officeDocument/2006/relationships/hyperlink" Target="mailto:ai5gchallenge@itu.int"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42</TotalTime>
  <Pages>2</Pages>
  <Words>853</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2021-09-01T11:34:00Z</cp:lastPrinted>
  <dcterms:created xsi:type="dcterms:W3CDTF">2021-07-23T07:12:00Z</dcterms:created>
  <dcterms:modified xsi:type="dcterms:W3CDTF">2021-09-01T11:35:00Z</dcterms:modified>
</cp:coreProperties>
</file>