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CellMar>
          <w:left w:w="0" w:type="dxa"/>
          <w:right w:w="0" w:type="dxa"/>
        </w:tblCellMar>
        <w:tblLook w:val="0000" w:firstRow="0" w:lastRow="0" w:firstColumn="0" w:lastColumn="0" w:noHBand="0" w:noVBand="0"/>
      </w:tblPr>
      <w:tblGrid>
        <w:gridCol w:w="1126"/>
        <w:gridCol w:w="284"/>
        <w:gridCol w:w="3467"/>
        <w:gridCol w:w="5329"/>
      </w:tblGrid>
      <w:tr w:rsidR="007B6316" w:rsidRPr="00080856" w14:paraId="5FB98B33" w14:textId="77777777" w:rsidTr="007B6316">
        <w:trPr>
          <w:cantSplit/>
          <w:trHeight w:val="340"/>
        </w:trPr>
        <w:tc>
          <w:tcPr>
            <w:tcW w:w="1410" w:type="dxa"/>
            <w:gridSpan w:val="2"/>
          </w:tcPr>
          <w:p w14:paraId="7016A048" w14:textId="77777777" w:rsidR="007B6316" w:rsidRPr="00080856" w:rsidRDefault="007B6316" w:rsidP="00303D62">
            <w:pPr>
              <w:tabs>
                <w:tab w:val="left" w:pos="4111"/>
              </w:tabs>
              <w:spacing w:before="10"/>
              <w:ind w:left="57"/>
              <w:rPr>
                <w:sz w:val="22"/>
              </w:rPr>
            </w:pPr>
            <w:r w:rsidRPr="00080856">
              <w:rPr>
                <w:noProof/>
                <w:lang w:val="en-US" w:eastAsia="zh-CN"/>
              </w:rPr>
              <w:drawing>
                <wp:inline distT="0" distB="0" distL="0" distR="0" wp14:anchorId="18CB9E3A" wp14:editId="5681D5EF">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2F0FD84D" w14:textId="77777777" w:rsidR="007B6316" w:rsidRPr="00080856" w:rsidRDefault="007B6316" w:rsidP="007B6316">
            <w:pPr>
              <w:spacing w:before="0"/>
              <w:rPr>
                <w:rFonts w:cs="Times New Roman Bold"/>
                <w:b/>
                <w:bCs/>
                <w:smallCaps/>
                <w:sz w:val="26"/>
                <w:szCs w:val="26"/>
              </w:rPr>
            </w:pPr>
            <w:r w:rsidRPr="00080856">
              <w:rPr>
                <w:rFonts w:cs="Times New Roman Bold"/>
                <w:b/>
                <w:bCs/>
                <w:smallCaps/>
                <w:sz w:val="36"/>
                <w:szCs w:val="36"/>
              </w:rPr>
              <w:t>Unión Internacional de Telecomunicaciones</w:t>
            </w:r>
          </w:p>
          <w:p w14:paraId="0DE9DC6A" w14:textId="77777777" w:rsidR="007B6316" w:rsidRPr="00080856" w:rsidRDefault="007B6316" w:rsidP="007B6316">
            <w:pPr>
              <w:spacing w:before="0"/>
            </w:pPr>
            <w:r w:rsidRPr="00080856">
              <w:rPr>
                <w:rFonts w:cs="Times New Roman Bold"/>
                <w:b/>
                <w:bCs/>
                <w:smallCaps/>
                <w:sz w:val="28"/>
                <w:szCs w:val="28"/>
              </w:rPr>
              <w:t>Oficina</w:t>
            </w:r>
            <w:r w:rsidRPr="00080856">
              <w:rPr>
                <w:rFonts w:cs="Times New Roman Bold"/>
                <w:b/>
                <w:bCs/>
                <w:iCs/>
                <w:smallCaps/>
                <w:sz w:val="22"/>
                <w:szCs w:val="22"/>
              </w:rPr>
              <w:t xml:space="preserve"> </w:t>
            </w:r>
            <w:r w:rsidRPr="00080856">
              <w:rPr>
                <w:rFonts w:cs="Times New Roman Bold"/>
                <w:b/>
                <w:bCs/>
                <w:iCs/>
                <w:smallCaps/>
                <w:sz w:val="28"/>
                <w:szCs w:val="28"/>
              </w:rPr>
              <w:t>de Normalización de las Telecomunicaciones</w:t>
            </w:r>
          </w:p>
        </w:tc>
      </w:tr>
      <w:tr w:rsidR="007B6316" w:rsidRPr="00DC0DE2" w14:paraId="76DB4BD1" w14:textId="77777777" w:rsidTr="00340430">
        <w:trPr>
          <w:cantSplit/>
          <w:trHeight w:val="555"/>
        </w:trPr>
        <w:tc>
          <w:tcPr>
            <w:tcW w:w="1126" w:type="dxa"/>
          </w:tcPr>
          <w:p w14:paraId="6C1E024F" w14:textId="77777777" w:rsidR="007B6316" w:rsidRPr="00DC0DE2" w:rsidRDefault="007B6316" w:rsidP="00303D62">
            <w:pPr>
              <w:tabs>
                <w:tab w:val="left" w:pos="4111"/>
              </w:tabs>
              <w:spacing w:before="10"/>
              <w:ind w:left="57"/>
              <w:rPr>
                <w:b/>
                <w:bCs/>
                <w:sz w:val="22"/>
                <w:szCs w:val="22"/>
              </w:rPr>
            </w:pPr>
          </w:p>
        </w:tc>
        <w:tc>
          <w:tcPr>
            <w:tcW w:w="3751" w:type="dxa"/>
            <w:gridSpan w:val="2"/>
          </w:tcPr>
          <w:p w14:paraId="564B8849" w14:textId="77777777" w:rsidR="007B6316" w:rsidRPr="00DC0DE2" w:rsidRDefault="007B6316" w:rsidP="00303D62">
            <w:pPr>
              <w:tabs>
                <w:tab w:val="left" w:pos="4111"/>
              </w:tabs>
              <w:spacing w:before="0"/>
              <w:ind w:left="57"/>
              <w:rPr>
                <w:b/>
                <w:sz w:val="22"/>
                <w:szCs w:val="22"/>
              </w:rPr>
            </w:pPr>
          </w:p>
        </w:tc>
        <w:tc>
          <w:tcPr>
            <w:tcW w:w="5329" w:type="dxa"/>
          </w:tcPr>
          <w:p w14:paraId="2AB82E77" w14:textId="0F1520C1" w:rsidR="007B6316" w:rsidRPr="00DC0DE2" w:rsidRDefault="007B6316" w:rsidP="007B6316">
            <w:pPr>
              <w:tabs>
                <w:tab w:val="clear" w:pos="794"/>
                <w:tab w:val="clear" w:pos="1191"/>
                <w:tab w:val="clear" w:pos="1588"/>
                <w:tab w:val="clear" w:pos="1985"/>
                <w:tab w:val="left" w:pos="284"/>
              </w:tabs>
              <w:spacing w:after="120"/>
              <w:ind w:left="284" w:hanging="227"/>
              <w:rPr>
                <w:sz w:val="22"/>
                <w:szCs w:val="22"/>
              </w:rPr>
            </w:pPr>
            <w:r w:rsidRPr="00DC0DE2">
              <w:rPr>
                <w:sz w:val="22"/>
                <w:szCs w:val="22"/>
              </w:rPr>
              <w:t>Ginebra,</w:t>
            </w:r>
            <w:r w:rsidR="000E6D1B" w:rsidRPr="00DC0DE2">
              <w:rPr>
                <w:sz w:val="22"/>
                <w:szCs w:val="22"/>
              </w:rPr>
              <w:t xml:space="preserve"> </w:t>
            </w:r>
            <w:r w:rsidR="00AF6779" w:rsidRPr="00DC0DE2">
              <w:rPr>
                <w:sz w:val="22"/>
                <w:szCs w:val="22"/>
              </w:rPr>
              <w:t>27</w:t>
            </w:r>
            <w:r w:rsidR="000E6D1B" w:rsidRPr="00DC0DE2">
              <w:rPr>
                <w:sz w:val="22"/>
                <w:szCs w:val="22"/>
              </w:rPr>
              <w:t xml:space="preserve"> de </w:t>
            </w:r>
            <w:r w:rsidR="00C2007D" w:rsidRPr="00DC0DE2">
              <w:rPr>
                <w:sz w:val="22"/>
                <w:szCs w:val="22"/>
              </w:rPr>
              <w:t>mayo</w:t>
            </w:r>
            <w:r w:rsidR="000E6D1B" w:rsidRPr="00DC0DE2">
              <w:rPr>
                <w:sz w:val="22"/>
                <w:szCs w:val="22"/>
              </w:rPr>
              <w:t xml:space="preserve"> de 2021</w:t>
            </w:r>
          </w:p>
        </w:tc>
      </w:tr>
      <w:tr w:rsidR="007B6316" w:rsidRPr="00DC0DE2" w14:paraId="31E96585" w14:textId="77777777" w:rsidTr="00A06036">
        <w:trPr>
          <w:cantSplit/>
          <w:trHeight w:val="340"/>
        </w:trPr>
        <w:tc>
          <w:tcPr>
            <w:tcW w:w="1126" w:type="dxa"/>
          </w:tcPr>
          <w:p w14:paraId="55F880CB" w14:textId="77777777" w:rsidR="007B6316" w:rsidRPr="00DC0DE2" w:rsidRDefault="007B6316" w:rsidP="00340430">
            <w:pPr>
              <w:tabs>
                <w:tab w:val="left" w:pos="4111"/>
              </w:tabs>
              <w:spacing w:before="10"/>
              <w:ind w:left="-10"/>
              <w:rPr>
                <w:b/>
                <w:bCs/>
                <w:sz w:val="22"/>
                <w:szCs w:val="22"/>
              </w:rPr>
            </w:pPr>
            <w:r w:rsidRPr="00DC0DE2">
              <w:rPr>
                <w:b/>
                <w:bCs/>
                <w:sz w:val="22"/>
                <w:szCs w:val="22"/>
              </w:rPr>
              <w:t>Ref.:</w:t>
            </w:r>
          </w:p>
          <w:p w14:paraId="3971CCEE" w14:textId="77777777" w:rsidR="007B6316" w:rsidRPr="00DC0DE2" w:rsidRDefault="007B6316" w:rsidP="00340430">
            <w:pPr>
              <w:tabs>
                <w:tab w:val="left" w:pos="4111"/>
              </w:tabs>
              <w:spacing w:before="10"/>
              <w:ind w:left="-10"/>
              <w:rPr>
                <w:b/>
                <w:bCs/>
                <w:sz w:val="22"/>
                <w:szCs w:val="22"/>
              </w:rPr>
            </w:pPr>
          </w:p>
        </w:tc>
        <w:tc>
          <w:tcPr>
            <w:tcW w:w="3751" w:type="dxa"/>
            <w:gridSpan w:val="2"/>
          </w:tcPr>
          <w:p w14:paraId="7EE6F6EE" w14:textId="76D23D6E" w:rsidR="007B6316" w:rsidRPr="00DC0DE2" w:rsidRDefault="007B6316" w:rsidP="00303D62">
            <w:pPr>
              <w:tabs>
                <w:tab w:val="left" w:pos="4111"/>
              </w:tabs>
              <w:spacing w:before="0"/>
              <w:ind w:left="57"/>
              <w:rPr>
                <w:b/>
                <w:sz w:val="22"/>
                <w:szCs w:val="22"/>
                <w:lang w:val="en-US"/>
              </w:rPr>
            </w:pPr>
            <w:r w:rsidRPr="00DC0DE2">
              <w:rPr>
                <w:b/>
                <w:sz w:val="22"/>
                <w:szCs w:val="22"/>
                <w:lang w:val="en-US"/>
              </w:rPr>
              <w:t xml:space="preserve">Circular TSB </w:t>
            </w:r>
            <w:r w:rsidR="000E6D1B" w:rsidRPr="00DC0DE2">
              <w:rPr>
                <w:b/>
                <w:sz w:val="22"/>
                <w:szCs w:val="22"/>
                <w:lang w:val="en-US"/>
              </w:rPr>
              <w:t>3</w:t>
            </w:r>
            <w:r w:rsidR="00C2007D" w:rsidRPr="00DC0DE2">
              <w:rPr>
                <w:b/>
                <w:sz w:val="22"/>
                <w:szCs w:val="22"/>
                <w:lang w:val="en-US"/>
              </w:rPr>
              <w:t>1</w:t>
            </w:r>
            <w:r w:rsidR="00AF6779" w:rsidRPr="00DC0DE2">
              <w:rPr>
                <w:b/>
                <w:sz w:val="22"/>
                <w:szCs w:val="22"/>
                <w:lang w:val="en-US"/>
              </w:rPr>
              <w:t>8</w:t>
            </w:r>
          </w:p>
          <w:p w14:paraId="7D9BFB66" w14:textId="2F328EE2" w:rsidR="007B6316" w:rsidRPr="00DC0DE2" w:rsidRDefault="00C2007D" w:rsidP="007B6316">
            <w:pPr>
              <w:tabs>
                <w:tab w:val="left" w:pos="4111"/>
              </w:tabs>
              <w:spacing w:before="0"/>
              <w:ind w:left="57"/>
              <w:rPr>
                <w:sz w:val="22"/>
                <w:szCs w:val="22"/>
                <w:lang w:val="en-US"/>
              </w:rPr>
            </w:pPr>
            <w:r w:rsidRPr="00DC0DE2">
              <w:rPr>
                <w:sz w:val="22"/>
                <w:szCs w:val="22"/>
                <w:lang w:val="en-US"/>
              </w:rPr>
              <w:t>TSB Events/</w:t>
            </w:r>
            <w:r w:rsidR="00AF6779" w:rsidRPr="00DC0DE2">
              <w:rPr>
                <w:sz w:val="22"/>
                <w:szCs w:val="22"/>
                <w:lang w:val="en-US"/>
              </w:rPr>
              <w:t>DA</w:t>
            </w:r>
          </w:p>
        </w:tc>
        <w:tc>
          <w:tcPr>
            <w:tcW w:w="5329" w:type="dxa"/>
            <w:vMerge w:val="restart"/>
          </w:tcPr>
          <w:p w14:paraId="1D9A3719" w14:textId="3E30B495" w:rsidR="007B6316" w:rsidRPr="00DC0DE2" w:rsidRDefault="000E6D1B" w:rsidP="00303D62">
            <w:pPr>
              <w:tabs>
                <w:tab w:val="clear" w:pos="794"/>
                <w:tab w:val="clear" w:pos="1191"/>
                <w:tab w:val="clear" w:pos="1588"/>
                <w:tab w:val="clear" w:pos="1985"/>
                <w:tab w:val="left" w:pos="284"/>
              </w:tabs>
              <w:spacing w:before="0"/>
              <w:ind w:left="284" w:hanging="227"/>
              <w:rPr>
                <w:sz w:val="22"/>
                <w:szCs w:val="22"/>
              </w:rPr>
            </w:pPr>
            <w:bookmarkStart w:id="0" w:name="Addressee_S"/>
            <w:bookmarkEnd w:id="0"/>
            <w:r w:rsidRPr="00DC0DE2">
              <w:rPr>
                <w:sz w:val="22"/>
                <w:szCs w:val="22"/>
              </w:rPr>
              <w:t>–</w:t>
            </w:r>
            <w:r w:rsidR="007B6316" w:rsidRPr="00DC0DE2">
              <w:rPr>
                <w:sz w:val="22"/>
                <w:szCs w:val="22"/>
              </w:rPr>
              <w:tab/>
              <w:t>A las Administraciones de los Estados Miembros de la</w:t>
            </w:r>
            <w:r w:rsidR="00412E43" w:rsidRPr="00DC0DE2">
              <w:rPr>
                <w:sz w:val="22"/>
                <w:szCs w:val="22"/>
              </w:rPr>
              <w:t> </w:t>
            </w:r>
            <w:r w:rsidR="007B6316" w:rsidRPr="00DC0DE2">
              <w:rPr>
                <w:sz w:val="22"/>
                <w:szCs w:val="22"/>
              </w:rPr>
              <w:t>Unión</w:t>
            </w:r>
            <w:r w:rsidRPr="00DC0DE2">
              <w:rPr>
                <w:sz w:val="22"/>
                <w:szCs w:val="22"/>
              </w:rPr>
              <w:t>;</w:t>
            </w:r>
          </w:p>
          <w:p w14:paraId="65BF1773" w14:textId="79958F4F" w:rsidR="000E6D1B" w:rsidRPr="00DC0DE2" w:rsidRDefault="000E6D1B" w:rsidP="000E6D1B">
            <w:pPr>
              <w:tabs>
                <w:tab w:val="clear" w:pos="794"/>
                <w:tab w:val="clear" w:pos="1191"/>
                <w:tab w:val="clear" w:pos="1588"/>
                <w:tab w:val="clear" w:pos="1985"/>
                <w:tab w:val="left" w:pos="284"/>
              </w:tabs>
              <w:spacing w:before="0"/>
              <w:ind w:left="284" w:hanging="227"/>
              <w:rPr>
                <w:sz w:val="22"/>
                <w:szCs w:val="22"/>
              </w:rPr>
            </w:pPr>
            <w:r w:rsidRPr="00DC0DE2">
              <w:rPr>
                <w:sz w:val="22"/>
                <w:szCs w:val="22"/>
              </w:rPr>
              <w:t>–</w:t>
            </w:r>
            <w:r w:rsidRPr="00DC0DE2">
              <w:rPr>
                <w:sz w:val="22"/>
                <w:szCs w:val="22"/>
              </w:rPr>
              <w:tab/>
              <w:t>A los Miembros de Sector del UIT-T;</w:t>
            </w:r>
          </w:p>
          <w:p w14:paraId="6EF376C2" w14:textId="3594ADAF" w:rsidR="000E6D1B" w:rsidRPr="00DC0DE2" w:rsidRDefault="000E6D1B" w:rsidP="000E6D1B">
            <w:pPr>
              <w:tabs>
                <w:tab w:val="clear" w:pos="794"/>
                <w:tab w:val="clear" w:pos="1191"/>
                <w:tab w:val="clear" w:pos="1588"/>
                <w:tab w:val="clear" w:pos="1985"/>
                <w:tab w:val="left" w:pos="284"/>
              </w:tabs>
              <w:spacing w:before="0"/>
              <w:ind w:left="284" w:hanging="227"/>
              <w:rPr>
                <w:sz w:val="22"/>
                <w:szCs w:val="22"/>
              </w:rPr>
            </w:pPr>
            <w:r w:rsidRPr="00DC0DE2">
              <w:rPr>
                <w:sz w:val="22"/>
                <w:szCs w:val="22"/>
              </w:rPr>
              <w:t>–</w:t>
            </w:r>
            <w:r w:rsidRPr="00DC0DE2">
              <w:rPr>
                <w:sz w:val="22"/>
                <w:szCs w:val="22"/>
              </w:rPr>
              <w:tab/>
              <w:t>A los Asociados del UIT-T;</w:t>
            </w:r>
          </w:p>
          <w:p w14:paraId="64086A78" w14:textId="246C3D4F" w:rsidR="000E6D1B" w:rsidRPr="00DC0DE2" w:rsidRDefault="000E6D1B" w:rsidP="000E6D1B">
            <w:pPr>
              <w:tabs>
                <w:tab w:val="clear" w:pos="794"/>
                <w:tab w:val="clear" w:pos="1191"/>
                <w:tab w:val="clear" w:pos="1588"/>
                <w:tab w:val="clear" w:pos="1985"/>
                <w:tab w:val="left" w:pos="284"/>
              </w:tabs>
              <w:spacing w:before="0"/>
              <w:ind w:left="284" w:hanging="227"/>
              <w:rPr>
                <w:sz w:val="22"/>
                <w:szCs w:val="22"/>
              </w:rPr>
            </w:pPr>
            <w:r w:rsidRPr="00DC0DE2">
              <w:rPr>
                <w:sz w:val="22"/>
                <w:szCs w:val="22"/>
              </w:rPr>
              <w:t>–</w:t>
            </w:r>
            <w:r w:rsidRPr="00DC0DE2">
              <w:rPr>
                <w:sz w:val="22"/>
                <w:szCs w:val="22"/>
              </w:rPr>
              <w:tab/>
              <w:t>A las Instituciones Académicas de la UIT.</w:t>
            </w:r>
          </w:p>
        </w:tc>
      </w:tr>
      <w:tr w:rsidR="007B6316" w:rsidRPr="00DC0DE2" w14:paraId="2D8082B1" w14:textId="77777777" w:rsidTr="00A06036">
        <w:trPr>
          <w:cantSplit/>
        </w:trPr>
        <w:tc>
          <w:tcPr>
            <w:tcW w:w="1126" w:type="dxa"/>
          </w:tcPr>
          <w:p w14:paraId="61E876AE" w14:textId="0D2FD746" w:rsidR="007B6316" w:rsidRPr="00DC0DE2" w:rsidRDefault="000E6D1B" w:rsidP="00340430">
            <w:pPr>
              <w:tabs>
                <w:tab w:val="left" w:pos="4111"/>
              </w:tabs>
              <w:spacing w:before="10"/>
              <w:ind w:left="-10"/>
              <w:rPr>
                <w:b/>
                <w:bCs/>
                <w:sz w:val="22"/>
                <w:szCs w:val="22"/>
              </w:rPr>
            </w:pPr>
            <w:r w:rsidRPr="00DC0DE2">
              <w:rPr>
                <w:b/>
                <w:bCs/>
                <w:sz w:val="22"/>
                <w:szCs w:val="22"/>
              </w:rPr>
              <w:t>Contacto:</w:t>
            </w:r>
            <w:r w:rsidRPr="00DC0DE2">
              <w:rPr>
                <w:b/>
                <w:bCs/>
                <w:sz w:val="22"/>
                <w:szCs w:val="22"/>
              </w:rPr>
              <w:br/>
            </w:r>
            <w:r w:rsidR="007B6316" w:rsidRPr="00DC0DE2">
              <w:rPr>
                <w:b/>
                <w:bCs/>
                <w:sz w:val="22"/>
                <w:szCs w:val="22"/>
              </w:rPr>
              <w:t>Tel.:</w:t>
            </w:r>
          </w:p>
        </w:tc>
        <w:tc>
          <w:tcPr>
            <w:tcW w:w="3751" w:type="dxa"/>
            <w:gridSpan w:val="2"/>
          </w:tcPr>
          <w:p w14:paraId="2E1DE979" w14:textId="15FD4CE4" w:rsidR="007B6316" w:rsidRPr="00DC0DE2" w:rsidRDefault="00AF6779" w:rsidP="00303D62">
            <w:pPr>
              <w:tabs>
                <w:tab w:val="left" w:pos="4111"/>
              </w:tabs>
              <w:spacing w:before="0"/>
              <w:ind w:left="57"/>
              <w:rPr>
                <w:rStyle w:val="Hyperlink"/>
                <w:sz w:val="22"/>
                <w:szCs w:val="22"/>
              </w:rPr>
            </w:pPr>
            <w:r w:rsidRPr="00DC0DE2">
              <w:rPr>
                <w:b/>
                <w:bCs/>
                <w:sz w:val="22"/>
                <w:szCs w:val="22"/>
              </w:rPr>
              <w:t>Denis ANDREEV</w:t>
            </w:r>
            <w:r w:rsidR="000E6D1B" w:rsidRPr="00DC0DE2">
              <w:rPr>
                <w:sz w:val="22"/>
                <w:szCs w:val="22"/>
              </w:rPr>
              <w:br/>
            </w:r>
            <w:r w:rsidR="007B6316" w:rsidRPr="00DC0DE2">
              <w:rPr>
                <w:sz w:val="22"/>
                <w:szCs w:val="22"/>
              </w:rPr>
              <w:t>+41 22 730</w:t>
            </w:r>
            <w:r w:rsidR="000E6D1B" w:rsidRPr="00DC0DE2">
              <w:rPr>
                <w:sz w:val="22"/>
                <w:szCs w:val="22"/>
              </w:rPr>
              <w:t xml:space="preserve"> </w:t>
            </w:r>
            <w:r w:rsidRPr="00DC0DE2">
              <w:rPr>
                <w:sz w:val="22"/>
                <w:szCs w:val="22"/>
              </w:rPr>
              <w:t>5780</w:t>
            </w:r>
          </w:p>
        </w:tc>
        <w:tc>
          <w:tcPr>
            <w:tcW w:w="5329" w:type="dxa"/>
            <w:vMerge/>
          </w:tcPr>
          <w:p w14:paraId="4C928EE3" w14:textId="77777777" w:rsidR="007B6316" w:rsidRPr="00DC0DE2" w:rsidRDefault="007B6316" w:rsidP="00303D62">
            <w:pPr>
              <w:tabs>
                <w:tab w:val="left" w:pos="4111"/>
              </w:tabs>
              <w:spacing w:before="0"/>
              <w:rPr>
                <w:b/>
                <w:sz w:val="22"/>
                <w:szCs w:val="22"/>
              </w:rPr>
            </w:pPr>
          </w:p>
        </w:tc>
      </w:tr>
      <w:tr w:rsidR="007B6316" w:rsidRPr="00DC0DE2" w14:paraId="6E602B39" w14:textId="77777777" w:rsidTr="00A06036">
        <w:trPr>
          <w:cantSplit/>
        </w:trPr>
        <w:tc>
          <w:tcPr>
            <w:tcW w:w="1126" w:type="dxa"/>
          </w:tcPr>
          <w:p w14:paraId="36228D2E" w14:textId="77777777" w:rsidR="007B6316" w:rsidRPr="00DC0DE2" w:rsidRDefault="007B6316" w:rsidP="00340430">
            <w:pPr>
              <w:tabs>
                <w:tab w:val="left" w:pos="4111"/>
              </w:tabs>
              <w:spacing w:before="10"/>
              <w:ind w:left="-10"/>
              <w:rPr>
                <w:b/>
                <w:bCs/>
                <w:sz w:val="22"/>
                <w:szCs w:val="22"/>
              </w:rPr>
            </w:pPr>
            <w:r w:rsidRPr="00DC0DE2">
              <w:rPr>
                <w:b/>
                <w:bCs/>
                <w:sz w:val="22"/>
                <w:szCs w:val="22"/>
              </w:rPr>
              <w:t>Fax:</w:t>
            </w:r>
          </w:p>
        </w:tc>
        <w:tc>
          <w:tcPr>
            <w:tcW w:w="3751" w:type="dxa"/>
            <w:gridSpan w:val="2"/>
          </w:tcPr>
          <w:p w14:paraId="668EDF1F" w14:textId="77777777" w:rsidR="007B6316" w:rsidRPr="00DC0DE2" w:rsidRDefault="007B6316" w:rsidP="00303D62">
            <w:pPr>
              <w:tabs>
                <w:tab w:val="left" w:pos="4111"/>
              </w:tabs>
              <w:spacing w:before="0"/>
              <w:ind w:left="57"/>
              <w:rPr>
                <w:rStyle w:val="Hyperlink"/>
                <w:sz w:val="22"/>
                <w:szCs w:val="22"/>
              </w:rPr>
            </w:pPr>
            <w:r w:rsidRPr="00DC0DE2">
              <w:rPr>
                <w:sz w:val="22"/>
                <w:szCs w:val="22"/>
              </w:rPr>
              <w:t>+41 22 730 5853</w:t>
            </w:r>
          </w:p>
        </w:tc>
        <w:tc>
          <w:tcPr>
            <w:tcW w:w="5329" w:type="dxa"/>
            <w:vMerge/>
          </w:tcPr>
          <w:p w14:paraId="1212980F" w14:textId="77777777" w:rsidR="007B6316" w:rsidRPr="00DC0DE2" w:rsidRDefault="007B6316" w:rsidP="00303D62">
            <w:pPr>
              <w:tabs>
                <w:tab w:val="left" w:pos="4111"/>
              </w:tabs>
              <w:spacing w:before="0"/>
              <w:rPr>
                <w:b/>
                <w:sz w:val="22"/>
                <w:szCs w:val="22"/>
              </w:rPr>
            </w:pPr>
          </w:p>
        </w:tc>
      </w:tr>
      <w:tr w:rsidR="00C34772" w:rsidRPr="00DC0DE2" w14:paraId="71C390F4" w14:textId="77777777" w:rsidTr="00A06036">
        <w:trPr>
          <w:cantSplit/>
        </w:trPr>
        <w:tc>
          <w:tcPr>
            <w:tcW w:w="1126" w:type="dxa"/>
          </w:tcPr>
          <w:p w14:paraId="7A671740" w14:textId="77777777" w:rsidR="00C34772" w:rsidRPr="00DC0DE2" w:rsidRDefault="00C34772" w:rsidP="00340430">
            <w:pPr>
              <w:tabs>
                <w:tab w:val="left" w:pos="4111"/>
              </w:tabs>
              <w:spacing w:before="10"/>
              <w:ind w:left="-10"/>
              <w:rPr>
                <w:b/>
                <w:bCs/>
                <w:sz w:val="22"/>
                <w:szCs w:val="22"/>
              </w:rPr>
            </w:pPr>
            <w:r w:rsidRPr="00DC0DE2">
              <w:rPr>
                <w:b/>
                <w:bCs/>
                <w:sz w:val="22"/>
                <w:szCs w:val="22"/>
              </w:rPr>
              <w:t>Correo-e:</w:t>
            </w:r>
          </w:p>
        </w:tc>
        <w:tc>
          <w:tcPr>
            <w:tcW w:w="3751" w:type="dxa"/>
            <w:gridSpan w:val="2"/>
          </w:tcPr>
          <w:p w14:paraId="5FF3E1AB" w14:textId="7ED9FF13" w:rsidR="00C34772" w:rsidRPr="00DC0DE2" w:rsidRDefault="00006395" w:rsidP="00303D62">
            <w:pPr>
              <w:tabs>
                <w:tab w:val="left" w:pos="4111"/>
              </w:tabs>
              <w:spacing w:before="0"/>
              <w:ind w:left="57"/>
              <w:rPr>
                <w:sz w:val="22"/>
                <w:szCs w:val="22"/>
              </w:rPr>
            </w:pPr>
            <w:hyperlink r:id="rId9" w:history="1">
              <w:r w:rsidR="000E6D1B" w:rsidRPr="00DC0DE2">
                <w:rPr>
                  <w:rStyle w:val="Hyperlink"/>
                  <w:sz w:val="22"/>
                  <w:szCs w:val="22"/>
                </w:rPr>
                <w:t>tsbevents@itu.int</w:t>
              </w:r>
            </w:hyperlink>
          </w:p>
        </w:tc>
        <w:tc>
          <w:tcPr>
            <w:tcW w:w="5329" w:type="dxa"/>
          </w:tcPr>
          <w:p w14:paraId="2A253ADC" w14:textId="77777777" w:rsidR="00C34772" w:rsidRPr="00DC0DE2" w:rsidRDefault="00C34772" w:rsidP="00303D62">
            <w:pPr>
              <w:tabs>
                <w:tab w:val="left" w:pos="4111"/>
              </w:tabs>
              <w:spacing w:before="0"/>
              <w:rPr>
                <w:sz w:val="22"/>
                <w:szCs w:val="22"/>
              </w:rPr>
            </w:pPr>
            <w:r w:rsidRPr="00DC0DE2">
              <w:rPr>
                <w:b/>
                <w:sz w:val="22"/>
                <w:szCs w:val="22"/>
              </w:rPr>
              <w:t>Copia</w:t>
            </w:r>
            <w:r w:rsidRPr="00DC0DE2">
              <w:rPr>
                <w:sz w:val="22"/>
                <w:szCs w:val="22"/>
              </w:rPr>
              <w:t>:</w:t>
            </w:r>
          </w:p>
          <w:p w14:paraId="4441C698" w14:textId="5AF8B952" w:rsidR="00C34772" w:rsidRPr="00DC0DE2" w:rsidRDefault="000E6D1B" w:rsidP="000E6D1B">
            <w:pPr>
              <w:tabs>
                <w:tab w:val="left" w:pos="226"/>
                <w:tab w:val="left" w:pos="4111"/>
              </w:tabs>
              <w:spacing w:before="0"/>
              <w:ind w:left="226" w:hanging="154"/>
              <w:rPr>
                <w:sz w:val="22"/>
                <w:szCs w:val="22"/>
              </w:rPr>
            </w:pPr>
            <w:r w:rsidRPr="00DC0DE2">
              <w:rPr>
                <w:sz w:val="22"/>
                <w:szCs w:val="22"/>
              </w:rPr>
              <w:t>–</w:t>
            </w:r>
            <w:r w:rsidRPr="00DC0DE2">
              <w:rPr>
                <w:sz w:val="22"/>
                <w:szCs w:val="22"/>
              </w:rPr>
              <w:tab/>
            </w:r>
            <w:r w:rsidR="00C34772" w:rsidRPr="00DC0DE2">
              <w:rPr>
                <w:sz w:val="22"/>
                <w:szCs w:val="22"/>
              </w:rPr>
              <w:t>A</w:t>
            </w:r>
            <w:r w:rsidRPr="00DC0DE2">
              <w:rPr>
                <w:sz w:val="22"/>
                <w:szCs w:val="22"/>
              </w:rPr>
              <w:t xml:space="preserve"> los</w:t>
            </w:r>
            <w:r w:rsidR="00C34772" w:rsidRPr="00DC0DE2">
              <w:rPr>
                <w:sz w:val="22"/>
                <w:szCs w:val="22"/>
              </w:rPr>
              <w:t xml:space="preserve"> </w:t>
            </w:r>
            <w:proofErr w:type="gramStart"/>
            <w:r w:rsidR="00C34772" w:rsidRPr="00DC0DE2">
              <w:rPr>
                <w:sz w:val="22"/>
                <w:szCs w:val="22"/>
              </w:rPr>
              <w:t>Presidente</w:t>
            </w:r>
            <w:r w:rsidRPr="00DC0DE2">
              <w:rPr>
                <w:sz w:val="22"/>
                <w:szCs w:val="22"/>
              </w:rPr>
              <w:t>s</w:t>
            </w:r>
            <w:proofErr w:type="gramEnd"/>
            <w:r w:rsidR="00C34772" w:rsidRPr="00DC0DE2">
              <w:rPr>
                <w:sz w:val="22"/>
                <w:szCs w:val="22"/>
              </w:rPr>
              <w:t xml:space="preserve"> y Vicepresidentes de la</w:t>
            </w:r>
            <w:r w:rsidR="001C4F40" w:rsidRPr="00DC0DE2">
              <w:rPr>
                <w:sz w:val="22"/>
                <w:szCs w:val="22"/>
              </w:rPr>
              <w:t>s</w:t>
            </w:r>
            <w:r w:rsidR="00C34772" w:rsidRPr="00DC0DE2">
              <w:rPr>
                <w:sz w:val="22"/>
                <w:szCs w:val="22"/>
              </w:rPr>
              <w:br/>
              <w:t>Comisi</w:t>
            </w:r>
            <w:r w:rsidRPr="00DC0DE2">
              <w:rPr>
                <w:sz w:val="22"/>
                <w:szCs w:val="22"/>
              </w:rPr>
              <w:t>ones</w:t>
            </w:r>
            <w:r w:rsidR="00C34772" w:rsidRPr="00DC0DE2">
              <w:rPr>
                <w:sz w:val="22"/>
                <w:szCs w:val="22"/>
              </w:rPr>
              <w:t xml:space="preserve"> de Estudio;</w:t>
            </w:r>
          </w:p>
          <w:p w14:paraId="5B8B41A1" w14:textId="77777777" w:rsidR="00AF6779" w:rsidRPr="00DC0DE2" w:rsidRDefault="00AF6779" w:rsidP="001C4F40">
            <w:pPr>
              <w:tabs>
                <w:tab w:val="clear" w:pos="794"/>
                <w:tab w:val="clear" w:pos="1191"/>
                <w:tab w:val="clear" w:pos="1588"/>
                <w:tab w:val="clear" w:pos="1985"/>
                <w:tab w:val="left" w:pos="226"/>
                <w:tab w:val="left" w:pos="510"/>
              </w:tabs>
              <w:spacing w:before="0"/>
              <w:ind w:left="226" w:hanging="169"/>
              <w:rPr>
                <w:sz w:val="22"/>
                <w:szCs w:val="22"/>
              </w:rPr>
            </w:pPr>
            <w:r w:rsidRPr="00DC0DE2">
              <w:rPr>
                <w:sz w:val="22"/>
                <w:szCs w:val="22"/>
              </w:rPr>
              <w:t>–</w:t>
            </w:r>
            <w:r w:rsidRPr="00DC0DE2">
              <w:rPr>
                <w:sz w:val="22"/>
                <w:szCs w:val="22"/>
              </w:rPr>
              <w:tab/>
              <w:t xml:space="preserve">A la </w:t>
            </w:r>
            <w:proofErr w:type="gramStart"/>
            <w:r w:rsidRPr="00DC0DE2">
              <w:rPr>
                <w:sz w:val="22"/>
                <w:szCs w:val="22"/>
              </w:rPr>
              <w:t>Directora</w:t>
            </w:r>
            <w:proofErr w:type="gramEnd"/>
            <w:r w:rsidRPr="00DC0DE2">
              <w:rPr>
                <w:sz w:val="22"/>
                <w:szCs w:val="22"/>
              </w:rPr>
              <w:t xml:space="preserve"> de la Oficina de Desarrollo de las Telecomunicaciones;</w:t>
            </w:r>
          </w:p>
          <w:p w14:paraId="2FE1B25A" w14:textId="0861A917" w:rsidR="001C4F40" w:rsidRPr="00DC0DE2" w:rsidRDefault="001C4F40" w:rsidP="001C4F40">
            <w:pPr>
              <w:tabs>
                <w:tab w:val="clear" w:pos="794"/>
                <w:tab w:val="clear" w:pos="1191"/>
                <w:tab w:val="clear" w:pos="1588"/>
                <w:tab w:val="clear" w:pos="1985"/>
                <w:tab w:val="left" w:pos="226"/>
                <w:tab w:val="left" w:pos="510"/>
              </w:tabs>
              <w:spacing w:before="0"/>
              <w:ind w:left="226" w:hanging="169"/>
              <w:rPr>
                <w:sz w:val="22"/>
                <w:szCs w:val="22"/>
              </w:rPr>
            </w:pPr>
            <w:r w:rsidRPr="00DC0DE2">
              <w:rPr>
                <w:sz w:val="22"/>
                <w:szCs w:val="22"/>
              </w:rPr>
              <w:t>–</w:t>
            </w:r>
            <w:r w:rsidRPr="00DC0DE2">
              <w:rPr>
                <w:sz w:val="22"/>
                <w:szCs w:val="22"/>
              </w:rPr>
              <w:tab/>
              <w:t xml:space="preserve">Al </w:t>
            </w:r>
            <w:proofErr w:type="gramStart"/>
            <w:r w:rsidRPr="00DC0DE2">
              <w:rPr>
                <w:sz w:val="22"/>
                <w:szCs w:val="22"/>
              </w:rPr>
              <w:t>Director</w:t>
            </w:r>
            <w:proofErr w:type="gramEnd"/>
            <w:r w:rsidRPr="00DC0DE2">
              <w:rPr>
                <w:sz w:val="22"/>
                <w:szCs w:val="22"/>
              </w:rPr>
              <w:t xml:space="preserve"> de la Oficina de Radiocomunicaciones</w:t>
            </w:r>
          </w:p>
          <w:p w14:paraId="1F6E9E81" w14:textId="60191F24" w:rsidR="00C34772" w:rsidRPr="00DC0DE2" w:rsidRDefault="00C34772" w:rsidP="00303D62">
            <w:pPr>
              <w:tabs>
                <w:tab w:val="clear" w:pos="794"/>
                <w:tab w:val="clear" w:pos="1191"/>
                <w:tab w:val="clear" w:pos="1588"/>
                <w:tab w:val="clear" w:pos="1985"/>
                <w:tab w:val="left" w:pos="226"/>
                <w:tab w:val="left" w:pos="510"/>
              </w:tabs>
              <w:spacing w:before="0"/>
              <w:ind w:left="226" w:hanging="169"/>
              <w:rPr>
                <w:sz w:val="22"/>
                <w:szCs w:val="22"/>
              </w:rPr>
            </w:pPr>
          </w:p>
        </w:tc>
      </w:tr>
      <w:tr w:rsidR="007B6316" w:rsidRPr="00DC0DE2" w14:paraId="36A0190E" w14:textId="77777777" w:rsidTr="00A06036">
        <w:trPr>
          <w:cantSplit/>
          <w:trHeight w:val="622"/>
        </w:trPr>
        <w:tc>
          <w:tcPr>
            <w:tcW w:w="1126" w:type="dxa"/>
          </w:tcPr>
          <w:p w14:paraId="769CD587" w14:textId="77777777" w:rsidR="007B6316" w:rsidRPr="00DC0DE2" w:rsidRDefault="007B6316" w:rsidP="00340430">
            <w:pPr>
              <w:tabs>
                <w:tab w:val="left" w:pos="4111"/>
              </w:tabs>
              <w:spacing w:before="10"/>
              <w:ind w:left="-10"/>
              <w:rPr>
                <w:b/>
                <w:bCs/>
                <w:sz w:val="22"/>
                <w:szCs w:val="22"/>
              </w:rPr>
            </w:pPr>
            <w:r w:rsidRPr="00DC0DE2">
              <w:rPr>
                <w:b/>
                <w:bCs/>
                <w:sz w:val="22"/>
                <w:szCs w:val="22"/>
              </w:rPr>
              <w:t>Asunto:</w:t>
            </w:r>
          </w:p>
        </w:tc>
        <w:tc>
          <w:tcPr>
            <w:tcW w:w="9080" w:type="dxa"/>
            <w:gridSpan w:val="3"/>
          </w:tcPr>
          <w:p w14:paraId="79B883AA" w14:textId="3B0B2B49" w:rsidR="007B6316" w:rsidRPr="00DC0DE2" w:rsidRDefault="00AF6779" w:rsidP="00303D62">
            <w:pPr>
              <w:tabs>
                <w:tab w:val="left" w:pos="4111"/>
              </w:tabs>
              <w:spacing w:before="0"/>
              <w:rPr>
                <w:b/>
                <w:sz w:val="22"/>
                <w:szCs w:val="22"/>
              </w:rPr>
            </w:pPr>
            <w:r w:rsidRPr="00DC0DE2">
              <w:rPr>
                <w:b/>
                <w:sz w:val="22"/>
                <w:szCs w:val="22"/>
              </w:rPr>
              <w:t>Taller de la UIT sobre "Mejoras de protocolo para el IMS que se utilizará en las redes LTE/IMT-2020 y posteriores" (Reunión totalmente virtual, 5 de julio de 2021)</w:t>
            </w:r>
          </w:p>
        </w:tc>
      </w:tr>
    </w:tbl>
    <w:p w14:paraId="36EDF126" w14:textId="2825E27F" w:rsidR="00C34772" w:rsidRPr="00DC0DE2" w:rsidRDefault="00C34772" w:rsidP="007B6316">
      <w:pPr>
        <w:spacing w:before="320"/>
        <w:rPr>
          <w:sz w:val="22"/>
          <w:szCs w:val="22"/>
        </w:rPr>
      </w:pPr>
      <w:bookmarkStart w:id="1" w:name="StartTyping_S"/>
      <w:bookmarkStart w:id="2" w:name="suitetext"/>
      <w:bookmarkStart w:id="3" w:name="text"/>
      <w:bookmarkEnd w:id="1"/>
      <w:bookmarkEnd w:id="2"/>
      <w:bookmarkEnd w:id="3"/>
      <w:r w:rsidRPr="00DC0DE2">
        <w:rPr>
          <w:sz w:val="22"/>
          <w:szCs w:val="22"/>
        </w:rPr>
        <w:t>Muy Señora mía/Muy Señor mío</w:t>
      </w:r>
      <w:r w:rsidR="00340430" w:rsidRPr="00DC0DE2">
        <w:rPr>
          <w:sz w:val="22"/>
          <w:szCs w:val="22"/>
        </w:rPr>
        <w:t>,</w:t>
      </w:r>
    </w:p>
    <w:p w14:paraId="31C51018" w14:textId="2ACADAEF" w:rsidR="000E6D1B" w:rsidRPr="00DC0DE2" w:rsidRDefault="000E6D1B" w:rsidP="00C06431">
      <w:pPr>
        <w:rPr>
          <w:sz w:val="22"/>
          <w:szCs w:val="22"/>
        </w:rPr>
      </w:pPr>
      <w:r w:rsidRPr="00DC0DE2">
        <w:rPr>
          <w:sz w:val="22"/>
          <w:szCs w:val="22"/>
        </w:rPr>
        <w:t>1</w:t>
      </w:r>
      <w:r w:rsidRPr="00DC0DE2">
        <w:rPr>
          <w:sz w:val="22"/>
          <w:szCs w:val="22"/>
        </w:rPr>
        <w:tab/>
      </w:r>
      <w:proofErr w:type="gramStart"/>
      <w:r w:rsidR="00AF6779" w:rsidRPr="00DC0DE2">
        <w:rPr>
          <w:sz w:val="22"/>
          <w:szCs w:val="22"/>
        </w:rPr>
        <w:t>Tengo</w:t>
      </w:r>
      <w:proofErr w:type="gramEnd"/>
      <w:r w:rsidR="00AF6779" w:rsidRPr="00DC0DE2">
        <w:rPr>
          <w:sz w:val="22"/>
          <w:szCs w:val="22"/>
        </w:rPr>
        <w:t xml:space="preserve"> el placer de invitarle al Taller de la UIT sobre </w:t>
      </w:r>
      <w:r w:rsidR="00132865" w:rsidRPr="00DC0DE2">
        <w:rPr>
          <w:sz w:val="22"/>
          <w:szCs w:val="22"/>
        </w:rPr>
        <w:t>"</w:t>
      </w:r>
      <w:r w:rsidR="00AF6779" w:rsidRPr="00DC0DE2">
        <w:rPr>
          <w:b/>
          <w:bCs/>
          <w:sz w:val="22"/>
          <w:szCs w:val="22"/>
        </w:rPr>
        <w:t>Mejoras de protocolo para el IMS que se utilizará en las redes LTE/IMT-2020 y posteriores</w:t>
      </w:r>
      <w:r w:rsidR="00132865" w:rsidRPr="00DC0DE2">
        <w:rPr>
          <w:sz w:val="22"/>
          <w:szCs w:val="22"/>
        </w:rPr>
        <w:t>"</w:t>
      </w:r>
      <w:r w:rsidR="00AF6779" w:rsidRPr="00DC0DE2">
        <w:rPr>
          <w:sz w:val="22"/>
          <w:szCs w:val="22"/>
        </w:rPr>
        <w:t xml:space="preserve"> que tendrá lugar virtualmente el </w:t>
      </w:r>
      <w:r w:rsidR="00AF6779" w:rsidRPr="00DC0DE2">
        <w:rPr>
          <w:b/>
          <w:bCs/>
          <w:sz w:val="22"/>
          <w:szCs w:val="22"/>
        </w:rPr>
        <w:t>5</w:t>
      </w:r>
      <w:r w:rsidR="00132865" w:rsidRPr="00DC0DE2">
        <w:rPr>
          <w:b/>
          <w:bCs/>
          <w:sz w:val="22"/>
          <w:szCs w:val="22"/>
        </w:rPr>
        <w:t> </w:t>
      </w:r>
      <w:r w:rsidR="00AF6779" w:rsidRPr="00DC0DE2">
        <w:rPr>
          <w:b/>
          <w:bCs/>
          <w:sz w:val="22"/>
          <w:szCs w:val="22"/>
        </w:rPr>
        <w:t>de</w:t>
      </w:r>
      <w:r w:rsidR="00132865" w:rsidRPr="00DC0DE2">
        <w:rPr>
          <w:b/>
          <w:bCs/>
          <w:sz w:val="22"/>
          <w:szCs w:val="22"/>
        </w:rPr>
        <w:t> </w:t>
      </w:r>
      <w:r w:rsidR="00AF6779" w:rsidRPr="00DC0DE2">
        <w:rPr>
          <w:b/>
          <w:bCs/>
          <w:sz w:val="22"/>
          <w:szCs w:val="22"/>
        </w:rPr>
        <w:t>julio</w:t>
      </w:r>
      <w:r w:rsidR="00AF6779" w:rsidRPr="00DC0DE2">
        <w:rPr>
          <w:sz w:val="22"/>
          <w:szCs w:val="22"/>
        </w:rPr>
        <w:t xml:space="preserve"> de 14h00-17h30 CEST, hora de Ginebra.</w:t>
      </w:r>
      <w:r w:rsidR="002F533D" w:rsidRPr="00DC0DE2">
        <w:rPr>
          <w:sz w:val="22"/>
          <w:szCs w:val="22"/>
        </w:rPr>
        <w:t xml:space="preserve"> </w:t>
      </w:r>
    </w:p>
    <w:p w14:paraId="0CE8B097" w14:textId="3BDC2319" w:rsidR="00AF6779" w:rsidRPr="00DC0DE2" w:rsidRDefault="000E6D1B" w:rsidP="00AF6779">
      <w:pPr>
        <w:rPr>
          <w:sz w:val="22"/>
          <w:szCs w:val="22"/>
        </w:rPr>
      </w:pPr>
      <w:r w:rsidRPr="00DC0DE2">
        <w:rPr>
          <w:sz w:val="22"/>
          <w:szCs w:val="22"/>
        </w:rPr>
        <w:t>2</w:t>
      </w:r>
      <w:r w:rsidRPr="00DC0DE2">
        <w:rPr>
          <w:sz w:val="22"/>
          <w:szCs w:val="22"/>
        </w:rPr>
        <w:tab/>
      </w:r>
      <w:proofErr w:type="gramStart"/>
      <w:r w:rsidR="00AF6779" w:rsidRPr="00DC0DE2">
        <w:rPr>
          <w:sz w:val="22"/>
          <w:szCs w:val="22"/>
        </w:rPr>
        <w:t>En</w:t>
      </w:r>
      <w:proofErr w:type="gramEnd"/>
      <w:r w:rsidR="00AF6779" w:rsidRPr="00DC0DE2">
        <w:rPr>
          <w:sz w:val="22"/>
          <w:szCs w:val="22"/>
        </w:rPr>
        <w:t xml:space="preserve"> la actualidad, el subsistema multimedios IP (IMS) se ha desplegado en las NGN y en las redes basadas en LTE en todo el mundo. Se requerirían mejoras de protocolo para el IMS en apoyo de la itinerancia, el interfuncionamiento, la seguridad y la innovación de los servicios en tiempo real, como los servicios interactivos en las redes LTE/IMT-2020 y posteriores. Un panorama general de mejoras del protocolo IMS podría acelerar el despliegue global de IMS, el interfuncionamiento y la itinerancia en el entorno LTE/IMT-2020</w:t>
      </w:r>
      <w:r w:rsidR="00132865" w:rsidRPr="00DC0DE2">
        <w:rPr>
          <w:sz w:val="22"/>
          <w:szCs w:val="22"/>
        </w:rPr>
        <w:t>.</w:t>
      </w:r>
    </w:p>
    <w:p w14:paraId="68E7F2F0" w14:textId="77777777" w:rsidR="00AF6779" w:rsidRPr="00DC0DE2" w:rsidRDefault="000E6D1B" w:rsidP="00AF6779">
      <w:pPr>
        <w:rPr>
          <w:sz w:val="22"/>
          <w:szCs w:val="22"/>
        </w:rPr>
      </w:pPr>
      <w:r w:rsidRPr="00DC0DE2">
        <w:rPr>
          <w:sz w:val="22"/>
          <w:szCs w:val="22"/>
        </w:rPr>
        <w:t>3</w:t>
      </w:r>
      <w:r w:rsidRPr="00DC0DE2">
        <w:rPr>
          <w:sz w:val="22"/>
          <w:szCs w:val="22"/>
        </w:rPr>
        <w:tab/>
      </w:r>
      <w:proofErr w:type="gramStart"/>
      <w:r w:rsidR="00AF6779" w:rsidRPr="00DC0DE2">
        <w:rPr>
          <w:sz w:val="22"/>
          <w:szCs w:val="22"/>
        </w:rPr>
        <w:t>Desde</w:t>
      </w:r>
      <w:proofErr w:type="gramEnd"/>
      <w:r w:rsidR="00AF6779" w:rsidRPr="00DC0DE2">
        <w:rPr>
          <w:sz w:val="22"/>
          <w:szCs w:val="22"/>
        </w:rPr>
        <w:t xml:space="preserve"> 2007, el UIT-T ha estado trabajando en diferentes aspectos relacionados con los protocolos que ya se están utilizando en las redes basadas en IMS. Entre los logros recientes se encuentran las normas que definen los requisitos para la interconexión VoLTE/ViLTE y las especificaciones de prueba pertinentes, así como la infraestructura ENUM y las interfaces relacionadas en apoyo de la interconexión IMS.</w:t>
      </w:r>
    </w:p>
    <w:p w14:paraId="3C522BAA" w14:textId="2087F47E" w:rsidR="00EB6FFB" w:rsidRPr="00DC0DE2" w:rsidRDefault="000E6D1B" w:rsidP="00AF6779">
      <w:pPr>
        <w:rPr>
          <w:sz w:val="22"/>
          <w:szCs w:val="22"/>
        </w:rPr>
      </w:pPr>
      <w:r w:rsidRPr="00DC0DE2">
        <w:rPr>
          <w:sz w:val="22"/>
          <w:szCs w:val="22"/>
        </w:rPr>
        <w:t>4</w:t>
      </w:r>
      <w:r w:rsidRPr="00DC0DE2">
        <w:rPr>
          <w:sz w:val="22"/>
          <w:szCs w:val="22"/>
        </w:rPr>
        <w:tab/>
      </w:r>
      <w:proofErr w:type="gramStart"/>
      <w:r w:rsidR="00076EAB" w:rsidRPr="00DC0DE2">
        <w:rPr>
          <w:sz w:val="22"/>
          <w:szCs w:val="22"/>
        </w:rPr>
        <w:t>Todas</w:t>
      </w:r>
      <w:proofErr w:type="gramEnd"/>
      <w:r w:rsidR="00076EAB" w:rsidRPr="00DC0DE2">
        <w:rPr>
          <w:sz w:val="22"/>
          <w:szCs w:val="22"/>
        </w:rPr>
        <w:t xml:space="preserve"> estas actividades de la CE 11 del UIT-T están en consonancia con la </w:t>
      </w:r>
      <w:hyperlink r:id="rId10" w:history="1">
        <w:r w:rsidR="00076EAB" w:rsidRPr="00DC0DE2">
          <w:rPr>
            <w:rStyle w:val="Hyperlink"/>
            <w:sz w:val="22"/>
            <w:szCs w:val="22"/>
          </w:rPr>
          <w:t>Resolución 93 (AMNT-16)</w:t>
        </w:r>
      </w:hyperlink>
      <w:r w:rsidR="00076EAB" w:rsidRPr="00DC0DE2">
        <w:rPr>
          <w:sz w:val="22"/>
          <w:szCs w:val="22"/>
        </w:rPr>
        <w:t xml:space="preserve"> "Interconexión de redes 4G, IMT-2020 y posteriores" y podrían ayudar a los operadores a resolver los problemas de interfuncionamiento e itinerancia en las redes VolTE/ViLTE y posteriores.</w:t>
      </w:r>
    </w:p>
    <w:p w14:paraId="05A237DC" w14:textId="77777777" w:rsidR="00076EAB" w:rsidRPr="00DC0DE2" w:rsidRDefault="000E6D1B" w:rsidP="00076EAB">
      <w:pPr>
        <w:rPr>
          <w:sz w:val="22"/>
          <w:szCs w:val="22"/>
        </w:rPr>
      </w:pPr>
      <w:r w:rsidRPr="00DC0DE2">
        <w:rPr>
          <w:sz w:val="22"/>
          <w:szCs w:val="22"/>
        </w:rPr>
        <w:t>5</w:t>
      </w:r>
      <w:r w:rsidRPr="00DC0DE2">
        <w:rPr>
          <w:sz w:val="22"/>
          <w:szCs w:val="22"/>
        </w:rPr>
        <w:tab/>
      </w:r>
      <w:proofErr w:type="gramStart"/>
      <w:r w:rsidR="00076EAB" w:rsidRPr="00DC0DE2">
        <w:rPr>
          <w:sz w:val="22"/>
          <w:szCs w:val="22"/>
        </w:rPr>
        <w:t>El</w:t>
      </w:r>
      <w:proofErr w:type="gramEnd"/>
      <w:r w:rsidR="00076EAB" w:rsidRPr="00DC0DE2">
        <w:rPr>
          <w:sz w:val="22"/>
          <w:szCs w:val="22"/>
        </w:rPr>
        <w:t xml:space="preserve"> objetivo del taller es ofrecer una visión general de los resultados alcanzados y las actividades en curso en el trabajo de normalización de los protocolos IMS en el UIT-T y otras organizaciones de normalización, para compartir la práctica mundial y las perspectivas sobre el uso de IMS en las redes LTE/IMT-2020 y posteriores, para identificar los principales problemas y discutir el camino a seguir para mejorar el trabajo de normalización para IMS en las redes LTE/IMT-2020 y posteriores.</w:t>
      </w:r>
    </w:p>
    <w:p w14:paraId="79D64783" w14:textId="627C610D" w:rsidR="000E6D1B" w:rsidRPr="00DC0DE2" w:rsidRDefault="000E6D1B" w:rsidP="00C06431">
      <w:pPr>
        <w:rPr>
          <w:sz w:val="22"/>
          <w:szCs w:val="22"/>
        </w:rPr>
      </w:pPr>
      <w:r w:rsidRPr="00DC0DE2">
        <w:rPr>
          <w:sz w:val="22"/>
          <w:szCs w:val="22"/>
        </w:rPr>
        <w:t>6</w:t>
      </w:r>
      <w:r w:rsidRPr="00DC0DE2">
        <w:rPr>
          <w:sz w:val="22"/>
          <w:szCs w:val="22"/>
        </w:rPr>
        <w:tab/>
      </w:r>
      <w:proofErr w:type="gramStart"/>
      <w:r w:rsidR="00076EAB" w:rsidRPr="00DC0DE2">
        <w:rPr>
          <w:sz w:val="22"/>
          <w:szCs w:val="22"/>
        </w:rPr>
        <w:t>La</w:t>
      </w:r>
      <w:proofErr w:type="gramEnd"/>
      <w:r w:rsidR="00076EAB" w:rsidRPr="00DC0DE2">
        <w:rPr>
          <w:sz w:val="22"/>
          <w:szCs w:val="22"/>
        </w:rPr>
        <w:t xml:space="preserve"> participación está abierta a los Estados Miembros de la UIT, a los Miembros de los Sectores, a los Asociados y a las Instituciones Académicas, así como a cualquier persona de un país miembro de la UIT que desee contribuir a los trabajos. La participación es gratuita</w:t>
      </w:r>
      <w:r w:rsidRPr="00DC0DE2">
        <w:rPr>
          <w:sz w:val="22"/>
          <w:szCs w:val="22"/>
        </w:rPr>
        <w:t xml:space="preserve">. </w:t>
      </w:r>
    </w:p>
    <w:p w14:paraId="61490815" w14:textId="22BA4CA5" w:rsidR="007B6316" w:rsidRPr="00DC0DE2" w:rsidRDefault="000E6D1B" w:rsidP="00C06431">
      <w:pPr>
        <w:rPr>
          <w:sz w:val="22"/>
          <w:szCs w:val="22"/>
        </w:rPr>
      </w:pPr>
      <w:r w:rsidRPr="00DC0DE2">
        <w:rPr>
          <w:sz w:val="22"/>
          <w:szCs w:val="22"/>
        </w:rPr>
        <w:t>7</w:t>
      </w:r>
      <w:r w:rsidRPr="00DC0DE2">
        <w:rPr>
          <w:sz w:val="22"/>
          <w:szCs w:val="22"/>
        </w:rPr>
        <w:tab/>
      </w:r>
      <w:proofErr w:type="gramStart"/>
      <w:r w:rsidR="00076EAB" w:rsidRPr="00DC0DE2">
        <w:rPr>
          <w:sz w:val="22"/>
          <w:szCs w:val="22"/>
        </w:rPr>
        <w:t>Toda</w:t>
      </w:r>
      <w:proofErr w:type="gramEnd"/>
      <w:r w:rsidR="00076EAB" w:rsidRPr="00DC0DE2">
        <w:rPr>
          <w:sz w:val="22"/>
          <w:szCs w:val="22"/>
        </w:rPr>
        <w:t xml:space="preserve"> la información pertinente relativa al taller, incluido el proyecto de programa, los oradores, el enlace de conexión a distancia y los detalles de inscripción, estará disponible en el sitio web del evento: </w:t>
      </w:r>
      <w:hyperlink r:id="rId11" w:history="1">
        <w:r w:rsidR="00076EAB" w:rsidRPr="00DC0DE2">
          <w:rPr>
            <w:rStyle w:val="Hyperlink"/>
            <w:sz w:val="22"/>
            <w:szCs w:val="22"/>
          </w:rPr>
          <w:t>https://itu.int/go/IMS4-5GB</w:t>
        </w:r>
      </w:hyperlink>
      <w:r w:rsidR="00076EAB" w:rsidRPr="00DC0DE2">
        <w:rPr>
          <w:sz w:val="22"/>
          <w:szCs w:val="22"/>
        </w:rPr>
        <w:t xml:space="preserve">. Este sitio web se actualizará periódicamente a medida que se disponga de </w:t>
      </w:r>
      <w:r w:rsidR="00076EAB" w:rsidRPr="00DC0DE2">
        <w:rPr>
          <w:sz w:val="22"/>
          <w:szCs w:val="22"/>
        </w:rPr>
        <w:lastRenderedPageBreak/>
        <w:t>información nueva o modificada. Se ruega a los participantes que comprueben periódicamente si hay nuevas actualizaciones.</w:t>
      </w:r>
    </w:p>
    <w:p w14:paraId="18BC4D97" w14:textId="2B508541" w:rsidR="007B6316" w:rsidRPr="00DC0DE2" w:rsidRDefault="007B6316" w:rsidP="00C06431">
      <w:pPr>
        <w:rPr>
          <w:sz w:val="22"/>
          <w:szCs w:val="22"/>
        </w:rPr>
      </w:pPr>
      <w:r w:rsidRPr="00DC0DE2">
        <w:rPr>
          <w:sz w:val="22"/>
          <w:szCs w:val="22"/>
        </w:rPr>
        <w:t>Atentamente,</w:t>
      </w:r>
    </w:p>
    <w:p w14:paraId="40FF2F6F" w14:textId="4B14E4EE" w:rsidR="00401C20" w:rsidRPr="00DC0DE2" w:rsidRDefault="00006395" w:rsidP="00340430">
      <w:pPr>
        <w:spacing w:before="960"/>
        <w:rPr>
          <w:sz w:val="22"/>
          <w:szCs w:val="22"/>
        </w:rPr>
      </w:pPr>
      <w:r>
        <w:rPr>
          <w:noProof/>
          <w:sz w:val="22"/>
          <w:szCs w:val="22"/>
        </w:rPr>
        <w:drawing>
          <wp:anchor distT="0" distB="0" distL="114300" distR="114300" simplePos="0" relativeHeight="251658240" behindDoc="1" locked="0" layoutInCell="1" allowOverlap="1" wp14:anchorId="375CD756" wp14:editId="71A2B09A">
            <wp:simplePos x="0" y="0"/>
            <wp:positionH relativeFrom="column">
              <wp:posOffset>-1905</wp:posOffset>
            </wp:positionH>
            <wp:positionV relativeFrom="paragraph">
              <wp:posOffset>171450</wp:posOffset>
            </wp:positionV>
            <wp:extent cx="796602" cy="358775"/>
            <wp:effectExtent l="0" t="0" r="3810" b="3175"/>
            <wp:wrapNone/>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96602" cy="358775"/>
                    </a:xfrm>
                    <a:prstGeom prst="rect">
                      <a:avLst/>
                    </a:prstGeom>
                  </pic:spPr>
                </pic:pic>
              </a:graphicData>
            </a:graphic>
            <wp14:sizeRelH relativeFrom="margin">
              <wp14:pctWidth>0</wp14:pctWidth>
            </wp14:sizeRelH>
            <wp14:sizeRelV relativeFrom="margin">
              <wp14:pctHeight>0</wp14:pctHeight>
            </wp14:sizeRelV>
          </wp:anchor>
        </w:drawing>
      </w:r>
      <w:r w:rsidR="007B6316" w:rsidRPr="00DC0DE2">
        <w:rPr>
          <w:sz w:val="22"/>
          <w:szCs w:val="22"/>
        </w:rPr>
        <w:t>Chaesub Lee</w:t>
      </w:r>
      <w:r w:rsidR="007B6316" w:rsidRPr="00DC0DE2">
        <w:rPr>
          <w:sz w:val="22"/>
          <w:szCs w:val="22"/>
        </w:rPr>
        <w:br/>
      </w:r>
      <w:proofErr w:type="gramStart"/>
      <w:r w:rsidR="007B6316" w:rsidRPr="00DC0DE2">
        <w:rPr>
          <w:sz w:val="22"/>
          <w:szCs w:val="22"/>
        </w:rPr>
        <w:t>Director</w:t>
      </w:r>
      <w:proofErr w:type="gramEnd"/>
      <w:r w:rsidR="007B6316" w:rsidRPr="00DC0DE2">
        <w:rPr>
          <w:sz w:val="22"/>
          <w:szCs w:val="22"/>
        </w:rPr>
        <w:t xml:space="preserve"> de la Oficina de </w:t>
      </w:r>
      <w:r w:rsidR="007B6316" w:rsidRPr="00DC0DE2">
        <w:rPr>
          <w:sz w:val="22"/>
          <w:szCs w:val="22"/>
        </w:rPr>
        <w:br/>
        <w:t>Normalización de las Telecomunicaciones</w:t>
      </w:r>
    </w:p>
    <w:sectPr w:rsidR="00401C20" w:rsidRPr="00DC0DE2" w:rsidSect="00B87E9E">
      <w:headerReference w:type="default" r:id="rId13"/>
      <w:footerReference w:type="first" r:id="rId14"/>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0412D" w14:textId="77777777" w:rsidR="00D60A58" w:rsidRDefault="00D60A58">
      <w:r>
        <w:separator/>
      </w:r>
    </w:p>
  </w:endnote>
  <w:endnote w:type="continuationSeparator" w:id="0">
    <w:p w14:paraId="60C63998" w14:textId="77777777" w:rsidR="00D60A58" w:rsidRDefault="00D6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B3B96" w14:textId="7A672615" w:rsidR="0014464D" w:rsidRPr="00412E43" w:rsidRDefault="00412E43" w:rsidP="00412E43">
    <w:pPr>
      <w:pStyle w:val="FirstFooter"/>
      <w:ind w:left="-397" w:right="-397"/>
      <w:jc w:val="center"/>
      <w:rPr>
        <w:color w:val="0070C0"/>
        <w:szCs w:val="18"/>
        <w:lang w:val="es-ES"/>
      </w:rPr>
    </w:pPr>
    <w:r w:rsidRPr="00D834E7">
      <w:rPr>
        <w:color w:val="0070C0"/>
        <w:szCs w:val="18"/>
        <w:lang w:val="es-ES"/>
      </w:rPr>
      <w:t>Unión Internacional de Telecomunicaciones • Place des Nations, CH</w:t>
    </w:r>
    <w:r w:rsidRPr="00D834E7">
      <w:rPr>
        <w:color w:val="0070C0"/>
        <w:szCs w:val="18"/>
        <w:lang w:val="es-ES"/>
      </w:rPr>
      <w:noBreakHyphen/>
      <w:t xml:space="preserve">1211 Ginebra 20, Suiza </w:t>
    </w:r>
    <w:r w:rsidRPr="00D834E7">
      <w:rPr>
        <w:color w:val="0070C0"/>
        <w:szCs w:val="18"/>
        <w:lang w:val="es-ES"/>
      </w:rPr>
      <w:br/>
      <w:t xml:space="preserve">Tel: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EEDDF" w14:textId="77777777" w:rsidR="00D60A58" w:rsidRDefault="00D60A58">
      <w:r>
        <w:t>____________________</w:t>
      </w:r>
    </w:p>
  </w:footnote>
  <w:footnote w:type="continuationSeparator" w:id="0">
    <w:p w14:paraId="2A2B98B2" w14:textId="77777777" w:rsidR="00D60A58" w:rsidRDefault="00D60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CB678" w14:textId="65E0D7AC"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DC0DE2">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r w:rsidR="00E10661">
      <w:rPr>
        <w:rStyle w:val="PageNumber"/>
        <w:sz w:val="18"/>
        <w:szCs w:val="18"/>
      </w:rPr>
      <w:t>-</w:t>
    </w:r>
  </w:p>
  <w:p w14:paraId="5DA87C02" w14:textId="0C2D3F97" w:rsidR="001C4F40" w:rsidRPr="001C4F40" w:rsidRDefault="001C4F40">
    <w:pPr>
      <w:pStyle w:val="Header"/>
      <w:rPr>
        <w:rStyle w:val="PageNumber"/>
        <w:noProof/>
        <w:lang w:val="en-GB"/>
      </w:rPr>
    </w:pPr>
    <w:r w:rsidRPr="001C4F40">
      <w:rPr>
        <w:rStyle w:val="PageNumber"/>
        <w:noProof/>
        <w:sz w:val="18"/>
        <w:lang w:val="en-GB"/>
      </w:rPr>
      <w:t>Circular TSB 31</w:t>
    </w:r>
    <w:r w:rsidR="00711537">
      <w:rPr>
        <w:rStyle w:val="PageNumber"/>
        <w:noProof/>
        <w:sz w:val="18"/>
        <w:lang w:val="en-GB"/>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44787C70"/>
    <w:multiLevelType w:val="hybridMultilevel"/>
    <w:tmpl w:val="5F244C7E"/>
    <w:lvl w:ilvl="0" w:tplc="B6C06D6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D1B"/>
    <w:rsid w:val="00002529"/>
    <w:rsid w:val="00006395"/>
    <w:rsid w:val="00076EAB"/>
    <w:rsid w:val="00080856"/>
    <w:rsid w:val="00085662"/>
    <w:rsid w:val="000C382F"/>
    <w:rsid w:val="000E6D1B"/>
    <w:rsid w:val="001173CC"/>
    <w:rsid w:val="00132865"/>
    <w:rsid w:val="0014464D"/>
    <w:rsid w:val="0014560B"/>
    <w:rsid w:val="001A54CC"/>
    <w:rsid w:val="001C4F40"/>
    <w:rsid w:val="00257FB4"/>
    <w:rsid w:val="002E496E"/>
    <w:rsid w:val="002F533D"/>
    <w:rsid w:val="00303D62"/>
    <w:rsid w:val="00335367"/>
    <w:rsid w:val="00340430"/>
    <w:rsid w:val="00370C2D"/>
    <w:rsid w:val="003D1E8D"/>
    <w:rsid w:val="003D673B"/>
    <w:rsid w:val="003F2855"/>
    <w:rsid w:val="00401C20"/>
    <w:rsid w:val="00412E43"/>
    <w:rsid w:val="004A7957"/>
    <w:rsid w:val="004C4144"/>
    <w:rsid w:val="004E58A2"/>
    <w:rsid w:val="0055719E"/>
    <w:rsid w:val="006969B4"/>
    <w:rsid w:val="006E4F7B"/>
    <w:rsid w:val="00711446"/>
    <w:rsid w:val="00711537"/>
    <w:rsid w:val="007323C7"/>
    <w:rsid w:val="00744128"/>
    <w:rsid w:val="007619D5"/>
    <w:rsid w:val="00781E2A"/>
    <w:rsid w:val="007933A2"/>
    <w:rsid w:val="007B6316"/>
    <w:rsid w:val="00814503"/>
    <w:rsid w:val="008258C2"/>
    <w:rsid w:val="008505BD"/>
    <w:rsid w:val="00850C78"/>
    <w:rsid w:val="00876165"/>
    <w:rsid w:val="00884D12"/>
    <w:rsid w:val="008C17AD"/>
    <w:rsid w:val="008D02CD"/>
    <w:rsid w:val="0091370C"/>
    <w:rsid w:val="0095172A"/>
    <w:rsid w:val="009A0BA0"/>
    <w:rsid w:val="00A06036"/>
    <w:rsid w:val="00A23BF7"/>
    <w:rsid w:val="00A54E47"/>
    <w:rsid w:val="00A56AE5"/>
    <w:rsid w:val="00AB6E3A"/>
    <w:rsid w:val="00AD68F1"/>
    <w:rsid w:val="00AE7093"/>
    <w:rsid w:val="00AF6779"/>
    <w:rsid w:val="00B422BC"/>
    <w:rsid w:val="00B43F77"/>
    <w:rsid w:val="00B55A3E"/>
    <w:rsid w:val="00B87E9E"/>
    <w:rsid w:val="00B95F0A"/>
    <w:rsid w:val="00B96180"/>
    <w:rsid w:val="00C06431"/>
    <w:rsid w:val="00C116FE"/>
    <w:rsid w:val="00C16EF8"/>
    <w:rsid w:val="00C17AC0"/>
    <w:rsid w:val="00C2007D"/>
    <w:rsid w:val="00C34772"/>
    <w:rsid w:val="00C5465A"/>
    <w:rsid w:val="00CD5759"/>
    <w:rsid w:val="00CE6B4F"/>
    <w:rsid w:val="00D54642"/>
    <w:rsid w:val="00D60A58"/>
    <w:rsid w:val="00D66EB2"/>
    <w:rsid w:val="00DC0DE2"/>
    <w:rsid w:val="00DD77C9"/>
    <w:rsid w:val="00DF3538"/>
    <w:rsid w:val="00E10661"/>
    <w:rsid w:val="00E839B0"/>
    <w:rsid w:val="00E92C09"/>
    <w:rsid w:val="00EB6FFB"/>
    <w:rsid w:val="00F14380"/>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C51A0D"/>
  <w15:docId w15:val="{A19596C5-F4A3-44FB-9E41-CCD641511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customStyle="1" w:styleId="UnresolvedMention1">
    <w:name w:val="Unresolved Mention1"/>
    <w:basedOn w:val="DefaultParagraphFont"/>
    <w:uiPriority w:val="99"/>
    <w:semiHidden/>
    <w:unhideWhenUsed/>
    <w:rsid w:val="000E6D1B"/>
    <w:rPr>
      <w:color w:val="605E5C"/>
      <w:shd w:val="clear" w:color="auto" w:fill="E1DFDD"/>
    </w:rPr>
  </w:style>
  <w:style w:type="paragraph" w:styleId="ListParagraph">
    <w:name w:val="List Paragraph"/>
    <w:basedOn w:val="Normal"/>
    <w:uiPriority w:val="34"/>
    <w:qFormat/>
    <w:rsid w:val="00EB6F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u.int/go/IMS4-5G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ttps://www.itu.int/pub/publications.aspx?lang=en&amp;parent=T-RES-T.93-2016"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C8EC6-F16F-47F7-A4B3-4C094312C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13</TotalTime>
  <Pages>2</Pages>
  <Words>567</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3773</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9</cp:revision>
  <cp:lastPrinted>2021-06-11T10:15:00Z</cp:lastPrinted>
  <dcterms:created xsi:type="dcterms:W3CDTF">2021-06-01T13:40:00Z</dcterms:created>
  <dcterms:modified xsi:type="dcterms:W3CDTF">2021-06-11T10:15:00Z</dcterms:modified>
</cp:coreProperties>
</file>