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D4582B" w:rsidRPr="00696273" w14:paraId="4077BC4A" w14:textId="77777777" w:rsidTr="00F01D97">
        <w:trPr>
          <w:cantSplit/>
          <w:trHeight w:val="80"/>
        </w:trPr>
        <w:tc>
          <w:tcPr>
            <w:tcW w:w="1276" w:type="dxa"/>
            <w:gridSpan w:val="2"/>
            <w:vAlign w:val="center"/>
          </w:tcPr>
          <w:p w14:paraId="36F91039" w14:textId="77777777" w:rsidR="00D4582B" w:rsidRPr="00696273" w:rsidRDefault="00D4582B" w:rsidP="00344BEA">
            <w:pPr>
              <w:pStyle w:val="Tabletext0"/>
              <w:jc w:val="center"/>
            </w:pPr>
            <w:r w:rsidRPr="00696273">
              <w:rPr>
                <w:noProof/>
                <w:lang w:val="en-US" w:eastAsia="zh-CN"/>
              </w:rPr>
              <w:drawing>
                <wp:inline distT="0" distB="0" distL="0" distR="0" wp14:anchorId="268FC45A" wp14:editId="746C71A8">
                  <wp:extent cx="810895" cy="810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pic:spPr>
                      </pic:pic>
                    </a:graphicData>
                  </a:graphic>
                </wp:inline>
              </w:drawing>
            </w:r>
          </w:p>
        </w:tc>
        <w:tc>
          <w:tcPr>
            <w:tcW w:w="6521" w:type="dxa"/>
            <w:gridSpan w:val="2"/>
            <w:tcMar>
              <w:left w:w="142" w:type="dxa"/>
            </w:tcMar>
            <w:vAlign w:val="center"/>
          </w:tcPr>
          <w:p w14:paraId="0BF03E24" w14:textId="77777777" w:rsidR="00D4582B" w:rsidRPr="00696273" w:rsidRDefault="00D4582B" w:rsidP="00F01D97">
            <w:pPr>
              <w:spacing w:before="0"/>
              <w:rPr>
                <w:rFonts w:cs="Times New Roman Bold"/>
                <w:b/>
                <w:bCs/>
                <w:smallCaps/>
                <w:sz w:val="26"/>
                <w:szCs w:val="26"/>
              </w:rPr>
            </w:pPr>
            <w:r w:rsidRPr="00696273">
              <w:rPr>
                <w:rFonts w:cs="Times New Roman Bold"/>
                <w:b/>
                <w:bCs/>
                <w:smallCaps/>
                <w:sz w:val="36"/>
                <w:szCs w:val="36"/>
              </w:rPr>
              <w:t>Unión Internacional de Telecomunicaciones</w:t>
            </w:r>
          </w:p>
          <w:p w14:paraId="1A8C9FFB" w14:textId="77777777" w:rsidR="00D4582B" w:rsidRPr="00696273" w:rsidRDefault="00D4582B" w:rsidP="00642014">
            <w:pPr>
              <w:spacing w:before="0"/>
              <w:rPr>
                <w:rFonts w:ascii="Verdana" w:hAnsi="Verdana"/>
                <w:color w:val="FFFFFF"/>
                <w:sz w:val="26"/>
                <w:szCs w:val="26"/>
              </w:rPr>
            </w:pPr>
            <w:r w:rsidRPr="00696273">
              <w:rPr>
                <w:rFonts w:cs="Times New Roman Bold"/>
                <w:b/>
                <w:bCs/>
                <w:iCs/>
                <w:smallCaps/>
                <w:sz w:val="28"/>
                <w:szCs w:val="28"/>
              </w:rPr>
              <w:t>Oficina de Normalización de las Telecomunicaciones</w:t>
            </w:r>
          </w:p>
        </w:tc>
        <w:tc>
          <w:tcPr>
            <w:tcW w:w="1984" w:type="dxa"/>
            <w:vAlign w:val="center"/>
          </w:tcPr>
          <w:p w14:paraId="1FE21CCE" w14:textId="77777777" w:rsidR="00D4582B" w:rsidRPr="00696273" w:rsidRDefault="00D4582B" w:rsidP="00344BEA">
            <w:pPr>
              <w:spacing w:before="0"/>
              <w:jc w:val="right"/>
              <w:rPr>
                <w:rFonts w:ascii="Verdana" w:hAnsi="Verdana"/>
                <w:color w:val="FFFFFF"/>
                <w:sz w:val="26"/>
                <w:szCs w:val="26"/>
              </w:rPr>
            </w:pPr>
          </w:p>
        </w:tc>
      </w:tr>
      <w:tr w:rsidR="00D4582B" w:rsidRPr="00CB6CF1" w14:paraId="6815FDB0" w14:textId="77777777" w:rsidTr="00F7595F">
        <w:trPr>
          <w:cantSplit/>
          <w:trHeight w:val="80"/>
        </w:trPr>
        <w:tc>
          <w:tcPr>
            <w:tcW w:w="5387" w:type="dxa"/>
            <w:gridSpan w:val="3"/>
            <w:vAlign w:val="center"/>
          </w:tcPr>
          <w:p w14:paraId="4C7F383A" w14:textId="77777777" w:rsidR="00D4582B" w:rsidRPr="00CB6CF1" w:rsidRDefault="00D4582B" w:rsidP="00932E45">
            <w:pPr>
              <w:pStyle w:val="Tabletext0"/>
              <w:jc w:val="right"/>
              <w:rPr>
                <w:szCs w:val="22"/>
              </w:rPr>
            </w:pPr>
          </w:p>
        </w:tc>
        <w:tc>
          <w:tcPr>
            <w:tcW w:w="4394" w:type="dxa"/>
            <w:gridSpan w:val="2"/>
            <w:shd w:val="clear" w:color="auto" w:fill="auto"/>
            <w:vAlign w:val="center"/>
          </w:tcPr>
          <w:p w14:paraId="479CDEA3" w14:textId="77777777" w:rsidR="00D4582B" w:rsidRPr="00CB6CF1" w:rsidRDefault="00D4582B" w:rsidP="00866F44">
            <w:pPr>
              <w:pStyle w:val="Tabletext0"/>
              <w:spacing w:before="480" w:after="120"/>
              <w:rPr>
                <w:szCs w:val="22"/>
              </w:rPr>
            </w:pPr>
            <w:r w:rsidRPr="00CB6CF1">
              <w:rPr>
                <w:szCs w:val="22"/>
              </w:rPr>
              <w:t>Ginebra, 22 de abril de 2021</w:t>
            </w:r>
          </w:p>
        </w:tc>
      </w:tr>
      <w:tr w:rsidR="00D4582B" w:rsidRPr="00CB6CF1" w14:paraId="3648B60E" w14:textId="77777777" w:rsidTr="00A5354B">
        <w:trPr>
          <w:cantSplit/>
          <w:trHeight w:val="700"/>
        </w:trPr>
        <w:tc>
          <w:tcPr>
            <w:tcW w:w="1143" w:type="dxa"/>
          </w:tcPr>
          <w:p w14:paraId="2EB2270C" w14:textId="77777777" w:rsidR="00D4582B" w:rsidRPr="00CB6CF1" w:rsidRDefault="00D4582B" w:rsidP="0088403A">
            <w:pPr>
              <w:pStyle w:val="Tabletext0"/>
              <w:rPr>
                <w:rFonts w:ascii="Futura Lt BT" w:hAnsi="Futura Lt BT"/>
                <w:szCs w:val="22"/>
              </w:rPr>
            </w:pPr>
            <w:proofErr w:type="spellStart"/>
            <w:r w:rsidRPr="00CB6CF1">
              <w:rPr>
                <w:szCs w:val="22"/>
              </w:rPr>
              <w:t>Ref</w:t>
            </w:r>
            <w:proofErr w:type="spellEnd"/>
            <w:r w:rsidRPr="00CB6CF1">
              <w:rPr>
                <w:szCs w:val="22"/>
              </w:rPr>
              <w:t>:</w:t>
            </w:r>
          </w:p>
        </w:tc>
        <w:tc>
          <w:tcPr>
            <w:tcW w:w="4244" w:type="dxa"/>
            <w:gridSpan w:val="2"/>
          </w:tcPr>
          <w:p w14:paraId="0390D699" w14:textId="77777777" w:rsidR="00D4582B" w:rsidRPr="00CB6CF1" w:rsidRDefault="00D4582B" w:rsidP="0056338C">
            <w:pPr>
              <w:pStyle w:val="Tabletext0"/>
              <w:rPr>
                <w:b/>
                <w:szCs w:val="22"/>
              </w:rPr>
            </w:pPr>
            <w:r w:rsidRPr="00CB6CF1">
              <w:rPr>
                <w:b/>
                <w:szCs w:val="22"/>
              </w:rPr>
              <w:t>Circular TSB 309</w:t>
            </w:r>
          </w:p>
          <w:p w14:paraId="668559E3" w14:textId="77777777" w:rsidR="00D4582B" w:rsidRPr="00CB6CF1" w:rsidRDefault="00D4582B" w:rsidP="004D26ED">
            <w:pPr>
              <w:pStyle w:val="Tabletext0"/>
              <w:rPr>
                <w:szCs w:val="22"/>
              </w:rPr>
            </w:pPr>
            <w:r w:rsidRPr="00CB6CF1">
              <w:rPr>
                <w:szCs w:val="22"/>
              </w:rPr>
              <w:t>TSB Events/DA</w:t>
            </w:r>
          </w:p>
        </w:tc>
        <w:tc>
          <w:tcPr>
            <w:tcW w:w="4394" w:type="dxa"/>
            <w:gridSpan w:val="2"/>
            <w:vMerge w:val="restart"/>
          </w:tcPr>
          <w:p w14:paraId="24D63D0C" w14:textId="77777777" w:rsidR="00D4582B" w:rsidRPr="00CB6CF1" w:rsidRDefault="00D4582B" w:rsidP="00866F44">
            <w:pPr>
              <w:tabs>
                <w:tab w:val="left" w:pos="284"/>
              </w:tabs>
              <w:spacing w:before="0"/>
              <w:ind w:left="284" w:hanging="227"/>
              <w:rPr>
                <w:sz w:val="22"/>
                <w:szCs w:val="22"/>
              </w:rPr>
            </w:pPr>
            <w:bookmarkStart w:id="0" w:name="Addressee_E"/>
            <w:bookmarkEnd w:id="0"/>
          </w:p>
          <w:p w14:paraId="49F0B832" w14:textId="77777777" w:rsidR="00D4582B" w:rsidRPr="00CB6CF1" w:rsidRDefault="00D4582B" w:rsidP="00866F44">
            <w:pPr>
              <w:tabs>
                <w:tab w:val="left" w:pos="284"/>
              </w:tabs>
              <w:spacing w:before="0"/>
              <w:ind w:left="284" w:hanging="284"/>
              <w:rPr>
                <w:sz w:val="22"/>
                <w:szCs w:val="22"/>
              </w:rPr>
            </w:pPr>
            <w:r w:rsidRPr="00CB6CF1">
              <w:rPr>
                <w:sz w:val="22"/>
                <w:szCs w:val="22"/>
              </w:rPr>
              <w:t>–</w:t>
            </w:r>
            <w:r w:rsidRPr="00CB6CF1">
              <w:rPr>
                <w:sz w:val="22"/>
                <w:szCs w:val="22"/>
              </w:rPr>
              <w:tab/>
              <w:t>A las Administraciones de los Estados Miembros de la Unión;</w:t>
            </w:r>
          </w:p>
          <w:p w14:paraId="32D730E7" w14:textId="77777777" w:rsidR="00D4582B" w:rsidRPr="00CB6CF1" w:rsidRDefault="00D4582B" w:rsidP="00866F44">
            <w:pPr>
              <w:tabs>
                <w:tab w:val="left" w:pos="284"/>
              </w:tabs>
              <w:spacing w:before="0"/>
              <w:ind w:left="284" w:hanging="284"/>
              <w:rPr>
                <w:sz w:val="22"/>
                <w:szCs w:val="22"/>
              </w:rPr>
            </w:pPr>
            <w:r w:rsidRPr="00CB6CF1">
              <w:rPr>
                <w:sz w:val="22"/>
                <w:szCs w:val="22"/>
              </w:rPr>
              <w:t>–</w:t>
            </w:r>
            <w:r w:rsidRPr="00CB6CF1">
              <w:rPr>
                <w:sz w:val="22"/>
                <w:szCs w:val="22"/>
              </w:rPr>
              <w:tab/>
              <w:t>A los Miembros de Sector del UIT-T;</w:t>
            </w:r>
          </w:p>
          <w:p w14:paraId="047BE67D" w14:textId="77777777" w:rsidR="00D4582B" w:rsidRPr="00CB6CF1" w:rsidRDefault="00D4582B" w:rsidP="00866F44">
            <w:pPr>
              <w:tabs>
                <w:tab w:val="left" w:pos="284"/>
              </w:tabs>
              <w:spacing w:before="0"/>
              <w:ind w:left="284" w:hanging="284"/>
              <w:rPr>
                <w:sz w:val="22"/>
                <w:szCs w:val="22"/>
              </w:rPr>
            </w:pPr>
            <w:r w:rsidRPr="00CB6CF1">
              <w:rPr>
                <w:sz w:val="22"/>
                <w:szCs w:val="22"/>
              </w:rPr>
              <w:t>–</w:t>
            </w:r>
            <w:r w:rsidRPr="00CB6CF1">
              <w:rPr>
                <w:sz w:val="22"/>
                <w:szCs w:val="22"/>
              </w:rPr>
              <w:tab/>
              <w:t>A los Asociados del UIT-T;</w:t>
            </w:r>
          </w:p>
          <w:p w14:paraId="2045F159" w14:textId="77777777" w:rsidR="00D4582B" w:rsidRPr="00CB6CF1" w:rsidRDefault="00D4582B" w:rsidP="00866F44">
            <w:pPr>
              <w:tabs>
                <w:tab w:val="left" w:pos="284"/>
              </w:tabs>
              <w:spacing w:before="0"/>
              <w:ind w:left="284" w:hanging="284"/>
              <w:rPr>
                <w:sz w:val="22"/>
                <w:szCs w:val="22"/>
              </w:rPr>
            </w:pPr>
            <w:r w:rsidRPr="00CB6CF1">
              <w:rPr>
                <w:sz w:val="22"/>
                <w:szCs w:val="22"/>
              </w:rPr>
              <w:t>–</w:t>
            </w:r>
            <w:r w:rsidRPr="00CB6CF1">
              <w:rPr>
                <w:sz w:val="22"/>
                <w:szCs w:val="22"/>
              </w:rPr>
              <w:tab/>
              <w:t>A las Instituciones Académicas de la UIT.</w:t>
            </w:r>
          </w:p>
        </w:tc>
      </w:tr>
      <w:tr w:rsidR="00D4582B" w:rsidRPr="00CB6CF1" w14:paraId="1BA38791" w14:textId="77777777" w:rsidTr="00A5354B">
        <w:trPr>
          <w:cantSplit/>
          <w:trHeight w:val="289"/>
        </w:trPr>
        <w:tc>
          <w:tcPr>
            <w:tcW w:w="1143" w:type="dxa"/>
          </w:tcPr>
          <w:p w14:paraId="1E7CFEF2" w14:textId="77777777" w:rsidR="00D4582B" w:rsidRPr="00CB6CF1" w:rsidRDefault="00D4582B" w:rsidP="009B6449">
            <w:pPr>
              <w:pStyle w:val="Tabletext0"/>
              <w:rPr>
                <w:szCs w:val="22"/>
              </w:rPr>
            </w:pPr>
            <w:r w:rsidRPr="00CB6CF1">
              <w:rPr>
                <w:szCs w:val="22"/>
              </w:rPr>
              <w:t>Contacto</w:t>
            </w:r>
          </w:p>
        </w:tc>
        <w:tc>
          <w:tcPr>
            <w:tcW w:w="4244" w:type="dxa"/>
            <w:gridSpan w:val="2"/>
          </w:tcPr>
          <w:p w14:paraId="3C4D44CF" w14:textId="77777777" w:rsidR="00D4582B" w:rsidRPr="00CB6CF1" w:rsidRDefault="00D4582B" w:rsidP="009B6449">
            <w:pPr>
              <w:pStyle w:val="Tabletext0"/>
              <w:rPr>
                <w:b/>
                <w:szCs w:val="22"/>
              </w:rPr>
            </w:pPr>
            <w:bookmarkStart w:id="1" w:name="lt_pId033"/>
            <w:r w:rsidRPr="00CB6CF1">
              <w:rPr>
                <w:b/>
                <w:szCs w:val="22"/>
              </w:rPr>
              <w:t>Denis ANDREEV</w:t>
            </w:r>
            <w:bookmarkEnd w:id="1"/>
          </w:p>
        </w:tc>
        <w:tc>
          <w:tcPr>
            <w:tcW w:w="4394" w:type="dxa"/>
            <w:gridSpan w:val="2"/>
            <w:vMerge/>
          </w:tcPr>
          <w:p w14:paraId="7B558A32" w14:textId="77777777" w:rsidR="00D4582B" w:rsidRPr="00CB6CF1" w:rsidRDefault="00D4582B" w:rsidP="00932E45">
            <w:pPr>
              <w:pStyle w:val="Tabletext0"/>
              <w:ind w:left="142" w:hanging="142"/>
              <w:rPr>
                <w:szCs w:val="22"/>
              </w:rPr>
            </w:pPr>
          </w:p>
        </w:tc>
      </w:tr>
      <w:tr w:rsidR="00D4582B" w:rsidRPr="00CB6CF1" w14:paraId="7F3F560A" w14:textId="77777777" w:rsidTr="00A5354B">
        <w:trPr>
          <w:cantSplit/>
          <w:trHeight w:val="221"/>
        </w:trPr>
        <w:tc>
          <w:tcPr>
            <w:tcW w:w="1143" w:type="dxa"/>
          </w:tcPr>
          <w:p w14:paraId="6B9492A0" w14:textId="77777777" w:rsidR="00D4582B" w:rsidRPr="00CB6CF1" w:rsidRDefault="00D4582B" w:rsidP="009B6449">
            <w:pPr>
              <w:pStyle w:val="Tabletext0"/>
              <w:rPr>
                <w:szCs w:val="22"/>
              </w:rPr>
            </w:pPr>
            <w:r w:rsidRPr="00CB6CF1">
              <w:rPr>
                <w:szCs w:val="22"/>
              </w:rPr>
              <w:t>Tel:</w:t>
            </w:r>
          </w:p>
        </w:tc>
        <w:tc>
          <w:tcPr>
            <w:tcW w:w="4244" w:type="dxa"/>
            <w:gridSpan w:val="2"/>
          </w:tcPr>
          <w:p w14:paraId="3DC9F2DF" w14:textId="36B1B71A" w:rsidR="00D4582B" w:rsidRPr="00CB6CF1" w:rsidRDefault="00D4582B" w:rsidP="00B910C0">
            <w:pPr>
              <w:pStyle w:val="Tabletext0"/>
              <w:rPr>
                <w:b/>
                <w:szCs w:val="22"/>
              </w:rPr>
            </w:pPr>
            <w:r w:rsidRPr="00CB6CF1">
              <w:rPr>
                <w:szCs w:val="22"/>
              </w:rPr>
              <w:t>+41 22 730 5</w:t>
            </w:r>
            <w:r w:rsidR="0005383A" w:rsidRPr="00CB6CF1">
              <w:rPr>
                <w:szCs w:val="22"/>
              </w:rPr>
              <w:t>780</w:t>
            </w:r>
          </w:p>
        </w:tc>
        <w:tc>
          <w:tcPr>
            <w:tcW w:w="4394" w:type="dxa"/>
            <w:gridSpan w:val="2"/>
            <w:vMerge/>
          </w:tcPr>
          <w:p w14:paraId="07771A79" w14:textId="77777777" w:rsidR="00D4582B" w:rsidRPr="00CB6CF1" w:rsidRDefault="00D4582B" w:rsidP="00932E45">
            <w:pPr>
              <w:pStyle w:val="Tabletext0"/>
              <w:ind w:left="142" w:hanging="142"/>
              <w:rPr>
                <w:szCs w:val="22"/>
              </w:rPr>
            </w:pPr>
          </w:p>
        </w:tc>
      </w:tr>
      <w:tr w:rsidR="00D4582B" w:rsidRPr="00CB6CF1" w14:paraId="00E5C02B" w14:textId="77777777" w:rsidTr="00A5354B">
        <w:trPr>
          <w:cantSplit/>
          <w:trHeight w:val="282"/>
        </w:trPr>
        <w:tc>
          <w:tcPr>
            <w:tcW w:w="1143" w:type="dxa"/>
          </w:tcPr>
          <w:p w14:paraId="3BD4C5C7" w14:textId="77777777" w:rsidR="00D4582B" w:rsidRPr="00CB6CF1" w:rsidRDefault="00D4582B" w:rsidP="009B6449">
            <w:pPr>
              <w:pStyle w:val="Tabletext0"/>
              <w:rPr>
                <w:szCs w:val="22"/>
              </w:rPr>
            </w:pPr>
            <w:r w:rsidRPr="00CB6CF1">
              <w:rPr>
                <w:szCs w:val="22"/>
              </w:rPr>
              <w:t>Fax:</w:t>
            </w:r>
          </w:p>
        </w:tc>
        <w:tc>
          <w:tcPr>
            <w:tcW w:w="4244" w:type="dxa"/>
            <w:gridSpan w:val="2"/>
          </w:tcPr>
          <w:p w14:paraId="6CB43EC7" w14:textId="77777777" w:rsidR="00D4582B" w:rsidRPr="00CB6CF1" w:rsidRDefault="00D4582B" w:rsidP="009B6449">
            <w:pPr>
              <w:pStyle w:val="Tabletext0"/>
              <w:rPr>
                <w:b/>
                <w:szCs w:val="22"/>
              </w:rPr>
            </w:pPr>
            <w:r w:rsidRPr="00CB6CF1">
              <w:rPr>
                <w:szCs w:val="22"/>
              </w:rPr>
              <w:t>+41 22 730 5853</w:t>
            </w:r>
          </w:p>
        </w:tc>
        <w:tc>
          <w:tcPr>
            <w:tcW w:w="4394" w:type="dxa"/>
            <w:gridSpan w:val="2"/>
            <w:vMerge/>
          </w:tcPr>
          <w:p w14:paraId="59D9502D" w14:textId="77777777" w:rsidR="00D4582B" w:rsidRPr="00CB6CF1" w:rsidRDefault="00D4582B" w:rsidP="00932E45">
            <w:pPr>
              <w:pStyle w:val="Tabletext0"/>
              <w:ind w:left="142" w:hanging="142"/>
              <w:rPr>
                <w:szCs w:val="22"/>
              </w:rPr>
            </w:pPr>
          </w:p>
        </w:tc>
      </w:tr>
      <w:tr w:rsidR="00D4582B" w:rsidRPr="00CB6CF1" w14:paraId="1F10EBC7" w14:textId="77777777" w:rsidTr="00A5354B">
        <w:trPr>
          <w:cantSplit/>
          <w:trHeight w:val="1381"/>
        </w:trPr>
        <w:tc>
          <w:tcPr>
            <w:tcW w:w="1143" w:type="dxa"/>
          </w:tcPr>
          <w:p w14:paraId="0909E1BB" w14:textId="77777777" w:rsidR="00D4582B" w:rsidRPr="00CB6CF1" w:rsidRDefault="00D4582B" w:rsidP="009B6449">
            <w:pPr>
              <w:pStyle w:val="Tabletext0"/>
              <w:rPr>
                <w:szCs w:val="22"/>
              </w:rPr>
            </w:pPr>
            <w:r w:rsidRPr="00CB6CF1">
              <w:rPr>
                <w:szCs w:val="22"/>
              </w:rPr>
              <w:t>Correo-e:</w:t>
            </w:r>
          </w:p>
        </w:tc>
        <w:tc>
          <w:tcPr>
            <w:tcW w:w="4244" w:type="dxa"/>
            <w:gridSpan w:val="2"/>
          </w:tcPr>
          <w:p w14:paraId="5B256793" w14:textId="77777777" w:rsidR="00D4582B" w:rsidRPr="00CB6CF1" w:rsidRDefault="00021204" w:rsidP="001D1C12">
            <w:pPr>
              <w:pStyle w:val="Tabletext0"/>
              <w:rPr>
                <w:szCs w:val="22"/>
              </w:rPr>
            </w:pPr>
            <w:hyperlink r:id="rId9" w:history="1">
              <w:bookmarkStart w:id="2" w:name="lt_pId039"/>
              <w:r w:rsidR="00D4582B" w:rsidRPr="00CB6CF1">
                <w:rPr>
                  <w:rStyle w:val="Hyperlink"/>
                  <w:szCs w:val="22"/>
                </w:rPr>
                <w:t>tsbevents@itu.int</w:t>
              </w:r>
              <w:bookmarkEnd w:id="2"/>
            </w:hyperlink>
          </w:p>
        </w:tc>
        <w:tc>
          <w:tcPr>
            <w:tcW w:w="4394" w:type="dxa"/>
            <w:gridSpan w:val="2"/>
          </w:tcPr>
          <w:p w14:paraId="450350ED" w14:textId="77777777" w:rsidR="00D4582B" w:rsidRPr="00CB6CF1" w:rsidRDefault="00D4582B" w:rsidP="009B6449">
            <w:pPr>
              <w:pStyle w:val="Tabletext0"/>
              <w:rPr>
                <w:b/>
                <w:szCs w:val="22"/>
              </w:rPr>
            </w:pPr>
            <w:proofErr w:type="gramStart"/>
            <w:r w:rsidRPr="00CB6CF1">
              <w:rPr>
                <w:b/>
                <w:szCs w:val="22"/>
              </w:rPr>
              <w:t>Copia :</w:t>
            </w:r>
            <w:proofErr w:type="gramEnd"/>
          </w:p>
          <w:p w14:paraId="2B446014" w14:textId="77777777" w:rsidR="00D4582B" w:rsidRPr="00CB6CF1" w:rsidRDefault="00D4582B" w:rsidP="00866F44">
            <w:pPr>
              <w:tabs>
                <w:tab w:val="left" w:pos="376"/>
                <w:tab w:val="left" w:pos="4111"/>
              </w:tabs>
              <w:spacing w:before="0"/>
              <w:ind w:left="286" w:hanging="286"/>
              <w:rPr>
                <w:sz w:val="22"/>
                <w:szCs w:val="22"/>
              </w:rPr>
            </w:pPr>
            <w:r w:rsidRPr="00CB6CF1">
              <w:rPr>
                <w:sz w:val="22"/>
                <w:szCs w:val="22"/>
              </w:rPr>
              <w:t>–</w:t>
            </w:r>
            <w:r w:rsidRPr="00CB6CF1">
              <w:rPr>
                <w:sz w:val="22"/>
                <w:szCs w:val="22"/>
              </w:rPr>
              <w:tab/>
              <w:t xml:space="preserve">A los </w:t>
            </w:r>
            <w:proofErr w:type="gramStart"/>
            <w:r w:rsidRPr="00CB6CF1">
              <w:rPr>
                <w:sz w:val="22"/>
                <w:szCs w:val="22"/>
              </w:rPr>
              <w:t>Presidentes</w:t>
            </w:r>
            <w:proofErr w:type="gramEnd"/>
            <w:r w:rsidRPr="00CB6CF1">
              <w:rPr>
                <w:sz w:val="22"/>
                <w:szCs w:val="22"/>
              </w:rPr>
              <w:t xml:space="preserve"> y a los Vicepresidentes de las Comisiones de Estudio del UIT-T;</w:t>
            </w:r>
          </w:p>
          <w:p w14:paraId="792699C8" w14:textId="77777777" w:rsidR="00D4582B" w:rsidRPr="00CB6CF1" w:rsidRDefault="00D4582B" w:rsidP="00866F44">
            <w:pPr>
              <w:tabs>
                <w:tab w:val="left" w:pos="376"/>
                <w:tab w:val="left" w:pos="510"/>
              </w:tabs>
              <w:spacing w:before="0"/>
              <w:ind w:left="286" w:hanging="286"/>
              <w:rPr>
                <w:sz w:val="22"/>
                <w:szCs w:val="22"/>
              </w:rPr>
            </w:pPr>
            <w:r w:rsidRPr="00CB6CF1">
              <w:rPr>
                <w:sz w:val="22"/>
                <w:szCs w:val="22"/>
              </w:rPr>
              <w:t>–</w:t>
            </w:r>
            <w:r w:rsidRPr="00CB6CF1">
              <w:rPr>
                <w:sz w:val="22"/>
                <w:szCs w:val="22"/>
              </w:rPr>
              <w:tab/>
              <w:t xml:space="preserve">A la </w:t>
            </w:r>
            <w:proofErr w:type="gramStart"/>
            <w:r w:rsidRPr="00CB6CF1">
              <w:rPr>
                <w:sz w:val="22"/>
                <w:szCs w:val="22"/>
              </w:rPr>
              <w:t>Directora</w:t>
            </w:r>
            <w:proofErr w:type="gramEnd"/>
            <w:r w:rsidRPr="00CB6CF1">
              <w:rPr>
                <w:sz w:val="22"/>
                <w:szCs w:val="22"/>
              </w:rPr>
              <w:t xml:space="preserve"> de la Oficina de Desarrollo de las Telecomunicaciones;</w:t>
            </w:r>
          </w:p>
          <w:p w14:paraId="58E6888A" w14:textId="77777777" w:rsidR="00D4582B" w:rsidRPr="00CB6CF1" w:rsidRDefault="00D4582B" w:rsidP="00866F44">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376"/>
              </w:tabs>
              <w:ind w:left="286" w:hanging="286"/>
              <w:rPr>
                <w:szCs w:val="22"/>
              </w:rPr>
            </w:pPr>
            <w:r w:rsidRPr="00CB6CF1">
              <w:rPr>
                <w:szCs w:val="22"/>
              </w:rPr>
              <w:t>–</w:t>
            </w:r>
            <w:r w:rsidRPr="00CB6CF1">
              <w:rPr>
                <w:szCs w:val="22"/>
              </w:rPr>
              <w:tab/>
              <w:t>Al Director de la Oficina de Radiocomunicaciones.</w:t>
            </w:r>
          </w:p>
        </w:tc>
      </w:tr>
      <w:tr w:rsidR="00D4582B" w:rsidRPr="00CB6CF1" w14:paraId="6A85E81B" w14:textId="77777777" w:rsidTr="00A5354B">
        <w:trPr>
          <w:cantSplit/>
          <w:trHeight w:val="80"/>
        </w:trPr>
        <w:tc>
          <w:tcPr>
            <w:tcW w:w="1143" w:type="dxa"/>
          </w:tcPr>
          <w:p w14:paraId="6731FC5E" w14:textId="35B43297" w:rsidR="00D4582B" w:rsidRPr="00CB6CF1" w:rsidRDefault="00D4582B" w:rsidP="00696273">
            <w:pPr>
              <w:spacing w:before="360"/>
              <w:rPr>
                <w:b/>
                <w:bCs/>
                <w:sz w:val="22"/>
                <w:szCs w:val="22"/>
              </w:rPr>
            </w:pPr>
            <w:r w:rsidRPr="00CB6CF1">
              <w:rPr>
                <w:b/>
                <w:bCs/>
                <w:sz w:val="22"/>
                <w:szCs w:val="22"/>
              </w:rPr>
              <w:t>Asunto:</w:t>
            </w:r>
          </w:p>
        </w:tc>
        <w:tc>
          <w:tcPr>
            <w:tcW w:w="8638" w:type="dxa"/>
            <w:gridSpan w:val="4"/>
          </w:tcPr>
          <w:p w14:paraId="03ABA281" w14:textId="0511CA6B" w:rsidR="00D4582B" w:rsidRPr="00CB6CF1" w:rsidRDefault="00D4582B" w:rsidP="00696273">
            <w:pPr>
              <w:spacing w:before="360" w:after="120"/>
              <w:rPr>
                <w:rFonts w:eastAsia="Batang" w:cs="Calibri"/>
                <w:b/>
                <w:bCs/>
                <w:sz w:val="22"/>
                <w:szCs w:val="22"/>
                <w:lang w:eastAsia="ko-KR"/>
              </w:rPr>
            </w:pPr>
            <w:r w:rsidRPr="00CB6CF1">
              <w:rPr>
                <w:b/>
                <w:bCs/>
                <w:sz w:val="22"/>
                <w:szCs w:val="22"/>
              </w:rPr>
              <w:t xml:space="preserve">Seminario web conjunto UIT-MWF sobre </w:t>
            </w:r>
            <w:r w:rsidR="00696273" w:rsidRPr="00CB6CF1">
              <w:rPr>
                <w:b/>
                <w:bCs/>
                <w:sz w:val="22"/>
                <w:szCs w:val="22"/>
              </w:rPr>
              <w:t>"</w:t>
            </w:r>
            <w:r w:rsidRPr="00CB6CF1">
              <w:rPr>
                <w:b/>
                <w:bCs/>
                <w:sz w:val="22"/>
                <w:szCs w:val="22"/>
              </w:rPr>
              <w:t>Lucha contra los dispositivos móviles falsificados e irregulares: cómo afrontar el problema</w:t>
            </w:r>
            <w:r w:rsidR="00696273" w:rsidRPr="00CB6CF1">
              <w:rPr>
                <w:b/>
                <w:bCs/>
                <w:sz w:val="22"/>
                <w:szCs w:val="22"/>
              </w:rPr>
              <w:t>"</w:t>
            </w:r>
            <w:r w:rsidRPr="00CB6CF1">
              <w:rPr>
                <w:b/>
                <w:bCs/>
                <w:sz w:val="22"/>
                <w:szCs w:val="22"/>
              </w:rPr>
              <w:t xml:space="preserve"> (Reunión plenamente virtual, 31</w:t>
            </w:r>
            <w:r w:rsidR="008B2137" w:rsidRPr="00CB6CF1">
              <w:rPr>
                <w:b/>
                <w:bCs/>
                <w:sz w:val="22"/>
                <w:szCs w:val="22"/>
              </w:rPr>
              <w:t> </w:t>
            </w:r>
            <w:r w:rsidRPr="00CB6CF1">
              <w:rPr>
                <w:b/>
                <w:bCs/>
                <w:sz w:val="22"/>
                <w:szCs w:val="22"/>
              </w:rPr>
              <w:t>de mayo de 2021)</w:t>
            </w:r>
          </w:p>
        </w:tc>
      </w:tr>
    </w:tbl>
    <w:p w14:paraId="2E264B52" w14:textId="74D7B312" w:rsidR="00D4582B" w:rsidRPr="00CB6CF1" w:rsidRDefault="00D4582B" w:rsidP="00ED66A2">
      <w:pPr>
        <w:spacing w:before="360"/>
        <w:rPr>
          <w:sz w:val="22"/>
          <w:szCs w:val="22"/>
        </w:rPr>
      </w:pPr>
      <w:bookmarkStart w:id="3" w:name="StartTyping_E"/>
      <w:bookmarkEnd w:id="3"/>
      <w:r w:rsidRPr="00CB6CF1">
        <w:rPr>
          <w:sz w:val="22"/>
          <w:szCs w:val="22"/>
        </w:rPr>
        <w:t>Muy Señora mía/Muy Señor mío</w:t>
      </w:r>
      <w:r w:rsidR="0005383A" w:rsidRPr="00CB6CF1">
        <w:rPr>
          <w:sz w:val="22"/>
          <w:szCs w:val="22"/>
        </w:rPr>
        <w:t>:</w:t>
      </w:r>
    </w:p>
    <w:p w14:paraId="0E2457C4" w14:textId="4A6FCE51" w:rsidR="00D4582B" w:rsidRPr="00CB6CF1" w:rsidRDefault="00D4582B" w:rsidP="007C5D0F">
      <w:pPr>
        <w:rPr>
          <w:rFonts w:ascii="Calibri" w:hAnsi="Calibri"/>
          <w:sz w:val="22"/>
          <w:szCs w:val="22"/>
        </w:rPr>
      </w:pPr>
      <w:bookmarkStart w:id="4" w:name="suitetext"/>
      <w:bookmarkStart w:id="5" w:name="text"/>
      <w:bookmarkEnd w:id="4"/>
      <w:bookmarkEnd w:id="5"/>
      <w:r w:rsidRPr="00CB6CF1">
        <w:rPr>
          <w:sz w:val="22"/>
          <w:szCs w:val="22"/>
        </w:rPr>
        <w:t>1</w:t>
      </w:r>
      <w:r w:rsidRPr="00CB6CF1">
        <w:rPr>
          <w:sz w:val="22"/>
          <w:szCs w:val="22"/>
        </w:rPr>
        <w:tab/>
      </w:r>
      <w:proofErr w:type="gramStart"/>
      <w:r w:rsidRPr="00CB6CF1">
        <w:rPr>
          <w:sz w:val="22"/>
          <w:szCs w:val="22"/>
        </w:rPr>
        <w:t>Tengo</w:t>
      </w:r>
      <w:proofErr w:type="gramEnd"/>
      <w:r w:rsidRPr="00CB6CF1">
        <w:rPr>
          <w:sz w:val="22"/>
          <w:szCs w:val="22"/>
        </w:rPr>
        <w:t xml:space="preserve"> el placer de invitarle al </w:t>
      </w:r>
      <w:r w:rsidRPr="00CB6CF1">
        <w:rPr>
          <w:b/>
          <w:bCs/>
          <w:sz w:val="22"/>
          <w:szCs w:val="22"/>
        </w:rPr>
        <w:t xml:space="preserve">Seminario web conjunto UIT- Mobile &amp; Wireless </w:t>
      </w:r>
      <w:proofErr w:type="spellStart"/>
      <w:r w:rsidRPr="00CB6CF1">
        <w:rPr>
          <w:b/>
          <w:bCs/>
          <w:sz w:val="22"/>
          <w:szCs w:val="22"/>
        </w:rPr>
        <w:t>Forum</w:t>
      </w:r>
      <w:proofErr w:type="spellEnd"/>
      <w:r w:rsidRPr="00CB6CF1">
        <w:rPr>
          <w:b/>
          <w:bCs/>
          <w:sz w:val="22"/>
          <w:szCs w:val="22"/>
        </w:rPr>
        <w:t xml:space="preserve"> (MWF) sobre </w:t>
      </w:r>
      <w:r w:rsidR="00696273" w:rsidRPr="00CB6CF1">
        <w:rPr>
          <w:b/>
          <w:bCs/>
          <w:sz w:val="22"/>
          <w:szCs w:val="22"/>
        </w:rPr>
        <w:t>"</w:t>
      </w:r>
      <w:r w:rsidRPr="00CB6CF1">
        <w:rPr>
          <w:b/>
          <w:bCs/>
          <w:sz w:val="22"/>
          <w:szCs w:val="22"/>
        </w:rPr>
        <w:t>Lucha contra los dispositivos móviles falsificados e irregulares: cómo afrontar el problema</w:t>
      </w:r>
      <w:r w:rsidR="00696273" w:rsidRPr="00CB6CF1">
        <w:rPr>
          <w:b/>
          <w:bCs/>
          <w:sz w:val="22"/>
          <w:szCs w:val="22"/>
        </w:rPr>
        <w:t>"</w:t>
      </w:r>
      <w:r w:rsidRPr="00CB6CF1">
        <w:rPr>
          <w:sz w:val="22"/>
          <w:szCs w:val="22"/>
        </w:rPr>
        <w:t xml:space="preserve"> que se celebrará en modo virtual el</w:t>
      </w:r>
      <w:r w:rsidRPr="00CB6CF1">
        <w:rPr>
          <w:rFonts w:ascii="Calibri" w:hAnsi="Calibri"/>
          <w:sz w:val="22"/>
          <w:szCs w:val="22"/>
        </w:rPr>
        <w:t xml:space="preserve"> </w:t>
      </w:r>
      <w:r w:rsidRPr="00CB6CF1">
        <w:rPr>
          <w:rFonts w:ascii="Calibri" w:hAnsi="Calibri"/>
          <w:b/>
          <w:bCs/>
          <w:sz w:val="22"/>
          <w:szCs w:val="22"/>
        </w:rPr>
        <w:t>31 de mayo de 2021</w:t>
      </w:r>
      <w:r w:rsidRPr="00CB6CF1">
        <w:rPr>
          <w:rFonts w:ascii="Calibri" w:hAnsi="Calibri"/>
          <w:sz w:val="22"/>
          <w:szCs w:val="22"/>
        </w:rPr>
        <w:t xml:space="preserve"> de las 15.00 a las 18.15 horas (hora de Ginebra, CEST).</w:t>
      </w:r>
    </w:p>
    <w:p w14:paraId="2347BEEA" w14:textId="66A7AD06" w:rsidR="00D4582B" w:rsidRPr="00CB6CF1" w:rsidRDefault="00D4582B" w:rsidP="00ED66A2">
      <w:pPr>
        <w:rPr>
          <w:sz w:val="22"/>
          <w:szCs w:val="22"/>
        </w:rPr>
      </w:pPr>
      <w:r w:rsidRPr="00CB6CF1">
        <w:rPr>
          <w:sz w:val="22"/>
          <w:szCs w:val="22"/>
        </w:rPr>
        <w:t>2</w:t>
      </w:r>
      <w:r w:rsidRPr="00CB6CF1">
        <w:rPr>
          <w:sz w:val="22"/>
          <w:szCs w:val="22"/>
        </w:rPr>
        <w:tab/>
      </w:r>
      <w:proofErr w:type="gramStart"/>
      <w:r w:rsidRPr="00CB6CF1">
        <w:rPr>
          <w:sz w:val="22"/>
          <w:szCs w:val="22"/>
        </w:rPr>
        <w:t>Los</w:t>
      </w:r>
      <w:proofErr w:type="gramEnd"/>
      <w:r w:rsidRPr="00CB6CF1">
        <w:rPr>
          <w:sz w:val="22"/>
          <w:szCs w:val="22"/>
        </w:rPr>
        <w:t xml:space="preserve"> dispositivos falsificados o irregulares privan a los gobiernos de importantes ingresos, provocan pérdidas y daños a los propietarios de las marcas y proporcionan a los clientes dispositivos de peor calidad y unas experiencias inferiores a las esperadas.</w:t>
      </w:r>
    </w:p>
    <w:p w14:paraId="1273E024" w14:textId="3BAE12E5" w:rsidR="00D4582B" w:rsidRPr="00CB6CF1" w:rsidRDefault="00D4582B" w:rsidP="00ED66A2">
      <w:pPr>
        <w:rPr>
          <w:sz w:val="22"/>
          <w:szCs w:val="22"/>
        </w:rPr>
      </w:pPr>
      <w:r w:rsidRPr="00CB6CF1">
        <w:rPr>
          <w:sz w:val="22"/>
          <w:szCs w:val="22"/>
        </w:rPr>
        <w:t>3</w:t>
      </w:r>
      <w:r w:rsidRPr="00CB6CF1">
        <w:rPr>
          <w:sz w:val="22"/>
          <w:szCs w:val="22"/>
        </w:rPr>
        <w:tab/>
      </w:r>
      <w:proofErr w:type="gramStart"/>
      <w:r w:rsidRPr="00CB6CF1">
        <w:rPr>
          <w:sz w:val="22"/>
          <w:szCs w:val="22"/>
        </w:rPr>
        <w:t>Las</w:t>
      </w:r>
      <w:proofErr w:type="gramEnd"/>
      <w:r w:rsidRPr="00CB6CF1">
        <w:rPr>
          <w:sz w:val="22"/>
          <w:szCs w:val="22"/>
        </w:rPr>
        <w:t xml:space="preserve"> actividades de normalización para combatir la falsificación presentan un gran interés para muchos Estados Miembros y existen varias medidas prometedoras que ya </w:t>
      </w:r>
      <w:r w:rsidR="00F2177B" w:rsidRPr="00CB6CF1">
        <w:rPr>
          <w:sz w:val="22"/>
          <w:szCs w:val="22"/>
        </w:rPr>
        <w:t xml:space="preserve">se </w:t>
      </w:r>
      <w:r w:rsidRPr="00CB6CF1">
        <w:rPr>
          <w:sz w:val="22"/>
          <w:szCs w:val="22"/>
        </w:rPr>
        <w:t>han aplicado con éxito.</w:t>
      </w:r>
    </w:p>
    <w:p w14:paraId="026A8359" w14:textId="5109239A" w:rsidR="00D4582B" w:rsidRPr="00CB6CF1" w:rsidRDefault="00D4582B" w:rsidP="00ED66A2">
      <w:pPr>
        <w:rPr>
          <w:sz w:val="22"/>
          <w:szCs w:val="22"/>
        </w:rPr>
      </w:pPr>
      <w:r w:rsidRPr="00CB6CF1">
        <w:rPr>
          <w:sz w:val="22"/>
          <w:szCs w:val="22"/>
        </w:rPr>
        <w:t>4</w:t>
      </w:r>
      <w:r w:rsidRPr="00CB6CF1">
        <w:rPr>
          <w:sz w:val="22"/>
          <w:szCs w:val="22"/>
        </w:rPr>
        <w:tab/>
      </w:r>
      <w:proofErr w:type="gramStart"/>
      <w:r w:rsidRPr="00CB6CF1">
        <w:rPr>
          <w:sz w:val="22"/>
          <w:szCs w:val="22"/>
        </w:rPr>
        <w:t>El</w:t>
      </w:r>
      <w:proofErr w:type="gramEnd"/>
      <w:r w:rsidRPr="00CB6CF1">
        <w:rPr>
          <w:sz w:val="22"/>
          <w:szCs w:val="22"/>
        </w:rPr>
        <w:t xml:space="preserve"> seminario web se centra en la implementación de estos exitosos proyectos. Las presentaciones corren a cargo de expertos que han participado activamente en las fases y los procesos de implementación de los proyectos. De acuerdo con la Resolución 90 de la AMNT (AMNT-16) sobre el uso del código abierto en el Sector de Normalización de las Telecomunicaciones de la UIT, la UIT aprecia la colaboración en proyectos de código abierto, incluidos los que están relacionados con la lucha contra la falsificación.</w:t>
      </w:r>
    </w:p>
    <w:p w14:paraId="4B3D9EA2" w14:textId="1E288719" w:rsidR="00D4582B" w:rsidRPr="00CB6CF1" w:rsidRDefault="00D4582B" w:rsidP="00ED66A2">
      <w:pPr>
        <w:rPr>
          <w:sz w:val="22"/>
          <w:szCs w:val="22"/>
        </w:rPr>
      </w:pPr>
      <w:r w:rsidRPr="00CB6CF1">
        <w:rPr>
          <w:sz w:val="22"/>
          <w:szCs w:val="22"/>
        </w:rPr>
        <w:t>5</w:t>
      </w:r>
      <w:r w:rsidRPr="00CB6CF1">
        <w:rPr>
          <w:sz w:val="22"/>
          <w:szCs w:val="22"/>
        </w:rPr>
        <w:tab/>
      </w:r>
      <w:proofErr w:type="gramStart"/>
      <w:r w:rsidRPr="00CB6CF1">
        <w:rPr>
          <w:sz w:val="22"/>
          <w:szCs w:val="22"/>
        </w:rPr>
        <w:t>Este</w:t>
      </w:r>
      <w:proofErr w:type="gramEnd"/>
      <w:r w:rsidRPr="00CB6CF1">
        <w:rPr>
          <w:sz w:val="22"/>
          <w:szCs w:val="22"/>
        </w:rPr>
        <w:t xml:space="preserve"> seminario web ofrecerá una visión general de las actividades de la CE 11 del UIT-T en el ámbito de la lucha contra la falsificación, presentará visiones variadas de los diferentes casos de utilización y debatirá sobre posibles soluciones de código abierto para abordar estos problemas.</w:t>
      </w:r>
    </w:p>
    <w:p w14:paraId="15FB9AA0" w14:textId="77777777" w:rsidR="00D4582B" w:rsidRPr="00CB6CF1" w:rsidRDefault="00D4582B" w:rsidP="00ED66A2">
      <w:pPr>
        <w:keepLines/>
        <w:rPr>
          <w:sz w:val="22"/>
          <w:szCs w:val="22"/>
        </w:rPr>
      </w:pPr>
      <w:r w:rsidRPr="00CB6CF1">
        <w:rPr>
          <w:sz w:val="22"/>
          <w:szCs w:val="22"/>
        </w:rPr>
        <w:t>6</w:t>
      </w:r>
      <w:r w:rsidRPr="00CB6CF1">
        <w:rPr>
          <w:sz w:val="22"/>
          <w:szCs w:val="22"/>
        </w:rPr>
        <w:tab/>
      </w:r>
      <w:proofErr w:type="gramStart"/>
      <w:r w:rsidRPr="00CB6CF1">
        <w:rPr>
          <w:sz w:val="22"/>
          <w:szCs w:val="22"/>
        </w:rPr>
        <w:t>La</w:t>
      </w:r>
      <w:proofErr w:type="gramEnd"/>
      <w:r w:rsidRPr="00CB6CF1">
        <w:rPr>
          <w:sz w:val="22"/>
          <w:szCs w:val="22"/>
        </w:rPr>
        <w:t xml:space="preserve"> participación en el seminario web está abierta a los miembros y los que no son miembros del MWF y a todos los Estados Miembros, Miembros de Sector, Asociados e Instituciones Académicas de la UIT, y a cualquier persona de un país que sea miembro de la UIT y desee contribuir a los trabajos. La participación es gratuita.</w:t>
      </w:r>
    </w:p>
    <w:p w14:paraId="1BA6AC49" w14:textId="77777777" w:rsidR="00021204" w:rsidRDefault="00D4582B" w:rsidP="00ED66A2">
      <w:pPr>
        <w:rPr>
          <w:sz w:val="22"/>
          <w:szCs w:val="22"/>
        </w:rPr>
      </w:pPr>
      <w:r w:rsidRPr="00CB6CF1">
        <w:rPr>
          <w:sz w:val="22"/>
          <w:szCs w:val="22"/>
        </w:rPr>
        <w:t>7</w:t>
      </w:r>
      <w:r w:rsidRPr="00CB6CF1">
        <w:rPr>
          <w:sz w:val="22"/>
          <w:szCs w:val="22"/>
        </w:rPr>
        <w:tab/>
      </w:r>
      <w:bookmarkStart w:id="6" w:name="lt_pId062"/>
      <w:proofErr w:type="gramStart"/>
      <w:r w:rsidRPr="00CB6CF1">
        <w:rPr>
          <w:sz w:val="22"/>
          <w:szCs w:val="22"/>
        </w:rPr>
        <w:t>Toda</w:t>
      </w:r>
      <w:proofErr w:type="gramEnd"/>
      <w:r w:rsidRPr="00CB6CF1">
        <w:rPr>
          <w:sz w:val="22"/>
          <w:szCs w:val="22"/>
        </w:rPr>
        <w:t xml:space="preserve"> la información pertinente relativa al seminario web (proyecto de programa, oradores, detalles de la conexión a distancia, detalles para la inscripción) estará disponible en el sitio web del evento, en la dirección: </w:t>
      </w:r>
      <w:bookmarkEnd w:id="6"/>
      <w:r w:rsidR="00987D6C" w:rsidRPr="00CB6CF1">
        <w:rPr>
          <w:sz w:val="22"/>
          <w:szCs w:val="22"/>
        </w:rPr>
        <w:fldChar w:fldCharType="begin"/>
      </w:r>
      <w:r w:rsidR="00987D6C" w:rsidRPr="00CB6CF1">
        <w:rPr>
          <w:sz w:val="22"/>
          <w:szCs w:val="22"/>
        </w:rPr>
        <w:instrText xml:space="preserve"> HYPERLINK "https://www.itu.int/en/ITU-T/webinars/20210531/Pages/default.aspx" </w:instrText>
      </w:r>
      <w:r w:rsidR="00987D6C" w:rsidRPr="00CB6CF1">
        <w:rPr>
          <w:sz w:val="22"/>
          <w:szCs w:val="22"/>
        </w:rPr>
        <w:fldChar w:fldCharType="separate"/>
      </w:r>
      <w:r w:rsidR="00987D6C" w:rsidRPr="00CB6CF1">
        <w:rPr>
          <w:rStyle w:val="Hyperlink"/>
          <w:sz w:val="22"/>
          <w:szCs w:val="22"/>
        </w:rPr>
        <w:t>https://www.itu.int/go/WCC-MD</w:t>
      </w:r>
      <w:r w:rsidR="00987D6C" w:rsidRPr="00CB6CF1">
        <w:rPr>
          <w:sz w:val="22"/>
          <w:szCs w:val="22"/>
        </w:rPr>
        <w:fldChar w:fldCharType="end"/>
      </w:r>
      <w:r w:rsidRPr="00CB6CF1">
        <w:rPr>
          <w:sz w:val="22"/>
          <w:szCs w:val="22"/>
        </w:rPr>
        <w:t xml:space="preserve">. Este sitio web se pondrá periódicamente al día a medida </w:t>
      </w:r>
    </w:p>
    <w:p w14:paraId="0ED6A8A7" w14:textId="77777777" w:rsidR="00021204" w:rsidRDefault="00021204" w:rsidP="00ED66A2">
      <w:pPr>
        <w:rPr>
          <w:sz w:val="22"/>
          <w:szCs w:val="22"/>
        </w:rPr>
      </w:pPr>
    </w:p>
    <w:p w14:paraId="7067BA93" w14:textId="642C3413" w:rsidR="00D4582B" w:rsidRPr="00CB6CF1" w:rsidRDefault="00D4582B" w:rsidP="00ED66A2">
      <w:pPr>
        <w:rPr>
          <w:sz w:val="22"/>
          <w:szCs w:val="22"/>
        </w:rPr>
      </w:pPr>
      <w:r w:rsidRPr="00CB6CF1">
        <w:rPr>
          <w:sz w:val="22"/>
          <w:szCs w:val="22"/>
        </w:rPr>
        <w:t>que se disponga de información nueva o modificada. Se ruega a los participantes que comprueben regularmente el mismo para disponer de las últimas actualizaciones.</w:t>
      </w:r>
    </w:p>
    <w:p w14:paraId="40F07794" w14:textId="77777777" w:rsidR="00D4582B" w:rsidRPr="00CB6CF1" w:rsidRDefault="00D4582B" w:rsidP="00ED66A2">
      <w:pPr>
        <w:rPr>
          <w:sz w:val="22"/>
          <w:szCs w:val="22"/>
        </w:rPr>
      </w:pPr>
      <w:r w:rsidRPr="00CB6CF1">
        <w:rPr>
          <w:sz w:val="22"/>
          <w:szCs w:val="22"/>
        </w:rPr>
        <w:t>Atentamente,</w:t>
      </w:r>
    </w:p>
    <w:p w14:paraId="64CA6972" w14:textId="77777777" w:rsidR="00ED66A2" w:rsidRPr="00CB6CF1" w:rsidRDefault="00ED66A2" w:rsidP="00ED66A2">
      <w:pPr>
        <w:spacing w:before="480" w:after="480" w:line="480" w:lineRule="auto"/>
        <w:rPr>
          <w:sz w:val="22"/>
          <w:szCs w:val="22"/>
        </w:rPr>
      </w:pPr>
      <w:r w:rsidRPr="00CB6CF1">
        <w:rPr>
          <w:i/>
          <w:iCs/>
          <w:sz w:val="22"/>
          <w:szCs w:val="22"/>
        </w:rPr>
        <w:t>(firmado)</w:t>
      </w:r>
    </w:p>
    <w:p w14:paraId="64283258" w14:textId="0C8AB248" w:rsidR="00D4582B" w:rsidRPr="00CB6CF1" w:rsidRDefault="00ED66A2" w:rsidP="00ED66A2">
      <w:pPr>
        <w:rPr>
          <w:sz w:val="22"/>
          <w:szCs w:val="22"/>
        </w:rPr>
      </w:pPr>
      <w:r w:rsidRPr="00CB6CF1">
        <w:rPr>
          <w:sz w:val="22"/>
          <w:szCs w:val="22"/>
        </w:rPr>
        <w:t>Chaesub Lee</w:t>
      </w:r>
      <w:r w:rsidRPr="00CB6CF1">
        <w:rPr>
          <w:sz w:val="22"/>
          <w:szCs w:val="22"/>
        </w:rPr>
        <w:br/>
      </w:r>
      <w:proofErr w:type="gramStart"/>
      <w:r w:rsidRPr="00CB6CF1">
        <w:rPr>
          <w:sz w:val="22"/>
          <w:szCs w:val="22"/>
        </w:rPr>
        <w:t>Director</w:t>
      </w:r>
      <w:proofErr w:type="gramEnd"/>
      <w:r w:rsidRPr="00CB6CF1">
        <w:rPr>
          <w:sz w:val="22"/>
          <w:szCs w:val="22"/>
        </w:rPr>
        <w:t xml:space="preserve"> de la Oficina de </w:t>
      </w:r>
      <w:r w:rsidRPr="00CB6CF1">
        <w:rPr>
          <w:sz w:val="22"/>
          <w:szCs w:val="22"/>
        </w:rPr>
        <w:br/>
        <w:t>Normalización de las Telecomunicaciones</w:t>
      </w:r>
    </w:p>
    <w:sectPr w:rsidR="00D4582B" w:rsidRPr="00CB6CF1" w:rsidSect="00B87E9E">
      <w:headerReference w:type="default" r:id="rId10"/>
      <w:footerReference w:type="first" r:id="rId1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04D4" w14:textId="77777777" w:rsidR="00CB5160" w:rsidRDefault="00CB5160">
      <w:r>
        <w:separator/>
      </w:r>
    </w:p>
  </w:endnote>
  <w:endnote w:type="continuationSeparator" w:id="0">
    <w:p w14:paraId="16DB4728" w14:textId="77777777" w:rsidR="00CB5160" w:rsidRDefault="00CB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BCDB8" w14:textId="692908AF" w:rsidR="0014464D" w:rsidRPr="0055719E" w:rsidRDefault="0014464D" w:rsidP="00FC416A">
    <w:pPr>
      <w:pStyle w:val="FirstFooter"/>
      <w:ind w:left="-397" w:right="-397"/>
      <w:jc w:val="center"/>
      <w:rPr>
        <w:szCs w:val="18"/>
        <w:lang w:val="es-ES"/>
      </w:rPr>
    </w:pPr>
    <w:r w:rsidRPr="0055719E">
      <w:rPr>
        <w:szCs w:val="18"/>
        <w:lang w:val="es-ES"/>
      </w:rPr>
      <w:t xml:space="preserve">Unión Internacional de Telecomunicaciones • Place des </w:t>
    </w:r>
    <w:proofErr w:type="spellStart"/>
    <w:r w:rsidRPr="0055719E">
      <w:rPr>
        <w:szCs w:val="18"/>
        <w:lang w:val="es-ES"/>
      </w:rPr>
      <w:t>Nations</w:t>
    </w:r>
    <w:proofErr w:type="spellEnd"/>
    <w:r w:rsidRPr="0055719E">
      <w:rPr>
        <w:szCs w:val="18"/>
        <w:lang w:val="es-ES"/>
      </w:rPr>
      <w:t>, CH</w:t>
    </w:r>
    <w:r w:rsidRPr="0055719E">
      <w:rPr>
        <w:szCs w:val="18"/>
        <w:lang w:val="es-ES"/>
      </w:rPr>
      <w:noBreakHyphen/>
      <w:t xml:space="preserve">1211 Ginebra 20, Suiza </w:t>
    </w:r>
    <w:r w:rsidRPr="0055719E">
      <w:rPr>
        <w:szCs w:val="18"/>
        <w:lang w:val="es-ES"/>
      </w:rPr>
      <w:br/>
      <w:t>Tel</w:t>
    </w:r>
    <w:r w:rsidR="007C5D0F">
      <w:rPr>
        <w:szCs w:val="18"/>
        <w:lang w:val="es-ES"/>
      </w:rPr>
      <w:t>.</w:t>
    </w:r>
    <w:r w:rsidRPr="0055719E">
      <w:rPr>
        <w:szCs w:val="18"/>
        <w:lang w:val="es-ES"/>
      </w:rPr>
      <w:t xml:space="preserve">: +41 22 730 5111 • Fax: +41 22 733 7256 • Correo-e: </w:t>
    </w:r>
    <w:hyperlink r:id="rId1" w:history="1">
      <w:r w:rsidRPr="0055719E">
        <w:rPr>
          <w:rStyle w:val="Hyperlink"/>
          <w:lang w:val="es-ES"/>
        </w:rPr>
        <w:t>itumail@itu.int</w:t>
      </w:r>
    </w:hyperlink>
    <w:r w:rsidRPr="0055719E">
      <w:rPr>
        <w:szCs w:val="18"/>
        <w:lang w:val="es-ES"/>
      </w:rPr>
      <w:t xml:space="preserve"> • </w:t>
    </w:r>
    <w:hyperlink r:id="rId2" w:history="1">
      <w:r w:rsidRPr="0055719E">
        <w:rPr>
          <w:rStyle w:val="Hyperlink"/>
          <w:lang w:val="es-ES"/>
        </w:rPr>
        <w:t>www.itu.int</w:t>
      </w:r>
    </w:hyperlink>
    <w:r w:rsidRPr="0055719E">
      <w:rPr>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CE1C" w14:textId="77777777" w:rsidR="00CB5160" w:rsidRDefault="00CB5160">
      <w:r>
        <w:t>____________________</w:t>
      </w:r>
    </w:p>
  </w:footnote>
  <w:footnote w:type="continuationSeparator" w:id="0">
    <w:p w14:paraId="071C41A1" w14:textId="77777777" w:rsidR="00CB5160" w:rsidRDefault="00CB5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12F2" w14:textId="65A2B79D"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CB6CF1">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r w:rsidR="00021204">
      <w:rPr>
        <w:rStyle w:val="PageNumber"/>
        <w:sz w:val="18"/>
        <w:szCs w:val="18"/>
      </w:rPr>
      <w:t>–</w:t>
    </w:r>
  </w:p>
  <w:p w14:paraId="2CECC940" w14:textId="5E14E4D0" w:rsidR="00021204" w:rsidRDefault="00021204" w:rsidP="00021204">
    <w:pPr>
      <w:pStyle w:val="Header"/>
      <w:rPr>
        <w:sz w:val="18"/>
        <w:szCs w:val="18"/>
      </w:rPr>
    </w:pPr>
    <w:r>
      <w:rPr>
        <w:sz w:val="18"/>
        <w:szCs w:val="18"/>
      </w:rPr>
      <w:t>Circular TSB 30</w:t>
    </w:r>
    <w:r>
      <w:rPr>
        <w:sz w:val="18"/>
        <w:szCs w:val="18"/>
      </w:rPr>
      <w:t>9</w:t>
    </w:r>
  </w:p>
  <w:p w14:paraId="4CDEB537" w14:textId="77777777" w:rsidR="00021204" w:rsidRPr="00303D62" w:rsidRDefault="00021204">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2B"/>
    <w:rsid w:val="00002529"/>
    <w:rsid w:val="00021204"/>
    <w:rsid w:val="0005383A"/>
    <w:rsid w:val="00085662"/>
    <w:rsid w:val="000C382F"/>
    <w:rsid w:val="001173CC"/>
    <w:rsid w:val="0014464D"/>
    <w:rsid w:val="001A54CC"/>
    <w:rsid w:val="00257FB4"/>
    <w:rsid w:val="002E496E"/>
    <w:rsid w:val="00303D62"/>
    <w:rsid w:val="0030613C"/>
    <w:rsid w:val="00335367"/>
    <w:rsid w:val="00370C2D"/>
    <w:rsid w:val="003D1E8D"/>
    <w:rsid w:val="003D673B"/>
    <w:rsid w:val="003F2855"/>
    <w:rsid w:val="00401C20"/>
    <w:rsid w:val="004A7957"/>
    <w:rsid w:val="004C4144"/>
    <w:rsid w:val="0055719E"/>
    <w:rsid w:val="00696273"/>
    <w:rsid w:val="006969B4"/>
    <w:rsid w:val="006E4F7B"/>
    <w:rsid w:val="00781E2A"/>
    <w:rsid w:val="007933A2"/>
    <w:rsid w:val="007B6316"/>
    <w:rsid w:val="007C5D0F"/>
    <w:rsid w:val="00814503"/>
    <w:rsid w:val="008258C2"/>
    <w:rsid w:val="008505BD"/>
    <w:rsid w:val="00850C78"/>
    <w:rsid w:val="00876165"/>
    <w:rsid w:val="00884D12"/>
    <w:rsid w:val="008B2137"/>
    <w:rsid w:val="008C17AD"/>
    <w:rsid w:val="008D02CD"/>
    <w:rsid w:val="0091370C"/>
    <w:rsid w:val="0095172A"/>
    <w:rsid w:val="00987D6C"/>
    <w:rsid w:val="009A0BA0"/>
    <w:rsid w:val="00A54E47"/>
    <w:rsid w:val="00AB6E3A"/>
    <w:rsid w:val="00AE7093"/>
    <w:rsid w:val="00B422BC"/>
    <w:rsid w:val="00B43F77"/>
    <w:rsid w:val="00B55A3E"/>
    <w:rsid w:val="00B87E9E"/>
    <w:rsid w:val="00B95F0A"/>
    <w:rsid w:val="00B96180"/>
    <w:rsid w:val="00C116FE"/>
    <w:rsid w:val="00C17AC0"/>
    <w:rsid w:val="00C34772"/>
    <w:rsid w:val="00C5465A"/>
    <w:rsid w:val="00CB5160"/>
    <w:rsid w:val="00CB6CF1"/>
    <w:rsid w:val="00D4582B"/>
    <w:rsid w:val="00D54642"/>
    <w:rsid w:val="00DD77C9"/>
    <w:rsid w:val="00DF3538"/>
    <w:rsid w:val="00E17D3B"/>
    <w:rsid w:val="00E839B0"/>
    <w:rsid w:val="00E92C09"/>
    <w:rsid w:val="00ED66A2"/>
    <w:rsid w:val="00F14380"/>
    <w:rsid w:val="00F2177B"/>
    <w:rsid w:val="00F6461F"/>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E724780"/>
  <w15:docId w15:val="{4C0431F5-A16E-4E8A-AED5-DE8BE01F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character" w:customStyle="1" w:styleId="UnresolvedMention1">
    <w:name w:val="Unresolved Mention1"/>
    <w:basedOn w:val="DefaultParagraphFont"/>
    <w:uiPriority w:val="99"/>
    <w:semiHidden/>
    <w:unhideWhenUsed/>
    <w:rsid w:val="008B2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9859">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sbevents@itu.in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EC8E-E7C2-4CF8-A0E9-7B44F5EF6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79</TotalTime>
  <Pages>2</Pages>
  <Words>522</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3452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Spanish1</dc:creator>
  <cp:lastModifiedBy>Maguire, Mairéad</cp:lastModifiedBy>
  <cp:revision>5</cp:revision>
  <cp:lastPrinted>2011-04-15T08:24:00Z</cp:lastPrinted>
  <dcterms:created xsi:type="dcterms:W3CDTF">2021-04-23T11:13:00Z</dcterms:created>
  <dcterms:modified xsi:type="dcterms:W3CDTF">2021-04-30T09:41:00Z</dcterms:modified>
</cp:coreProperties>
</file>