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4DC770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78EC8A4" w14:textId="5024FCDB" w:rsidR="00344BEA" w:rsidRPr="009A54D9" w:rsidRDefault="007C7926" w:rsidP="00344BEA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60532FA" wp14:editId="00817D5C">
                  <wp:extent cx="810895" cy="8108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3BB42CA5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A219388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452576D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09EE027D" w14:textId="77777777" w:rsidTr="00F7595F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47E8F4A5" w14:textId="3A221D95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FE396E" w14:textId="4CCAF99F" w:rsidR="003D38E3" w:rsidRPr="003C58BF" w:rsidRDefault="003D38E3" w:rsidP="007D7FF7">
            <w:pPr>
              <w:pStyle w:val="Tabletext"/>
              <w:spacing w:before="480" w:after="120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 xml:space="preserve">Geneva, </w:t>
            </w:r>
            <w:r w:rsidR="00814F57">
              <w:rPr>
                <w:sz w:val="22"/>
                <w:szCs w:val="22"/>
              </w:rPr>
              <w:t>2</w:t>
            </w:r>
            <w:r w:rsidR="00F70F71">
              <w:rPr>
                <w:sz w:val="22"/>
                <w:szCs w:val="22"/>
              </w:rPr>
              <w:t>2</w:t>
            </w:r>
            <w:r w:rsidR="00D05C5F" w:rsidRPr="003C58BF">
              <w:rPr>
                <w:sz w:val="22"/>
                <w:szCs w:val="22"/>
              </w:rPr>
              <w:t xml:space="preserve"> April</w:t>
            </w:r>
            <w:r w:rsidR="004B376A" w:rsidRPr="003C58BF">
              <w:rPr>
                <w:sz w:val="22"/>
                <w:szCs w:val="22"/>
              </w:rPr>
              <w:t xml:space="preserve"> </w:t>
            </w:r>
            <w:r w:rsidR="009B4024" w:rsidRPr="003C58BF">
              <w:rPr>
                <w:sz w:val="22"/>
                <w:szCs w:val="22"/>
              </w:rPr>
              <w:t>20</w:t>
            </w:r>
            <w:r w:rsidR="006902B3" w:rsidRPr="003C58BF">
              <w:rPr>
                <w:sz w:val="22"/>
                <w:szCs w:val="22"/>
              </w:rPr>
              <w:t>2</w:t>
            </w:r>
            <w:r w:rsidR="002F59EF" w:rsidRPr="003C58BF">
              <w:rPr>
                <w:sz w:val="22"/>
                <w:szCs w:val="22"/>
              </w:rPr>
              <w:t>1</w:t>
            </w:r>
          </w:p>
        </w:tc>
      </w:tr>
      <w:tr w:rsidR="00932E45" w:rsidRPr="003C58BF" w14:paraId="0704AA02" w14:textId="77777777" w:rsidTr="00A5354B">
        <w:trPr>
          <w:cantSplit/>
          <w:trHeight w:val="700"/>
        </w:trPr>
        <w:tc>
          <w:tcPr>
            <w:tcW w:w="1143" w:type="dxa"/>
          </w:tcPr>
          <w:p w14:paraId="0AE21A81" w14:textId="77777777" w:rsidR="00932E45" w:rsidRPr="003C58BF" w:rsidRDefault="00932E45" w:rsidP="0088403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Ref:</w:t>
            </w:r>
          </w:p>
        </w:tc>
        <w:tc>
          <w:tcPr>
            <w:tcW w:w="4244" w:type="dxa"/>
            <w:gridSpan w:val="2"/>
          </w:tcPr>
          <w:p w14:paraId="1F1F76F8" w14:textId="4084861B" w:rsidR="00932E45" w:rsidRPr="003C58BF" w:rsidRDefault="00932E45" w:rsidP="0056338C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 xml:space="preserve">TSB Circular </w:t>
            </w:r>
            <w:r w:rsidR="00D05C5F" w:rsidRPr="003C58BF">
              <w:rPr>
                <w:b/>
                <w:sz w:val="22"/>
                <w:szCs w:val="22"/>
              </w:rPr>
              <w:t>309</w:t>
            </w:r>
          </w:p>
          <w:p w14:paraId="1523D31A" w14:textId="77777777" w:rsidR="00932E45" w:rsidRPr="003C58BF" w:rsidRDefault="002F4914" w:rsidP="00B910C0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 xml:space="preserve">TSB </w:t>
            </w:r>
            <w:r w:rsidR="00CA5F8E" w:rsidRPr="003C58BF">
              <w:rPr>
                <w:sz w:val="22"/>
                <w:szCs w:val="22"/>
              </w:rPr>
              <w:t>Events</w:t>
            </w:r>
            <w:r w:rsidRPr="003C58BF">
              <w:rPr>
                <w:sz w:val="22"/>
                <w:szCs w:val="22"/>
              </w:rPr>
              <w:t>/</w:t>
            </w:r>
            <w:r w:rsidR="00B32B08" w:rsidRPr="003C58BF">
              <w:rPr>
                <w:sz w:val="22"/>
                <w:szCs w:val="22"/>
              </w:rPr>
              <w:t>DA</w:t>
            </w:r>
          </w:p>
        </w:tc>
        <w:tc>
          <w:tcPr>
            <w:tcW w:w="4394" w:type="dxa"/>
            <w:gridSpan w:val="2"/>
            <w:vMerge w:val="restart"/>
          </w:tcPr>
          <w:p w14:paraId="1A66391B" w14:textId="77777777" w:rsidR="005A3191" w:rsidRPr="003C58BF" w:rsidRDefault="005A3191" w:rsidP="00222D56">
            <w:pPr>
              <w:pStyle w:val="Tabletext"/>
              <w:ind w:left="283" w:hanging="283"/>
              <w:rPr>
                <w:b/>
                <w:bCs/>
                <w:sz w:val="22"/>
                <w:szCs w:val="22"/>
              </w:rPr>
            </w:pPr>
            <w:bookmarkStart w:id="0" w:name="Addressee_E"/>
            <w:bookmarkEnd w:id="0"/>
            <w:r w:rsidRPr="003C58BF">
              <w:rPr>
                <w:b/>
                <w:bCs/>
                <w:sz w:val="22"/>
                <w:szCs w:val="22"/>
              </w:rPr>
              <w:t>To:</w:t>
            </w:r>
          </w:p>
          <w:p w14:paraId="5EA97E2C" w14:textId="77777777" w:rsidR="00932E45" w:rsidRPr="003C58BF" w:rsidRDefault="00932E45" w:rsidP="00EB0FD4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Pr="003C58BF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3C58BF">
              <w:rPr>
                <w:sz w:val="22"/>
                <w:szCs w:val="22"/>
              </w:rPr>
              <w:t>Union;</w:t>
            </w:r>
            <w:proofErr w:type="gramEnd"/>
          </w:p>
          <w:p w14:paraId="275A551F" w14:textId="77777777" w:rsidR="00932E45" w:rsidRPr="003C58BF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spell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Sector</w:t>
            </w:r>
            <w:proofErr w:type="spellEnd"/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 </w:t>
            </w:r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Members;</w:t>
            </w:r>
            <w:proofErr w:type="gramEnd"/>
          </w:p>
          <w:p w14:paraId="4F8058C2" w14:textId="77777777" w:rsidR="00932E45" w:rsidRPr="003C58BF" w:rsidRDefault="00EB0FD4" w:rsidP="00222D56">
            <w:pPr>
              <w:pStyle w:val="Tabletext"/>
              <w:ind w:left="283" w:hanging="283"/>
              <w:rPr>
                <w:color w:val="000000"/>
                <w:sz w:val="22"/>
                <w:szCs w:val="22"/>
                <w:lang w:val="fr-CH"/>
              </w:rPr>
            </w:pPr>
            <w:r w:rsidRPr="003C58BF">
              <w:rPr>
                <w:color w:val="000000"/>
                <w:sz w:val="22"/>
                <w:szCs w:val="22"/>
                <w:lang w:val="fr-CH"/>
              </w:rPr>
              <w:t>-</w:t>
            </w:r>
            <w:r w:rsidRPr="003C58BF">
              <w:rPr>
                <w:color w:val="000000"/>
                <w:sz w:val="22"/>
                <w:szCs w:val="22"/>
                <w:lang w:val="fr-CH"/>
              </w:rPr>
              <w:tab/>
            </w:r>
            <w:r w:rsidR="00932E45" w:rsidRPr="003C58BF">
              <w:rPr>
                <w:color w:val="000000"/>
                <w:sz w:val="22"/>
                <w:szCs w:val="22"/>
                <w:lang w:val="fr-CH"/>
              </w:rPr>
              <w:t xml:space="preserve">ITU-T </w:t>
            </w:r>
            <w:proofErr w:type="gramStart"/>
            <w:r w:rsidR="00932E45" w:rsidRPr="003C58BF">
              <w:rPr>
                <w:color w:val="000000"/>
                <w:sz w:val="22"/>
                <w:szCs w:val="22"/>
                <w:lang w:val="fr-CH"/>
              </w:rPr>
              <w:t>Associates;</w:t>
            </w:r>
            <w:proofErr w:type="gramEnd"/>
          </w:p>
          <w:p w14:paraId="09D9E3CB" w14:textId="77777777" w:rsidR="00932E45" w:rsidRPr="003C58BF" w:rsidRDefault="00EB0FD4" w:rsidP="004D0DCE">
            <w:pPr>
              <w:pStyle w:val="Tabletext"/>
              <w:ind w:left="283" w:hanging="283"/>
              <w:rPr>
                <w:sz w:val="22"/>
                <w:szCs w:val="22"/>
              </w:rPr>
            </w:pPr>
            <w:r w:rsidRPr="003C58BF">
              <w:rPr>
                <w:color w:val="000000"/>
                <w:sz w:val="22"/>
                <w:szCs w:val="22"/>
              </w:rPr>
              <w:t>-</w:t>
            </w:r>
            <w:r w:rsidRPr="003C58BF">
              <w:rPr>
                <w:color w:val="000000"/>
                <w:sz w:val="22"/>
                <w:szCs w:val="22"/>
              </w:rPr>
              <w:tab/>
            </w:r>
            <w:r w:rsidR="00932E45" w:rsidRPr="003C58BF">
              <w:rPr>
                <w:color w:val="000000"/>
                <w:sz w:val="22"/>
                <w:szCs w:val="22"/>
              </w:rPr>
              <w:t>ITU Academia</w:t>
            </w:r>
          </w:p>
        </w:tc>
      </w:tr>
      <w:tr w:rsidR="00932E45" w:rsidRPr="003C58BF" w14:paraId="4501FBA6" w14:textId="77777777" w:rsidTr="00A5354B">
        <w:trPr>
          <w:cantSplit/>
          <w:trHeight w:val="289"/>
        </w:trPr>
        <w:tc>
          <w:tcPr>
            <w:tcW w:w="1143" w:type="dxa"/>
          </w:tcPr>
          <w:p w14:paraId="58FAB83C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Contact:</w:t>
            </w:r>
          </w:p>
        </w:tc>
        <w:tc>
          <w:tcPr>
            <w:tcW w:w="4244" w:type="dxa"/>
            <w:gridSpan w:val="2"/>
          </w:tcPr>
          <w:p w14:paraId="257AC7C4" w14:textId="77777777" w:rsidR="00932E45" w:rsidRPr="003C58BF" w:rsidRDefault="00B32B08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>Denis ANDREEV</w:t>
            </w:r>
          </w:p>
        </w:tc>
        <w:tc>
          <w:tcPr>
            <w:tcW w:w="4394" w:type="dxa"/>
            <w:gridSpan w:val="2"/>
            <w:vMerge/>
          </w:tcPr>
          <w:p w14:paraId="724E683E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7A9D60EA" w14:textId="77777777" w:rsidTr="00A5354B">
        <w:trPr>
          <w:cantSplit/>
          <w:trHeight w:val="221"/>
        </w:trPr>
        <w:tc>
          <w:tcPr>
            <w:tcW w:w="1143" w:type="dxa"/>
          </w:tcPr>
          <w:p w14:paraId="781FE325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Tel:</w:t>
            </w:r>
          </w:p>
        </w:tc>
        <w:tc>
          <w:tcPr>
            <w:tcW w:w="4244" w:type="dxa"/>
            <w:gridSpan w:val="2"/>
          </w:tcPr>
          <w:p w14:paraId="7A5A0C75" w14:textId="77777777" w:rsidR="00932E45" w:rsidRPr="003C58BF" w:rsidRDefault="00932E45" w:rsidP="00B910C0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</w:t>
            </w:r>
            <w:r w:rsidR="0024314F" w:rsidRPr="003C58BF">
              <w:rPr>
                <w:sz w:val="22"/>
                <w:szCs w:val="22"/>
              </w:rPr>
              <w:t xml:space="preserve"> </w:t>
            </w:r>
            <w:r w:rsidR="005D2B53" w:rsidRPr="003C58BF">
              <w:rPr>
                <w:sz w:val="22"/>
                <w:szCs w:val="22"/>
              </w:rPr>
              <w:t>5</w:t>
            </w:r>
            <w:r w:rsidR="00B32B08" w:rsidRPr="003C58BF">
              <w:rPr>
                <w:sz w:val="22"/>
                <w:szCs w:val="22"/>
              </w:rPr>
              <w:t>780</w:t>
            </w:r>
          </w:p>
        </w:tc>
        <w:tc>
          <w:tcPr>
            <w:tcW w:w="4394" w:type="dxa"/>
            <w:gridSpan w:val="2"/>
            <w:vMerge/>
          </w:tcPr>
          <w:p w14:paraId="6B9CD4D2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932E45" w:rsidRPr="003C58BF" w14:paraId="211ADCE0" w14:textId="77777777" w:rsidTr="00A5354B">
        <w:trPr>
          <w:cantSplit/>
          <w:trHeight w:val="282"/>
        </w:trPr>
        <w:tc>
          <w:tcPr>
            <w:tcW w:w="1143" w:type="dxa"/>
          </w:tcPr>
          <w:p w14:paraId="029BEF1E" w14:textId="77777777" w:rsidR="00932E45" w:rsidRPr="003C58BF" w:rsidRDefault="00932E45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Fax:</w:t>
            </w:r>
          </w:p>
        </w:tc>
        <w:tc>
          <w:tcPr>
            <w:tcW w:w="4244" w:type="dxa"/>
            <w:gridSpan w:val="2"/>
          </w:tcPr>
          <w:p w14:paraId="3330F9FC" w14:textId="77777777" w:rsidR="00932E45" w:rsidRPr="003C58BF" w:rsidRDefault="00932E45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78F31934" w14:textId="77777777" w:rsidR="00932E45" w:rsidRPr="003C58BF" w:rsidRDefault="00932E45" w:rsidP="00932E45">
            <w:pPr>
              <w:pStyle w:val="Tabletext"/>
              <w:ind w:left="142" w:hanging="142"/>
              <w:rPr>
                <w:sz w:val="22"/>
                <w:szCs w:val="22"/>
              </w:rPr>
            </w:pPr>
          </w:p>
        </w:tc>
      </w:tr>
      <w:tr w:rsidR="00870336" w:rsidRPr="003C58BF" w14:paraId="24A9EBD5" w14:textId="77777777" w:rsidTr="00A5354B">
        <w:trPr>
          <w:cantSplit/>
          <w:trHeight w:val="1381"/>
        </w:trPr>
        <w:tc>
          <w:tcPr>
            <w:tcW w:w="1143" w:type="dxa"/>
          </w:tcPr>
          <w:p w14:paraId="1E982FF4" w14:textId="77777777" w:rsidR="0087300D" w:rsidRPr="003C58BF" w:rsidRDefault="0087300D" w:rsidP="009B6449">
            <w:pPr>
              <w:pStyle w:val="Tabletext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E-mail:</w:t>
            </w:r>
          </w:p>
        </w:tc>
        <w:tc>
          <w:tcPr>
            <w:tcW w:w="4244" w:type="dxa"/>
            <w:gridSpan w:val="2"/>
          </w:tcPr>
          <w:p w14:paraId="4F746E6B" w14:textId="1CE4E5C3" w:rsidR="0087300D" w:rsidRPr="003C58BF" w:rsidRDefault="00C6617B" w:rsidP="001D1C12">
            <w:pPr>
              <w:pStyle w:val="Tabletext"/>
              <w:rPr>
                <w:sz w:val="22"/>
                <w:szCs w:val="22"/>
              </w:rPr>
            </w:pPr>
            <w:hyperlink r:id="rId9" w:history="1">
              <w:r w:rsidR="003824B7" w:rsidRPr="003C58BF">
                <w:rPr>
                  <w:rStyle w:val="Hyperlink"/>
                  <w:sz w:val="22"/>
                  <w:szCs w:val="22"/>
                </w:rPr>
                <w:t>tsbevents@itu.int</w:t>
              </w:r>
            </w:hyperlink>
          </w:p>
        </w:tc>
        <w:tc>
          <w:tcPr>
            <w:tcW w:w="4394" w:type="dxa"/>
            <w:gridSpan w:val="2"/>
          </w:tcPr>
          <w:p w14:paraId="40BCE35A" w14:textId="77777777" w:rsidR="0087300D" w:rsidRPr="003C58BF" w:rsidRDefault="0087300D" w:rsidP="009B6449">
            <w:pPr>
              <w:pStyle w:val="Tabletext"/>
              <w:rPr>
                <w:b/>
                <w:sz w:val="22"/>
                <w:szCs w:val="22"/>
              </w:rPr>
            </w:pPr>
            <w:r w:rsidRPr="003C58BF">
              <w:rPr>
                <w:b/>
                <w:sz w:val="22"/>
                <w:szCs w:val="22"/>
              </w:rPr>
              <w:t>Copy</w:t>
            </w:r>
            <w:r w:rsidR="0038107A" w:rsidRPr="003C58BF">
              <w:rPr>
                <w:b/>
                <w:sz w:val="22"/>
                <w:szCs w:val="22"/>
              </w:rPr>
              <w:t xml:space="preserve"> to</w:t>
            </w:r>
            <w:r w:rsidRPr="003C58BF">
              <w:rPr>
                <w:b/>
                <w:sz w:val="22"/>
                <w:szCs w:val="22"/>
              </w:rPr>
              <w:t>:</w:t>
            </w:r>
          </w:p>
          <w:p w14:paraId="296ABD6D" w14:textId="77777777" w:rsidR="00932E45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="00122D83" w:rsidRPr="003C58BF">
              <w:rPr>
                <w:sz w:val="22"/>
                <w:szCs w:val="22"/>
              </w:rPr>
              <w:t>he Chairme</w:t>
            </w:r>
            <w:r w:rsidRPr="003C58BF">
              <w:rPr>
                <w:sz w:val="22"/>
                <w:szCs w:val="22"/>
              </w:rPr>
              <w:t xml:space="preserve">n and Vice-Chairmen of ITU-T Study </w:t>
            </w:r>
            <w:proofErr w:type="gramStart"/>
            <w:r w:rsidRPr="003C58BF">
              <w:rPr>
                <w:sz w:val="22"/>
                <w:szCs w:val="22"/>
              </w:rPr>
              <w:t>Groups;</w:t>
            </w:r>
            <w:proofErr w:type="gramEnd"/>
          </w:p>
          <w:p w14:paraId="7EF1CE3E" w14:textId="77777777" w:rsidR="00932E45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 xml:space="preserve">he Director of the Telecommunication Development </w:t>
            </w:r>
            <w:proofErr w:type="gramStart"/>
            <w:r w:rsidRPr="003C58BF">
              <w:rPr>
                <w:sz w:val="22"/>
                <w:szCs w:val="22"/>
              </w:rPr>
              <w:t>Bureau;</w:t>
            </w:r>
            <w:proofErr w:type="gramEnd"/>
          </w:p>
          <w:p w14:paraId="1D8223F3" w14:textId="77777777" w:rsidR="0087300D" w:rsidRPr="003C58BF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2"/>
                <w:szCs w:val="22"/>
              </w:rPr>
            </w:pPr>
            <w:r w:rsidRPr="003C58BF">
              <w:rPr>
                <w:sz w:val="22"/>
                <w:szCs w:val="22"/>
              </w:rPr>
              <w:t>-</w:t>
            </w:r>
            <w:r w:rsidR="00932E45" w:rsidRPr="003C58BF">
              <w:rPr>
                <w:sz w:val="22"/>
                <w:szCs w:val="22"/>
              </w:rPr>
              <w:tab/>
            </w:r>
            <w:r w:rsidR="00EB0FD4" w:rsidRPr="003C58BF">
              <w:rPr>
                <w:sz w:val="22"/>
                <w:szCs w:val="22"/>
              </w:rPr>
              <w:t>T</w:t>
            </w:r>
            <w:r w:rsidRPr="003C58BF">
              <w:rPr>
                <w:sz w:val="22"/>
                <w:szCs w:val="22"/>
              </w:rPr>
              <w:t>he Director of the Radiocommunication Bureau</w:t>
            </w:r>
          </w:p>
        </w:tc>
      </w:tr>
      <w:tr w:rsidR="00222D56" w:rsidRPr="003C58BF" w14:paraId="1A98A9D3" w14:textId="77777777" w:rsidTr="00A5354B">
        <w:trPr>
          <w:cantSplit/>
          <w:trHeight w:val="80"/>
        </w:trPr>
        <w:tc>
          <w:tcPr>
            <w:tcW w:w="1143" w:type="dxa"/>
          </w:tcPr>
          <w:p w14:paraId="25C919F4" w14:textId="0B45ED8D" w:rsidR="00222D56" w:rsidRPr="003C58BF" w:rsidRDefault="00222D56" w:rsidP="00D725FA">
            <w:pPr>
              <w:pStyle w:val="Tabletext"/>
              <w:spacing w:before="360" w:after="120"/>
              <w:rPr>
                <w:sz w:val="22"/>
                <w:szCs w:val="22"/>
              </w:rPr>
            </w:pPr>
            <w:r w:rsidRPr="003C58BF">
              <w:rPr>
                <w:b/>
                <w:bCs/>
                <w:sz w:val="22"/>
                <w:szCs w:val="22"/>
              </w:rPr>
              <w:t>Subject</w:t>
            </w:r>
            <w:r w:rsidRPr="003C58BF">
              <w:rPr>
                <w:sz w:val="22"/>
                <w:szCs w:val="22"/>
              </w:rPr>
              <w:t>:</w:t>
            </w:r>
            <w:r w:rsidR="00D725FA" w:rsidRPr="003C58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38" w:type="dxa"/>
            <w:gridSpan w:val="4"/>
          </w:tcPr>
          <w:p w14:paraId="2EF57BBC" w14:textId="48FA7632" w:rsidR="00222D56" w:rsidRPr="003C58BF" w:rsidRDefault="003C58BF" w:rsidP="00D725FA">
            <w:pPr>
              <w:pStyle w:val="Tabletext"/>
              <w:spacing w:before="360" w:after="120"/>
              <w:rPr>
                <w:rFonts w:eastAsia="Batang" w:cs="Calibri"/>
                <w:b/>
                <w:bCs/>
                <w:sz w:val="22"/>
                <w:szCs w:val="22"/>
                <w:lang w:val="en-US" w:eastAsia="ko-KR"/>
              </w:rPr>
            </w:pPr>
            <w:r w:rsidRPr="003C58BF">
              <w:rPr>
                <w:b/>
                <w:bCs/>
                <w:sz w:val="22"/>
                <w:szCs w:val="22"/>
                <w:lang w:val="en-US"/>
              </w:rPr>
              <w:t>Joint ITU</w:t>
            </w:r>
            <w:r w:rsidR="00062E8C">
              <w:rPr>
                <w:b/>
                <w:bCs/>
                <w:sz w:val="22"/>
                <w:szCs w:val="22"/>
                <w:lang w:val="en-US"/>
              </w:rPr>
              <w:t>-</w:t>
            </w:r>
            <w:r w:rsidRPr="003C58BF">
              <w:rPr>
                <w:b/>
                <w:bCs/>
                <w:sz w:val="22"/>
                <w:szCs w:val="22"/>
                <w:lang w:val="en-US"/>
              </w:rPr>
              <w:t xml:space="preserve">MWF Webinar </w:t>
            </w:r>
            <w:r w:rsidR="00CC2DDB">
              <w:rPr>
                <w:b/>
                <w:bCs/>
                <w:sz w:val="22"/>
                <w:szCs w:val="22"/>
                <w:lang w:val="en-US"/>
              </w:rPr>
              <w:t xml:space="preserve">on </w:t>
            </w:r>
            <w:r w:rsidRPr="003C58BF">
              <w:rPr>
                <w:b/>
                <w:bCs/>
                <w:sz w:val="22"/>
                <w:szCs w:val="22"/>
                <w:lang w:val="en-US"/>
              </w:rPr>
              <w:t xml:space="preserve">“Combating Counterfeit and Irregular Mobile Devices: How to </w:t>
            </w:r>
            <w:r w:rsidR="00EF339F">
              <w:rPr>
                <w:b/>
                <w:bCs/>
                <w:sz w:val="22"/>
                <w:szCs w:val="22"/>
                <w:lang w:val="en-US"/>
              </w:rPr>
              <w:t>A</w:t>
            </w:r>
            <w:r w:rsidRPr="003C58BF">
              <w:rPr>
                <w:b/>
                <w:bCs/>
                <w:sz w:val="22"/>
                <w:szCs w:val="22"/>
                <w:lang w:val="en-US"/>
              </w:rPr>
              <w:t xml:space="preserve">ddress the Problem” </w:t>
            </w:r>
            <w:r w:rsidR="00FB3DA4" w:rsidRPr="003C58BF">
              <w:rPr>
                <w:b/>
                <w:bCs/>
                <w:sz w:val="22"/>
                <w:szCs w:val="22"/>
                <w:lang w:val="en-US"/>
              </w:rPr>
              <w:t>(</w:t>
            </w:r>
            <w:r w:rsidR="006902B3" w:rsidRPr="003C58BF">
              <w:rPr>
                <w:b/>
                <w:bCs/>
                <w:sz w:val="22"/>
                <w:szCs w:val="22"/>
                <w:lang w:val="en-US"/>
              </w:rPr>
              <w:t>Fully Virtual Meeting</w:t>
            </w:r>
            <w:r w:rsidRPr="003C58BF">
              <w:rPr>
                <w:b/>
                <w:bCs/>
                <w:sz w:val="22"/>
                <w:szCs w:val="22"/>
                <w:lang w:val="en-US"/>
              </w:rPr>
              <w:t>, 31 May 2021</w:t>
            </w:r>
            <w:r w:rsidR="00FB3DA4" w:rsidRPr="003C58BF">
              <w:rPr>
                <w:b/>
                <w:bCs/>
                <w:sz w:val="22"/>
                <w:szCs w:val="22"/>
                <w:lang w:val="en-US"/>
              </w:rPr>
              <w:t>)</w:t>
            </w:r>
          </w:p>
        </w:tc>
      </w:tr>
    </w:tbl>
    <w:p w14:paraId="6DB7C4EA" w14:textId="77777777" w:rsidR="0087300D" w:rsidRPr="003C58BF" w:rsidRDefault="0087300D" w:rsidP="0013103F">
      <w:pPr>
        <w:pStyle w:val="Normalaftertitle0"/>
        <w:spacing w:before="360"/>
        <w:rPr>
          <w:sz w:val="22"/>
          <w:szCs w:val="22"/>
        </w:rPr>
      </w:pPr>
      <w:bookmarkStart w:id="1" w:name="StartTyping_E"/>
      <w:bookmarkEnd w:id="1"/>
      <w:r w:rsidRPr="003C58BF">
        <w:rPr>
          <w:sz w:val="22"/>
          <w:szCs w:val="22"/>
        </w:rPr>
        <w:t>Dear Sir/Madam,</w:t>
      </w:r>
    </w:p>
    <w:p w14:paraId="3F8B9B21" w14:textId="08B1F794" w:rsidR="00B67350" w:rsidRPr="003C58BF" w:rsidRDefault="0087300D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bookmarkStart w:id="2" w:name="suitetext"/>
      <w:bookmarkStart w:id="3" w:name="text"/>
      <w:bookmarkEnd w:id="2"/>
      <w:bookmarkEnd w:id="3"/>
      <w:r w:rsidRPr="003C58BF">
        <w:rPr>
          <w:bCs/>
          <w:sz w:val="22"/>
          <w:szCs w:val="22"/>
        </w:rPr>
        <w:t>1</w:t>
      </w:r>
      <w:r w:rsidRPr="003C58BF">
        <w:rPr>
          <w:sz w:val="22"/>
          <w:szCs w:val="22"/>
        </w:rPr>
        <w:tab/>
      </w:r>
      <w:r w:rsidR="00D725FA" w:rsidRPr="003C58BF">
        <w:rPr>
          <w:sz w:val="22"/>
          <w:szCs w:val="22"/>
        </w:rPr>
        <w:t>I</w:t>
      </w:r>
      <w:r w:rsidR="00D725FA" w:rsidRPr="003C58BF">
        <w:rPr>
          <w:sz w:val="22"/>
          <w:szCs w:val="22"/>
          <w:lang w:val="en-US"/>
        </w:rPr>
        <w:t xml:space="preserve">t </w:t>
      </w:r>
      <w:r w:rsidR="00D725FA" w:rsidRPr="003C58BF">
        <w:rPr>
          <w:rFonts w:ascii="Calibri" w:hAnsi="Calibri"/>
          <w:sz w:val="22"/>
          <w:szCs w:val="22"/>
        </w:rPr>
        <w:t>is</w:t>
      </w:r>
      <w:r w:rsidR="00D725FA" w:rsidRPr="003C58BF">
        <w:rPr>
          <w:sz w:val="22"/>
          <w:szCs w:val="22"/>
          <w:lang w:val="en-US"/>
        </w:rPr>
        <w:t xml:space="preserve"> my pleasure to invite you to the </w:t>
      </w:r>
      <w:r w:rsidR="00D05C5F" w:rsidRPr="003C58BF">
        <w:rPr>
          <w:b/>
          <w:bCs/>
          <w:sz w:val="22"/>
          <w:szCs w:val="22"/>
          <w:lang w:val="en-US"/>
        </w:rPr>
        <w:t>Joint ITU</w:t>
      </w:r>
      <w:r w:rsidR="009D092D">
        <w:rPr>
          <w:b/>
          <w:bCs/>
          <w:sz w:val="22"/>
          <w:szCs w:val="22"/>
          <w:lang w:val="en-US"/>
        </w:rPr>
        <w:t xml:space="preserve"> </w:t>
      </w:r>
      <w:r w:rsidR="00062E8C">
        <w:rPr>
          <w:b/>
          <w:bCs/>
          <w:sz w:val="22"/>
          <w:szCs w:val="22"/>
          <w:lang w:val="en-US"/>
        </w:rPr>
        <w:t>-</w:t>
      </w:r>
      <w:r w:rsidR="00062E8C" w:rsidRPr="00062E8C">
        <w:t xml:space="preserve"> </w:t>
      </w:r>
      <w:r w:rsidR="00062E8C" w:rsidRPr="00062E8C">
        <w:rPr>
          <w:b/>
          <w:bCs/>
          <w:sz w:val="22"/>
          <w:szCs w:val="22"/>
          <w:lang w:val="en-US"/>
        </w:rPr>
        <w:t xml:space="preserve">Mobile &amp; Wireless Forum </w:t>
      </w:r>
      <w:r w:rsidR="00062E8C">
        <w:rPr>
          <w:b/>
          <w:bCs/>
          <w:sz w:val="22"/>
          <w:szCs w:val="22"/>
          <w:lang w:val="en-US"/>
        </w:rPr>
        <w:t>(</w:t>
      </w:r>
      <w:r w:rsidR="00D05C5F" w:rsidRPr="003C58BF">
        <w:rPr>
          <w:b/>
          <w:bCs/>
          <w:sz w:val="22"/>
          <w:szCs w:val="22"/>
          <w:lang w:val="en-US"/>
        </w:rPr>
        <w:t>MWF</w:t>
      </w:r>
      <w:r w:rsidR="00062E8C">
        <w:rPr>
          <w:b/>
          <w:bCs/>
          <w:sz w:val="22"/>
          <w:szCs w:val="22"/>
          <w:lang w:val="en-US"/>
        </w:rPr>
        <w:t>)</w:t>
      </w:r>
      <w:r w:rsidR="00D05C5F" w:rsidRPr="003C58BF">
        <w:rPr>
          <w:b/>
          <w:bCs/>
          <w:sz w:val="22"/>
          <w:szCs w:val="22"/>
          <w:lang w:val="en-US"/>
        </w:rPr>
        <w:t xml:space="preserve"> Webinar </w:t>
      </w:r>
      <w:r w:rsidR="00CC2DDB">
        <w:rPr>
          <w:b/>
          <w:bCs/>
          <w:sz w:val="22"/>
          <w:szCs w:val="22"/>
          <w:lang w:val="en-US"/>
        </w:rPr>
        <w:t xml:space="preserve">on </w:t>
      </w:r>
      <w:r w:rsidR="00D05C5F" w:rsidRPr="003C58BF">
        <w:rPr>
          <w:b/>
          <w:bCs/>
          <w:sz w:val="22"/>
          <w:szCs w:val="22"/>
          <w:lang w:val="en-US"/>
        </w:rPr>
        <w:t xml:space="preserve">“Combating Counterfeit and Irregular Mobile Devices: How to address the Problem” </w:t>
      </w:r>
      <w:r w:rsidR="00D05C5F" w:rsidRPr="002E015E">
        <w:rPr>
          <w:sz w:val="22"/>
          <w:szCs w:val="22"/>
          <w:lang w:val="en-US"/>
        </w:rPr>
        <w:t>taking place</w:t>
      </w:r>
      <w:r w:rsidR="00D05C5F" w:rsidRPr="003C58BF">
        <w:rPr>
          <w:b/>
          <w:bCs/>
          <w:sz w:val="22"/>
          <w:szCs w:val="22"/>
          <w:lang w:val="en-US"/>
        </w:rPr>
        <w:t xml:space="preserve"> </w:t>
      </w:r>
      <w:r w:rsidR="006902B3" w:rsidRPr="003C58BF">
        <w:rPr>
          <w:rFonts w:ascii="Calibri" w:hAnsi="Calibri"/>
          <w:sz w:val="22"/>
          <w:szCs w:val="22"/>
        </w:rPr>
        <w:t xml:space="preserve">virtually </w:t>
      </w:r>
      <w:r w:rsidR="002E015E">
        <w:rPr>
          <w:rFonts w:ascii="Calibri" w:hAnsi="Calibri"/>
          <w:sz w:val="22"/>
          <w:szCs w:val="22"/>
        </w:rPr>
        <w:t xml:space="preserve">on </w:t>
      </w:r>
      <w:r w:rsidR="00D05C5F" w:rsidRPr="002E015E">
        <w:rPr>
          <w:rFonts w:ascii="Calibri" w:hAnsi="Calibri"/>
          <w:b/>
          <w:bCs/>
          <w:sz w:val="22"/>
          <w:szCs w:val="22"/>
        </w:rPr>
        <w:t xml:space="preserve">31 May </w:t>
      </w:r>
      <w:r w:rsidR="00BF0471" w:rsidRPr="002E015E">
        <w:rPr>
          <w:rFonts w:ascii="Calibri" w:hAnsi="Calibri"/>
          <w:b/>
          <w:bCs/>
          <w:sz w:val="22"/>
          <w:szCs w:val="22"/>
        </w:rPr>
        <w:t>2021</w:t>
      </w:r>
      <w:r w:rsidR="00BF0471" w:rsidRPr="003C58BF">
        <w:rPr>
          <w:rFonts w:ascii="Calibri" w:hAnsi="Calibri"/>
          <w:b/>
          <w:bCs/>
          <w:sz w:val="22"/>
          <w:szCs w:val="22"/>
        </w:rPr>
        <w:t xml:space="preserve"> </w:t>
      </w:r>
      <w:r w:rsidR="00BF0471" w:rsidRPr="003C58BF">
        <w:rPr>
          <w:rFonts w:ascii="Calibri" w:hAnsi="Calibri"/>
          <w:sz w:val="22"/>
          <w:szCs w:val="22"/>
        </w:rPr>
        <w:t xml:space="preserve">from </w:t>
      </w:r>
      <w:r w:rsidR="00E33BBC" w:rsidRPr="003C58BF">
        <w:rPr>
          <w:rFonts w:ascii="Calibri" w:hAnsi="Calibri"/>
          <w:sz w:val="22"/>
          <w:szCs w:val="22"/>
        </w:rPr>
        <w:t>1</w:t>
      </w:r>
      <w:r w:rsidR="00F70F71">
        <w:rPr>
          <w:rFonts w:ascii="Calibri" w:hAnsi="Calibri"/>
          <w:sz w:val="22"/>
          <w:szCs w:val="22"/>
        </w:rPr>
        <w:t>5</w:t>
      </w:r>
      <w:r w:rsidR="00E33BBC" w:rsidRPr="003C58BF">
        <w:rPr>
          <w:rFonts w:ascii="Calibri" w:hAnsi="Calibri"/>
          <w:sz w:val="22"/>
          <w:szCs w:val="22"/>
        </w:rPr>
        <w:t>h00-1</w:t>
      </w:r>
      <w:r w:rsidR="00F70F71">
        <w:rPr>
          <w:rFonts w:ascii="Calibri" w:hAnsi="Calibri"/>
          <w:sz w:val="22"/>
          <w:szCs w:val="22"/>
        </w:rPr>
        <w:t>8</w:t>
      </w:r>
      <w:r w:rsidR="00E33BBC" w:rsidRPr="003C58BF">
        <w:rPr>
          <w:rFonts w:ascii="Calibri" w:hAnsi="Calibri"/>
          <w:sz w:val="22"/>
          <w:szCs w:val="22"/>
        </w:rPr>
        <w:t>h</w:t>
      </w:r>
      <w:r w:rsidR="00D05C5F" w:rsidRPr="003C58BF">
        <w:rPr>
          <w:rFonts w:ascii="Calibri" w:hAnsi="Calibri"/>
          <w:sz w:val="22"/>
          <w:szCs w:val="22"/>
        </w:rPr>
        <w:t>15 CEST, Geneva time.</w:t>
      </w:r>
    </w:p>
    <w:p w14:paraId="0DC21047" w14:textId="6876A9FD" w:rsidR="00F97E32" w:rsidRDefault="00F97E32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</w:t>
      </w:r>
      <w:r>
        <w:rPr>
          <w:rFonts w:ascii="Calibri" w:hAnsi="Calibri"/>
          <w:sz w:val="22"/>
          <w:szCs w:val="22"/>
        </w:rPr>
        <w:tab/>
      </w:r>
      <w:r w:rsidR="00D128F0" w:rsidRPr="00D128F0">
        <w:rPr>
          <w:rFonts w:ascii="Calibri" w:hAnsi="Calibri"/>
          <w:sz w:val="22"/>
          <w:szCs w:val="22"/>
          <w:lang w:val="en-AU"/>
        </w:rPr>
        <w:t xml:space="preserve">Counterfeit and irregular mobile devices deprive governments of significant revenue, cause loss and damage to brand owners and provide consumers with poorer quality devices and experiences than </w:t>
      </w:r>
      <w:r w:rsidR="002B5F0C">
        <w:rPr>
          <w:rFonts w:ascii="Calibri" w:hAnsi="Calibri"/>
          <w:sz w:val="22"/>
          <w:szCs w:val="22"/>
          <w:lang w:val="en-AU"/>
        </w:rPr>
        <w:t>would</w:t>
      </w:r>
      <w:r w:rsidR="002B5F0C" w:rsidRPr="00D128F0">
        <w:rPr>
          <w:rFonts w:ascii="Calibri" w:hAnsi="Calibri"/>
          <w:sz w:val="22"/>
          <w:szCs w:val="22"/>
          <w:lang w:val="en-AU"/>
        </w:rPr>
        <w:t xml:space="preserve"> </w:t>
      </w:r>
      <w:r w:rsidR="00D128F0" w:rsidRPr="00D128F0">
        <w:rPr>
          <w:rFonts w:ascii="Calibri" w:hAnsi="Calibri"/>
          <w:sz w:val="22"/>
          <w:szCs w:val="22"/>
          <w:lang w:val="en-AU"/>
        </w:rPr>
        <w:t>be expected.</w:t>
      </w:r>
    </w:p>
    <w:p w14:paraId="5B4FE62E" w14:textId="0862FE67" w:rsidR="00023277" w:rsidRDefault="00F55A66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ab/>
      </w:r>
      <w:r w:rsidR="002B5F0C">
        <w:rPr>
          <w:rFonts w:ascii="Calibri" w:hAnsi="Calibri"/>
          <w:sz w:val="22"/>
          <w:szCs w:val="22"/>
        </w:rPr>
        <w:t>S</w:t>
      </w:r>
      <w:r w:rsidR="009A17A2" w:rsidRPr="009A17A2">
        <w:rPr>
          <w:rFonts w:ascii="Calibri" w:hAnsi="Calibri"/>
          <w:sz w:val="22"/>
          <w:szCs w:val="22"/>
        </w:rPr>
        <w:t>tandardization activities to combat counterfeiting ha</w:t>
      </w:r>
      <w:r w:rsidR="002B5F0C">
        <w:rPr>
          <w:rFonts w:ascii="Calibri" w:hAnsi="Calibri"/>
          <w:sz w:val="22"/>
          <w:szCs w:val="22"/>
        </w:rPr>
        <w:t>ve</w:t>
      </w:r>
      <w:r w:rsidR="009A17A2" w:rsidRPr="009A17A2">
        <w:rPr>
          <w:rFonts w:ascii="Calibri" w:hAnsi="Calibri"/>
          <w:sz w:val="22"/>
          <w:szCs w:val="22"/>
        </w:rPr>
        <w:t xml:space="preserve"> become </w:t>
      </w:r>
      <w:r w:rsidR="002B5F0C">
        <w:rPr>
          <w:rFonts w:ascii="Calibri" w:hAnsi="Calibri"/>
          <w:sz w:val="22"/>
          <w:szCs w:val="22"/>
        </w:rPr>
        <w:t>of</w:t>
      </w:r>
      <w:r w:rsidR="002B5F0C" w:rsidRPr="009A17A2">
        <w:rPr>
          <w:rFonts w:ascii="Calibri" w:hAnsi="Calibri"/>
          <w:sz w:val="22"/>
          <w:szCs w:val="22"/>
        </w:rPr>
        <w:t xml:space="preserve"> </w:t>
      </w:r>
      <w:r w:rsidR="009A17A2" w:rsidRPr="009A17A2">
        <w:rPr>
          <w:rFonts w:ascii="Calibri" w:hAnsi="Calibri"/>
          <w:sz w:val="22"/>
          <w:szCs w:val="22"/>
        </w:rPr>
        <w:t xml:space="preserve">major </w:t>
      </w:r>
      <w:r w:rsidR="002B5F0C">
        <w:rPr>
          <w:rFonts w:ascii="Calibri" w:hAnsi="Calibri"/>
          <w:sz w:val="22"/>
          <w:szCs w:val="22"/>
        </w:rPr>
        <w:t>interest</w:t>
      </w:r>
      <w:r w:rsidR="002B5F0C" w:rsidRPr="009A17A2">
        <w:rPr>
          <w:rFonts w:ascii="Calibri" w:hAnsi="Calibri"/>
          <w:sz w:val="22"/>
          <w:szCs w:val="22"/>
        </w:rPr>
        <w:t xml:space="preserve"> </w:t>
      </w:r>
      <w:r w:rsidR="009A17A2" w:rsidRPr="009A17A2">
        <w:rPr>
          <w:rFonts w:ascii="Calibri" w:hAnsi="Calibri"/>
          <w:sz w:val="22"/>
          <w:szCs w:val="22"/>
        </w:rPr>
        <w:t xml:space="preserve">within many Member States and there are several encouraging measures </w:t>
      </w:r>
      <w:r w:rsidR="002B5F0C">
        <w:rPr>
          <w:rFonts w:ascii="Calibri" w:hAnsi="Calibri"/>
          <w:sz w:val="22"/>
          <w:szCs w:val="22"/>
        </w:rPr>
        <w:t>that</w:t>
      </w:r>
      <w:r w:rsidR="002B5F0C" w:rsidRPr="009A17A2">
        <w:rPr>
          <w:rFonts w:ascii="Calibri" w:hAnsi="Calibri"/>
          <w:sz w:val="22"/>
          <w:szCs w:val="22"/>
        </w:rPr>
        <w:t xml:space="preserve"> </w:t>
      </w:r>
      <w:r w:rsidR="009A17A2" w:rsidRPr="009A17A2">
        <w:rPr>
          <w:rFonts w:ascii="Calibri" w:hAnsi="Calibri"/>
          <w:sz w:val="22"/>
          <w:szCs w:val="22"/>
        </w:rPr>
        <w:t>have been successfully implemented</w:t>
      </w:r>
      <w:r w:rsidR="002B5F0C">
        <w:rPr>
          <w:rFonts w:ascii="Calibri" w:hAnsi="Calibri"/>
          <w:sz w:val="22"/>
          <w:szCs w:val="22"/>
        </w:rPr>
        <w:t xml:space="preserve"> already</w:t>
      </w:r>
      <w:r w:rsidR="009A17A2" w:rsidRPr="009A17A2">
        <w:rPr>
          <w:rFonts w:ascii="Calibri" w:hAnsi="Calibri"/>
          <w:sz w:val="22"/>
          <w:szCs w:val="22"/>
        </w:rPr>
        <w:t>.</w:t>
      </w:r>
    </w:p>
    <w:p w14:paraId="035D03B5" w14:textId="52657021" w:rsidR="00F55A66" w:rsidRDefault="00023277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>4</w:t>
      </w:r>
      <w:r>
        <w:rPr>
          <w:rFonts w:ascii="Calibri" w:hAnsi="Calibri"/>
          <w:sz w:val="22"/>
          <w:szCs w:val="22"/>
          <w:lang w:val="en-US"/>
        </w:rPr>
        <w:tab/>
        <w:t>T</w:t>
      </w:r>
      <w:r w:rsidRPr="00023277">
        <w:rPr>
          <w:rFonts w:ascii="Calibri" w:hAnsi="Calibri"/>
          <w:sz w:val="22"/>
          <w:szCs w:val="22"/>
          <w:lang w:val="en-US"/>
        </w:rPr>
        <w:t xml:space="preserve">his </w:t>
      </w:r>
      <w:r w:rsidR="00BD3579" w:rsidRPr="00BD3579">
        <w:rPr>
          <w:rFonts w:ascii="Calibri" w:hAnsi="Calibri"/>
          <w:sz w:val="22"/>
          <w:szCs w:val="22"/>
          <w:lang w:val="en-US"/>
        </w:rPr>
        <w:t xml:space="preserve">webinar focuses on such successful </w:t>
      </w:r>
      <w:r w:rsidR="002B5F0C">
        <w:rPr>
          <w:rFonts w:ascii="Calibri" w:hAnsi="Calibri"/>
          <w:sz w:val="22"/>
          <w:szCs w:val="22"/>
          <w:lang w:val="en-US"/>
        </w:rPr>
        <w:t xml:space="preserve">implementation </w:t>
      </w:r>
      <w:r w:rsidR="00BD3579" w:rsidRPr="00BD3579">
        <w:rPr>
          <w:rFonts w:ascii="Calibri" w:hAnsi="Calibri"/>
          <w:sz w:val="22"/>
          <w:szCs w:val="22"/>
          <w:lang w:val="en-US"/>
        </w:rPr>
        <w:t xml:space="preserve">projects. Presentations will be given by experts actively involved in the implementation phases and processes of these projects. </w:t>
      </w:r>
      <w:r w:rsidR="002B5F0C">
        <w:rPr>
          <w:rFonts w:ascii="Calibri" w:hAnsi="Calibri"/>
          <w:sz w:val="22"/>
          <w:szCs w:val="22"/>
          <w:lang w:val="en-US"/>
        </w:rPr>
        <w:t>According to</w:t>
      </w:r>
      <w:r w:rsidR="00BD3579" w:rsidRPr="00BD3579">
        <w:rPr>
          <w:rFonts w:ascii="Calibri" w:hAnsi="Calibri"/>
          <w:sz w:val="22"/>
          <w:szCs w:val="22"/>
          <w:lang w:val="en-US"/>
        </w:rPr>
        <w:t xml:space="preserve"> WTSA Resolution 90 (WTSA-16) “Open source in the ITU Telecommunication Standardization Sector”</w:t>
      </w:r>
      <w:r w:rsidR="002B5F0C">
        <w:rPr>
          <w:rFonts w:ascii="Calibri" w:hAnsi="Calibri"/>
          <w:sz w:val="22"/>
          <w:szCs w:val="22"/>
          <w:lang w:val="en-US"/>
        </w:rPr>
        <w:t>,</w:t>
      </w:r>
      <w:r w:rsidR="00BD3579" w:rsidRPr="00BD3579">
        <w:rPr>
          <w:rFonts w:ascii="Calibri" w:hAnsi="Calibri"/>
          <w:sz w:val="22"/>
          <w:szCs w:val="22"/>
          <w:lang w:val="en-US"/>
        </w:rPr>
        <w:t xml:space="preserve"> ITU welcomes collaboration on open-source projects including those related to combating counterfeiting.</w:t>
      </w:r>
    </w:p>
    <w:p w14:paraId="1E8E1D6E" w14:textId="105B5E5A" w:rsidR="006B2080" w:rsidRDefault="006B2080" w:rsidP="007D76B9">
      <w:pPr>
        <w:tabs>
          <w:tab w:val="clear" w:pos="1134"/>
          <w:tab w:val="left" w:pos="90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en-US"/>
        </w:rPr>
        <w:t>5</w:t>
      </w:r>
      <w:r>
        <w:rPr>
          <w:rFonts w:ascii="Calibri" w:hAnsi="Calibri"/>
          <w:sz w:val="22"/>
          <w:szCs w:val="22"/>
          <w:lang w:val="en-US"/>
        </w:rPr>
        <w:tab/>
      </w:r>
      <w:r w:rsidR="00DA3AA3" w:rsidRPr="00DA3AA3">
        <w:rPr>
          <w:rFonts w:ascii="Calibri" w:hAnsi="Calibri"/>
          <w:sz w:val="22"/>
          <w:szCs w:val="22"/>
          <w:lang w:val="en-AU"/>
        </w:rPr>
        <w:t>This webinar will provide an overview of ITU-T SG11 activities on combating counterfeiting, present a geographically diverse overview of the different use cases and will also discuss potential open</w:t>
      </w:r>
      <w:r w:rsidR="00107235">
        <w:rPr>
          <w:rFonts w:ascii="Calibri" w:hAnsi="Calibri"/>
          <w:sz w:val="22"/>
          <w:szCs w:val="22"/>
          <w:lang w:val="en-AU"/>
        </w:rPr>
        <w:noBreakHyphen/>
      </w:r>
      <w:r w:rsidR="00DA3AA3" w:rsidRPr="00DA3AA3">
        <w:rPr>
          <w:rFonts w:ascii="Calibri" w:hAnsi="Calibri"/>
          <w:sz w:val="22"/>
          <w:szCs w:val="22"/>
          <w:lang w:val="en-AU"/>
        </w:rPr>
        <w:t>source solutions to address these issues.</w:t>
      </w:r>
    </w:p>
    <w:p w14:paraId="29CAED4A" w14:textId="67490165" w:rsidR="00107235" w:rsidRDefault="0046364B" w:rsidP="003C58BF">
      <w:pPr>
        <w:tabs>
          <w:tab w:val="clear" w:pos="1134"/>
          <w:tab w:val="left" w:pos="900"/>
        </w:tabs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</w:rPr>
        <w:t>6</w:t>
      </w:r>
      <w:r w:rsidR="00424D56" w:rsidRPr="003C58BF">
        <w:rPr>
          <w:rFonts w:ascii="Calibri" w:hAnsi="Calibri"/>
          <w:sz w:val="22"/>
          <w:szCs w:val="22"/>
        </w:rPr>
        <w:tab/>
      </w:r>
      <w:r w:rsidR="003C58BF" w:rsidRPr="003C58BF">
        <w:rPr>
          <w:rFonts w:ascii="Calibri" w:eastAsia="Calibri" w:hAnsi="Calibri" w:cs="Arial"/>
          <w:sz w:val="22"/>
          <w:szCs w:val="22"/>
          <w:lang w:val="en-US"/>
        </w:rPr>
        <w:t xml:space="preserve">Participation in the webinar is open to MWF members </w:t>
      </w:r>
      <w:r w:rsidR="00093775">
        <w:rPr>
          <w:rFonts w:ascii="Calibri" w:eastAsia="Calibri" w:hAnsi="Calibri" w:cs="Arial"/>
          <w:sz w:val="22"/>
          <w:szCs w:val="22"/>
          <w:lang w:val="en-US"/>
        </w:rPr>
        <w:t xml:space="preserve">and non-members </w:t>
      </w:r>
      <w:r w:rsidR="003C58BF" w:rsidRPr="003C58BF">
        <w:rPr>
          <w:rFonts w:ascii="Calibri" w:eastAsia="Calibri" w:hAnsi="Calibri" w:cs="Arial"/>
          <w:sz w:val="22"/>
          <w:szCs w:val="22"/>
          <w:lang w:val="en-US"/>
        </w:rPr>
        <w:t>and for all ITU Member States, Sector Members, Associates and Academic Institutions and to any individual from a country that is a member of ITU and who wishes to co</w:t>
      </w:r>
      <w:r w:rsidR="003C58BF">
        <w:rPr>
          <w:rFonts w:ascii="Calibri" w:eastAsia="Calibri" w:hAnsi="Calibri" w:cs="Arial"/>
          <w:sz w:val="22"/>
          <w:szCs w:val="22"/>
          <w:lang w:val="en-US"/>
        </w:rPr>
        <w:t>n</w:t>
      </w:r>
      <w:r w:rsidR="003C58BF" w:rsidRPr="003C58BF">
        <w:rPr>
          <w:rFonts w:ascii="Calibri" w:eastAsia="Calibri" w:hAnsi="Calibri" w:cs="Arial"/>
          <w:sz w:val="22"/>
          <w:szCs w:val="22"/>
          <w:lang w:val="en-US"/>
        </w:rPr>
        <w:t>tribute to the work. Partic</w:t>
      </w:r>
      <w:r w:rsidR="003C58BF">
        <w:rPr>
          <w:rFonts w:ascii="Calibri" w:eastAsia="Calibri" w:hAnsi="Calibri" w:cs="Arial"/>
          <w:sz w:val="22"/>
          <w:szCs w:val="22"/>
          <w:lang w:val="en-US"/>
        </w:rPr>
        <w:t>i</w:t>
      </w:r>
      <w:r w:rsidR="003C58BF" w:rsidRPr="003C58BF">
        <w:rPr>
          <w:rFonts w:ascii="Calibri" w:eastAsia="Calibri" w:hAnsi="Calibri" w:cs="Arial"/>
          <w:sz w:val="22"/>
          <w:szCs w:val="22"/>
          <w:lang w:val="en-US"/>
        </w:rPr>
        <w:t>pation is free of charge.</w:t>
      </w:r>
    </w:p>
    <w:p w14:paraId="76C770D5" w14:textId="77777777" w:rsidR="00107235" w:rsidRDefault="00107235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br w:type="page"/>
      </w:r>
    </w:p>
    <w:p w14:paraId="22DF0AB6" w14:textId="30050C4F" w:rsidR="00DC3802" w:rsidRPr="003C58BF" w:rsidRDefault="00C643F1" w:rsidP="00B67350">
      <w:pPr>
        <w:tabs>
          <w:tab w:val="clear" w:pos="1134"/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7</w:t>
      </w:r>
      <w:r w:rsidR="00B67350" w:rsidRPr="003C58BF">
        <w:rPr>
          <w:sz w:val="22"/>
          <w:szCs w:val="22"/>
        </w:rPr>
        <w:tab/>
      </w:r>
      <w:r w:rsidR="00E33BBC" w:rsidRPr="003C58BF">
        <w:rPr>
          <w:sz w:val="22"/>
          <w:szCs w:val="22"/>
        </w:rPr>
        <w:t xml:space="preserve">All pertinent information relating to this virtual </w:t>
      </w:r>
      <w:r w:rsidR="00E048A5">
        <w:rPr>
          <w:sz w:val="22"/>
          <w:szCs w:val="22"/>
        </w:rPr>
        <w:t>webinar</w:t>
      </w:r>
      <w:r w:rsidR="00E048A5" w:rsidRPr="003C58BF">
        <w:rPr>
          <w:sz w:val="22"/>
          <w:szCs w:val="22"/>
        </w:rPr>
        <w:t xml:space="preserve"> </w:t>
      </w:r>
      <w:r w:rsidR="00E33BBC" w:rsidRPr="003C58BF">
        <w:rPr>
          <w:sz w:val="22"/>
          <w:szCs w:val="22"/>
        </w:rPr>
        <w:t>including the draft programme</w:t>
      </w:r>
      <w:r w:rsidR="00BA3914" w:rsidRPr="003C58BF">
        <w:rPr>
          <w:sz w:val="22"/>
          <w:szCs w:val="22"/>
        </w:rPr>
        <w:t>,</w:t>
      </w:r>
      <w:r w:rsidR="00E33BBC" w:rsidRPr="003C58BF">
        <w:rPr>
          <w:sz w:val="22"/>
          <w:szCs w:val="22"/>
        </w:rPr>
        <w:t xml:space="preserve"> speakers</w:t>
      </w:r>
      <w:r w:rsidR="00BA3914" w:rsidRPr="003C58BF">
        <w:rPr>
          <w:sz w:val="22"/>
          <w:szCs w:val="22"/>
        </w:rPr>
        <w:t xml:space="preserve">, </w:t>
      </w:r>
      <w:r w:rsidR="003C58BF" w:rsidRPr="003C58BF">
        <w:rPr>
          <w:sz w:val="22"/>
          <w:szCs w:val="22"/>
        </w:rPr>
        <w:t>remote connection link, registration details</w:t>
      </w:r>
      <w:r w:rsidR="00BA3914" w:rsidRPr="003C58BF">
        <w:rPr>
          <w:sz w:val="22"/>
          <w:szCs w:val="22"/>
        </w:rPr>
        <w:t xml:space="preserve"> </w:t>
      </w:r>
      <w:r w:rsidR="00E33BBC" w:rsidRPr="003C58BF">
        <w:rPr>
          <w:sz w:val="22"/>
          <w:szCs w:val="22"/>
        </w:rPr>
        <w:t xml:space="preserve">will be </w:t>
      </w:r>
      <w:r w:rsidR="00066EB9" w:rsidRPr="003C58BF">
        <w:rPr>
          <w:sz w:val="22"/>
          <w:szCs w:val="22"/>
        </w:rPr>
        <w:t xml:space="preserve">made </w:t>
      </w:r>
      <w:r w:rsidR="00E33BBC" w:rsidRPr="003C58BF">
        <w:rPr>
          <w:sz w:val="22"/>
          <w:szCs w:val="22"/>
        </w:rPr>
        <w:t>available on the event website at:</w:t>
      </w:r>
      <w:r>
        <w:rPr>
          <w:sz w:val="22"/>
          <w:szCs w:val="22"/>
        </w:rPr>
        <w:t xml:space="preserve"> </w:t>
      </w:r>
      <w:hyperlink r:id="rId10" w:history="1">
        <w:r w:rsidR="00CE43D0" w:rsidRPr="00CE43D0">
          <w:rPr>
            <w:rStyle w:val="Hyperlink"/>
            <w:sz w:val="22"/>
            <w:szCs w:val="22"/>
            <w:lang w:val="en-US"/>
          </w:rPr>
          <w:t>https://itu.int/go/WCC-MD</w:t>
        </w:r>
      </w:hyperlink>
      <w:r w:rsidR="003C58BF" w:rsidRPr="003C58BF">
        <w:rPr>
          <w:sz w:val="22"/>
          <w:szCs w:val="22"/>
        </w:rPr>
        <w:t xml:space="preserve">. </w:t>
      </w:r>
      <w:r w:rsidR="00E33BBC" w:rsidRPr="003C58BF">
        <w:rPr>
          <w:sz w:val="22"/>
          <w:szCs w:val="22"/>
        </w:rPr>
        <w:t>This website will be updated regularly as new or modified information becomes available. Participants are requested to check periodically for new updates.</w:t>
      </w:r>
    </w:p>
    <w:p w14:paraId="3BDEC1E0" w14:textId="77777777" w:rsidR="003C58BF" w:rsidRDefault="003C58BF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</w:p>
    <w:p w14:paraId="62BE8E1B" w14:textId="4E6C0704" w:rsidR="005D2B53" w:rsidRPr="003C58BF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 w:rsidRPr="003C58BF">
        <w:rPr>
          <w:sz w:val="22"/>
          <w:szCs w:val="22"/>
        </w:rPr>
        <w:t>Yours faithfully,</w:t>
      </w:r>
    </w:p>
    <w:p w14:paraId="7B44F300" w14:textId="2155F202" w:rsidR="005D2B53" w:rsidRPr="003C58BF" w:rsidRDefault="00C6617B" w:rsidP="003C58BF">
      <w:pPr>
        <w:tabs>
          <w:tab w:val="clear" w:pos="1134"/>
          <w:tab w:val="clear" w:pos="1871"/>
          <w:tab w:val="clear" w:pos="2268"/>
          <w:tab w:val="left" w:pos="5320"/>
        </w:tabs>
        <w:spacing w:before="960"/>
        <w:ind w:right="91"/>
        <w:rPr>
          <w:rStyle w:val="LineNumber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48D018F" wp14:editId="4D17913E">
            <wp:simplePos x="0" y="0"/>
            <wp:positionH relativeFrom="column">
              <wp:posOffset>635</wp:posOffset>
            </wp:positionH>
            <wp:positionV relativeFrom="paragraph">
              <wp:posOffset>166370</wp:posOffset>
            </wp:positionV>
            <wp:extent cx="683986" cy="288925"/>
            <wp:effectExtent l="0" t="0" r="190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986" cy="28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B53" w:rsidRPr="003C58BF">
        <w:rPr>
          <w:sz w:val="22"/>
          <w:szCs w:val="22"/>
        </w:rPr>
        <w:t>Chaesub Lee</w:t>
      </w:r>
      <w:r w:rsidR="005D2B53" w:rsidRPr="003C58BF">
        <w:rPr>
          <w:sz w:val="22"/>
          <w:szCs w:val="22"/>
        </w:rPr>
        <w:br/>
        <w:t>Director of the Telecommunication</w:t>
      </w:r>
      <w:r w:rsidR="005D2B53" w:rsidRPr="003C58BF">
        <w:rPr>
          <w:sz w:val="22"/>
          <w:szCs w:val="22"/>
        </w:rPr>
        <w:br/>
        <w:t>Standardization Bureau</w:t>
      </w:r>
      <w:bookmarkStart w:id="4" w:name="Duties"/>
      <w:bookmarkEnd w:id="4"/>
    </w:p>
    <w:p w14:paraId="1F2B4435" w14:textId="77777777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Sect="00AD7192">
      <w:head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FF2D5" w14:textId="77777777" w:rsidR="009543EF" w:rsidRDefault="009543EF">
      <w:r>
        <w:separator/>
      </w:r>
    </w:p>
  </w:endnote>
  <w:endnote w:type="continuationSeparator" w:id="0">
    <w:p w14:paraId="58C5E839" w14:textId="77777777" w:rsidR="009543EF" w:rsidRDefault="0095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8C52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9E4A" w14:textId="77777777" w:rsidR="009543EF" w:rsidRDefault="009543EF">
      <w:r>
        <w:t>____________________</w:t>
      </w:r>
    </w:p>
  </w:footnote>
  <w:footnote w:type="continuationSeparator" w:id="0">
    <w:p w14:paraId="5A6D8BC7" w14:textId="77777777" w:rsidR="009543EF" w:rsidRDefault="0095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59BF" w14:textId="7C3F758D" w:rsidR="000A3261" w:rsidRPr="00107235" w:rsidRDefault="000A3261" w:rsidP="00107235">
    <w:pPr>
      <w:pStyle w:val="Header"/>
      <w:spacing w:after="24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41E6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3C58BF">
      <w:rPr>
        <w:rStyle w:val="PageNumber"/>
      </w:rPr>
      <w:t>309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437F2"/>
    <w:multiLevelType w:val="multilevel"/>
    <w:tmpl w:val="956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494"/>
        </w:tabs>
        <w:ind w:left="149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D3114"/>
    <w:multiLevelType w:val="hybridMultilevel"/>
    <w:tmpl w:val="20CA2714"/>
    <w:lvl w:ilvl="0" w:tplc="FBF69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07A524F"/>
    <w:multiLevelType w:val="hybridMultilevel"/>
    <w:tmpl w:val="E9C0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905F5"/>
    <w:multiLevelType w:val="hybridMultilevel"/>
    <w:tmpl w:val="814EF5BE"/>
    <w:lvl w:ilvl="0" w:tplc="8BF26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F03E6"/>
    <w:multiLevelType w:val="hybridMultilevel"/>
    <w:tmpl w:val="053AEEC2"/>
    <w:lvl w:ilvl="0" w:tplc="D06EC946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57A27E2"/>
    <w:multiLevelType w:val="hybridMultilevel"/>
    <w:tmpl w:val="F3A0CCDA"/>
    <w:lvl w:ilvl="0" w:tplc="E68E5B6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F7805"/>
    <w:multiLevelType w:val="hybridMultilevel"/>
    <w:tmpl w:val="56B48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765D1"/>
    <w:multiLevelType w:val="multilevel"/>
    <w:tmpl w:val="95660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914"/>
    <w:rsid w:val="00002D4B"/>
    <w:rsid w:val="00005959"/>
    <w:rsid w:val="0000612C"/>
    <w:rsid w:val="000069D4"/>
    <w:rsid w:val="00015F65"/>
    <w:rsid w:val="000174AD"/>
    <w:rsid w:val="00023277"/>
    <w:rsid w:val="00027F69"/>
    <w:rsid w:val="00034325"/>
    <w:rsid w:val="00037236"/>
    <w:rsid w:val="00047042"/>
    <w:rsid w:val="0006205F"/>
    <w:rsid w:val="00062E8C"/>
    <w:rsid w:val="00066D0D"/>
    <w:rsid w:val="00066EB9"/>
    <w:rsid w:val="00075011"/>
    <w:rsid w:val="00075F9D"/>
    <w:rsid w:val="00076775"/>
    <w:rsid w:val="00093775"/>
    <w:rsid w:val="000A0C60"/>
    <w:rsid w:val="000A3261"/>
    <w:rsid w:val="000A6F5D"/>
    <w:rsid w:val="000A7D55"/>
    <w:rsid w:val="000C2E8E"/>
    <w:rsid w:val="000C7BFA"/>
    <w:rsid w:val="000D49FB"/>
    <w:rsid w:val="000E0E7C"/>
    <w:rsid w:val="000F1B4B"/>
    <w:rsid w:val="00103631"/>
    <w:rsid w:val="00107235"/>
    <w:rsid w:val="00115E69"/>
    <w:rsid w:val="00122D83"/>
    <w:rsid w:val="0012744F"/>
    <w:rsid w:val="00130639"/>
    <w:rsid w:val="0013103F"/>
    <w:rsid w:val="001318A7"/>
    <w:rsid w:val="00141285"/>
    <w:rsid w:val="0014147B"/>
    <w:rsid w:val="0014328B"/>
    <w:rsid w:val="00145EB0"/>
    <w:rsid w:val="0015057B"/>
    <w:rsid w:val="00154124"/>
    <w:rsid w:val="00156DFF"/>
    <w:rsid w:val="00156F66"/>
    <w:rsid w:val="0015780B"/>
    <w:rsid w:val="0016384C"/>
    <w:rsid w:val="00164B7E"/>
    <w:rsid w:val="0018116D"/>
    <w:rsid w:val="00182528"/>
    <w:rsid w:val="0018500B"/>
    <w:rsid w:val="001866E7"/>
    <w:rsid w:val="00196103"/>
    <w:rsid w:val="00196A19"/>
    <w:rsid w:val="001A2A59"/>
    <w:rsid w:val="001A7566"/>
    <w:rsid w:val="001A7EB4"/>
    <w:rsid w:val="001B0C13"/>
    <w:rsid w:val="001B1042"/>
    <w:rsid w:val="001C1DD9"/>
    <w:rsid w:val="001C3018"/>
    <w:rsid w:val="001C46B1"/>
    <w:rsid w:val="001C654F"/>
    <w:rsid w:val="001C6B1D"/>
    <w:rsid w:val="001D1C12"/>
    <w:rsid w:val="001E1011"/>
    <w:rsid w:val="001F127B"/>
    <w:rsid w:val="001F1582"/>
    <w:rsid w:val="001F539B"/>
    <w:rsid w:val="00202DC1"/>
    <w:rsid w:val="002116EE"/>
    <w:rsid w:val="0021209C"/>
    <w:rsid w:val="00222D56"/>
    <w:rsid w:val="002306CD"/>
    <w:rsid w:val="002309D8"/>
    <w:rsid w:val="00233492"/>
    <w:rsid w:val="00235FA1"/>
    <w:rsid w:val="0024075D"/>
    <w:rsid w:val="0024314F"/>
    <w:rsid w:val="00263509"/>
    <w:rsid w:val="00264654"/>
    <w:rsid w:val="002909F9"/>
    <w:rsid w:val="002913A2"/>
    <w:rsid w:val="002A19F3"/>
    <w:rsid w:val="002A1FFE"/>
    <w:rsid w:val="002A7FE2"/>
    <w:rsid w:val="002B5F0C"/>
    <w:rsid w:val="002B7445"/>
    <w:rsid w:val="002D693F"/>
    <w:rsid w:val="002E015E"/>
    <w:rsid w:val="002E1B4F"/>
    <w:rsid w:val="002F0043"/>
    <w:rsid w:val="002F2DCC"/>
    <w:rsid w:val="002F2E67"/>
    <w:rsid w:val="002F4914"/>
    <w:rsid w:val="002F549A"/>
    <w:rsid w:val="002F59EF"/>
    <w:rsid w:val="003047B7"/>
    <w:rsid w:val="003055C9"/>
    <w:rsid w:val="00305761"/>
    <w:rsid w:val="00307BE5"/>
    <w:rsid w:val="0031148E"/>
    <w:rsid w:val="0031444A"/>
    <w:rsid w:val="00315546"/>
    <w:rsid w:val="00323D71"/>
    <w:rsid w:val="003264CE"/>
    <w:rsid w:val="00330567"/>
    <w:rsid w:val="00332E9D"/>
    <w:rsid w:val="0033475A"/>
    <w:rsid w:val="00344BEA"/>
    <w:rsid w:val="00347AF2"/>
    <w:rsid w:val="00351DA5"/>
    <w:rsid w:val="00355D59"/>
    <w:rsid w:val="003561E1"/>
    <w:rsid w:val="003608B3"/>
    <w:rsid w:val="00364B6A"/>
    <w:rsid w:val="00365CD1"/>
    <w:rsid w:val="00373E27"/>
    <w:rsid w:val="00380FF0"/>
    <w:rsid w:val="0038107A"/>
    <w:rsid w:val="003816DF"/>
    <w:rsid w:val="00381935"/>
    <w:rsid w:val="003824B7"/>
    <w:rsid w:val="00383052"/>
    <w:rsid w:val="00386A9D"/>
    <w:rsid w:val="00391081"/>
    <w:rsid w:val="00397FBE"/>
    <w:rsid w:val="003A09B5"/>
    <w:rsid w:val="003A271B"/>
    <w:rsid w:val="003B2789"/>
    <w:rsid w:val="003B6B61"/>
    <w:rsid w:val="003C13CE"/>
    <w:rsid w:val="003C39BB"/>
    <w:rsid w:val="003C58BF"/>
    <w:rsid w:val="003D38E3"/>
    <w:rsid w:val="003E2518"/>
    <w:rsid w:val="003E4ABE"/>
    <w:rsid w:val="003E6CFD"/>
    <w:rsid w:val="003F1DE8"/>
    <w:rsid w:val="003F6658"/>
    <w:rsid w:val="00402DE4"/>
    <w:rsid w:val="0042284C"/>
    <w:rsid w:val="00424D56"/>
    <w:rsid w:val="00426DFF"/>
    <w:rsid w:val="00442983"/>
    <w:rsid w:val="00447BC4"/>
    <w:rsid w:val="0045016D"/>
    <w:rsid w:val="00452ECF"/>
    <w:rsid w:val="00456F33"/>
    <w:rsid w:val="004606D4"/>
    <w:rsid w:val="0046364B"/>
    <w:rsid w:val="004A0ED8"/>
    <w:rsid w:val="004A2393"/>
    <w:rsid w:val="004A3F79"/>
    <w:rsid w:val="004B1EF7"/>
    <w:rsid w:val="004B376A"/>
    <w:rsid w:val="004B3FAD"/>
    <w:rsid w:val="004B4988"/>
    <w:rsid w:val="004D0DCE"/>
    <w:rsid w:val="004E202F"/>
    <w:rsid w:val="004E6972"/>
    <w:rsid w:val="00501DCA"/>
    <w:rsid w:val="00512FA6"/>
    <w:rsid w:val="00513A47"/>
    <w:rsid w:val="0051688E"/>
    <w:rsid w:val="00521349"/>
    <w:rsid w:val="00521F67"/>
    <w:rsid w:val="00522E5D"/>
    <w:rsid w:val="005368B6"/>
    <w:rsid w:val="005408DF"/>
    <w:rsid w:val="005460A3"/>
    <w:rsid w:val="0056338C"/>
    <w:rsid w:val="00573344"/>
    <w:rsid w:val="00583F9B"/>
    <w:rsid w:val="00584516"/>
    <w:rsid w:val="00592D81"/>
    <w:rsid w:val="005A3191"/>
    <w:rsid w:val="005B43C6"/>
    <w:rsid w:val="005D2B53"/>
    <w:rsid w:val="005D7D3C"/>
    <w:rsid w:val="005E1223"/>
    <w:rsid w:val="005E2B06"/>
    <w:rsid w:val="005E480F"/>
    <w:rsid w:val="005E56AA"/>
    <w:rsid w:val="005E5C10"/>
    <w:rsid w:val="005F19FF"/>
    <w:rsid w:val="005F2C78"/>
    <w:rsid w:val="005F486F"/>
    <w:rsid w:val="005F4EC6"/>
    <w:rsid w:val="00602986"/>
    <w:rsid w:val="00603370"/>
    <w:rsid w:val="006144E4"/>
    <w:rsid w:val="00615D69"/>
    <w:rsid w:val="00620A64"/>
    <w:rsid w:val="00623AE2"/>
    <w:rsid w:val="00634893"/>
    <w:rsid w:val="00640A88"/>
    <w:rsid w:val="00642014"/>
    <w:rsid w:val="00643E20"/>
    <w:rsid w:val="00643EE1"/>
    <w:rsid w:val="00644BB9"/>
    <w:rsid w:val="00644F86"/>
    <w:rsid w:val="00650299"/>
    <w:rsid w:val="00655FC5"/>
    <w:rsid w:val="00657F9C"/>
    <w:rsid w:val="0066579E"/>
    <w:rsid w:val="006735FA"/>
    <w:rsid w:val="006902B3"/>
    <w:rsid w:val="006A1D7C"/>
    <w:rsid w:val="006B0395"/>
    <w:rsid w:val="006B1D54"/>
    <w:rsid w:val="006B2080"/>
    <w:rsid w:val="006B4E2F"/>
    <w:rsid w:val="006C07C4"/>
    <w:rsid w:val="006E1B78"/>
    <w:rsid w:val="006E337F"/>
    <w:rsid w:val="006F5269"/>
    <w:rsid w:val="00711EC5"/>
    <w:rsid w:val="007167AB"/>
    <w:rsid w:val="00726BE3"/>
    <w:rsid w:val="00727173"/>
    <w:rsid w:val="00730BDC"/>
    <w:rsid w:val="00737C89"/>
    <w:rsid w:val="0074368B"/>
    <w:rsid w:val="007558C0"/>
    <w:rsid w:val="00755DCD"/>
    <w:rsid w:val="007633E9"/>
    <w:rsid w:val="00763B33"/>
    <w:rsid w:val="00766F6B"/>
    <w:rsid w:val="00767230"/>
    <w:rsid w:val="00777A31"/>
    <w:rsid w:val="007858A0"/>
    <w:rsid w:val="00787A3C"/>
    <w:rsid w:val="00790FB5"/>
    <w:rsid w:val="00797810"/>
    <w:rsid w:val="007A6C7C"/>
    <w:rsid w:val="007A7AD0"/>
    <w:rsid w:val="007C7926"/>
    <w:rsid w:val="007D2F64"/>
    <w:rsid w:val="007D76B9"/>
    <w:rsid w:val="007D7EE3"/>
    <w:rsid w:val="007D7FF7"/>
    <w:rsid w:val="007E39A4"/>
    <w:rsid w:val="007F7962"/>
    <w:rsid w:val="007F79FC"/>
    <w:rsid w:val="00814F57"/>
    <w:rsid w:val="00822581"/>
    <w:rsid w:val="008309DD"/>
    <w:rsid w:val="0083227A"/>
    <w:rsid w:val="008372C3"/>
    <w:rsid w:val="008415E7"/>
    <w:rsid w:val="0084644B"/>
    <w:rsid w:val="0085284A"/>
    <w:rsid w:val="0085464A"/>
    <w:rsid w:val="008663E3"/>
    <w:rsid w:val="00866900"/>
    <w:rsid w:val="00870336"/>
    <w:rsid w:val="008710F3"/>
    <w:rsid w:val="00871959"/>
    <w:rsid w:val="00872BF7"/>
    <w:rsid w:val="0087300D"/>
    <w:rsid w:val="008751FF"/>
    <w:rsid w:val="00877242"/>
    <w:rsid w:val="00881BA1"/>
    <w:rsid w:val="008820D0"/>
    <w:rsid w:val="0088403A"/>
    <w:rsid w:val="008A0A55"/>
    <w:rsid w:val="008A0BAA"/>
    <w:rsid w:val="008A61EA"/>
    <w:rsid w:val="008A739C"/>
    <w:rsid w:val="008B1C94"/>
    <w:rsid w:val="008B2A3A"/>
    <w:rsid w:val="008B714F"/>
    <w:rsid w:val="008C26B8"/>
    <w:rsid w:val="008D3799"/>
    <w:rsid w:val="008D4B4C"/>
    <w:rsid w:val="008E0F5A"/>
    <w:rsid w:val="008E32D1"/>
    <w:rsid w:val="008E3578"/>
    <w:rsid w:val="008F1CFE"/>
    <w:rsid w:val="008F39FA"/>
    <w:rsid w:val="00915157"/>
    <w:rsid w:val="00915429"/>
    <w:rsid w:val="00915592"/>
    <w:rsid w:val="00915C9B"/>
    <w:rsid w:val="00917FF3"/>
    <w:rsid w:val="009252B8"/>
    <w:rsid w:val="009273EC"/>
    <w:rsid w:val="00932E45"/>
    <w:rsid w:val="00937C61"/>
    <w:rsid w:val="009543EF"/>
    <w:rsid w:val="00960C11"/>
    <w:rsid w:val="00965932"/>
    <w:rsid w:val="00976D71"/>
    <w:rsid w:val="00982084"/>
    <w:rsid w:val="00991A72"/>
    <w:rsid w:val="0099232E"/>
    <w:rsid w:val="00994183"/>
    <w:rsid w:val="00995963"/>
    <w:rsid w:val="009A17A2"/>
    <w:rsid w:val="009A2BDE"/>
    <w:rsid w:val="009B3ADD"/>
    <w:rsid w:val="009B4024"/>
    <w:rsid w:val="009B61EB"/>
    <w:rsid w:val="009B6449"/>
    <w:rsid w:val="009C2064"/>
    <w:rsid w:val="009D092D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0154"/>
    <w:rsid w:val="00A2576E"/>
    <w:rsid w:val="00A25A66"/>
    <w:rsid w:val="00A5173C"/>
    <w:rsid w:val="00A5354B"/>
    <w:rsid w:val="00A5557D"/>
    <w:rsid w:val="00A56843"/>
    <w:rsid w:val="00A61AEF"/>
    <w:rsid w:val="00A80417"/>
    <w:rsid w:val="00A9018E"/>
    <w:rsid w:val="00A94710"/>
    <w:rsid w:val="00A97AB0"/>
    <w:rsid w:val="00AB0FFD"/>
    <w:rsid w:val="00AB1E2F"/>
    <w:rsid w:val="00AB2341"/>
    <w:rsid w:val="00AB6C43"/>
    <w:rsid w:val="00AC7D35"/>
    <w:rsid w:val="00AD02E4"/>
    <w:rsid w:val="00AD7192"/>
    <w:rsid w:val="00AE0A5F"/>
    <w:rsid w:val="00AE2DC6"/>
    <w:rsid w:val="00AE2E00"/>
    <w:rsid w:val="00AE363E"/>
    <w:rsid w:val="00AF173A"/>
    <w:rsid w:val="00AF2BF0"/>
    <w:rsid w:val="00AF36E4"/>
    <w:rsid w:val="00AF47A3"/>
    <w:rsid w:val="00AF702F"/>
    <w:rsid w:val="00B04447"/>
    <w:rsid w:val="00B066A4"/>
    <w:rsid w:val="00B07A13"/>
    <w:rsid w:val="00B143E2"/>
    <w:rsid w:val="00B32B08"/>
    <w:rsid w:val="00B37469"/>
    <w:rsid w:val="00B4109B"/>
    <w:rsid w:val="00B421A6"/>
    <w:rsid w:val="00B4279B"/>
    <w:rsid w:val="00B45FC9"/>
    <w:rsid w:val="00B50CB6"/>
    <w:rsid w:val="00B51487"/>
    <w:rsid w:val="00B559DF"/>
    <w:rsid w:val="00B61283"/>
    <w:rsid w:val="00B63ADF"/>
    <w:rsid w:val="00B66EDB"/>
    <w:rsid w:val="00B67350"/>
    <w:rsid w:val="00B705AE"/>
    <w:rsid w:val="00B72058"/>
    <w:rsid w:val="00B73CBA"/>
    <w:rsid w:val="00B75C3E"/>
    <w:rsid w:val="00B776BF"/>
    <w:rsid w:val="00B81A42"/>
    <w:rsid w:val="00B83461"/>
    <w:rsid w:val="00B854E3"/>
    <w:rsid w:val="00B910C0"/>
    <w:rsid w:val="00B94DE5"/>
    <w:rsid w:val="00BA1944"/>
    <w:rsid w:val="00BA3914"/>
    <w:rsid w:val="00BA4DAE"/>
    <w:rsid w:val="00BA6E3B"/>
    <w:rsid w:val="00BA78AB"/>
    <w:rsid w:val="00BB1D6D"/>
    <w:rsid w:val="00BB7232"/>
    <w:rsid w:val="00BC1330"/>
    <w:rsid w:val="00BC3C27"/>
    <w:rsid w:val="00BC7CCF"/>
    <w:rsid w:val="00BD3579"/>
    <w:rsid w:val="00BD3B80"/>
    <w:rsid w:val="00BD5411"/>
    <w:rsid w:val="00BE319C"/>
    <w:rsid w:val="00BE470B"/>
    <w:rsid w:val="00BE7F3A"/>
    <w:rsid w:val="00BF0471"/>
    <w:rsid w:val="00BF59A4"/>
    <w:rsid w:val="00C041E7"/>
    <w:rsid w:val="00C04F98"/>
    <w:rsid w:val="00C07E56"/>
    <w:rsid w:val="00C248F7"/>
    <w:rsid w:val="00C31DDB"/>
    <w:rsid w:val="00C57A91"/>
    <w:rsid w:val="00C62820"/>
    <w:rsid w:val="00C6344E"/>
    <w:rsid w:val="00C63FC0"/>
    <w:rsid w:val="00C643F1"/>
    <w:rsid w:val="00C6617B"/>
    <w:rsid w:val="00C668ED"/>
    <w:rsid w:val="00C71357"/>
    <w:rsid w:val="00C80706"/>
    <w:rsid w:val="00C80FB9"/>
    <w:rsid w:val="00C906A2"/>
    <w:rsid w:val="00CA5AA1"/>
    <w:rsid w:val="00CA5F8E"/>
    <w:rsid w:val="00CB44D6"/>
    <w:rsid w:val="00CB6982"/>
    <w:rsid w:val="00CC01C2"/>
    <w:rsid w:val="00CC2DDB"/>
    <w:rsid w:val="00CC3FC7"/>
    <w:rsid w:val="00CC7049"/>
    <w:rsid w:val="00CD5AEE"/>
    <w:rsid w:val="00CD63EC"/>
    <w:rsid w:val="00CD75C0"/>
    <w:rsid w:val="00CD78DE"/>
    <w:rsid w:val="00CD7F8B"/>
    <w:rsid w:val="00CE43D0"/>
    <w:rsid w:val="00CF21F2"/>
    <w:rsid w:val="00D02712"/>
    <w:rsid w:val="00D05C5F"/>
    <w:rsid w:val="00D06F98"/>
    <w:rsid w:val="00D128F0"/>
    <w:rsid w:val="00D13633"/>
    <w:rsid w:val="00D20D71"/>
    <w:rsid w:val="00D214D0"/>
    <w:rsid w:val="00D2180F"/>
    <w:rsid w:val="00D339D4"/>
    <w:rsid w:val="00D41ED6"/>
    <w:rsid w:val="00D6546B"/>
    <w:rsid w:val="00D71071"/>
    <w:rsid w:val="00D725FA"/>
    <w:rsid w:val="00D72604"/>
    <w:rsid w:val="00D72B7F"/>
    <w:rsid w:val="00D76AE1"/>
    <w:rsid w:val="00D86DE3"/>
    <w:rsid w:val="00D92116"/>
    <w:rsid w:val="00D9652D"/>
    <w:rsid w:val="00D97C31"/>
    <w:rsid w:val="00DA27E9"/>
    <w:rsid w:val="00DA3AA3"/>
    <w:rsid w:val="00DC1CAB"/>
    <w:rsid w:val="00DC3802"/>
    <w:rsid w:val="00DD4699"/>
    <w:rsid w:val="00DD4BED"/>
    <w:rsid w:val="00DE069B"/>
    <w:rsid w:val="00DE39F0"/>
    <w:rsid w:val="00DF0AF3"/>
    <w:rsid w:val="00DF694B"/>
    <w:rsid w:val="00DF74BB"/>
    <w:rsid w:val="00E048A5"/>
    <w:rsid w:val="00E059B5"/>
    <w:rsid w:val="00E0600D"/>
    <w:rsid w:val="00E0695A"/>
    <w:rsid w:val="00E175D0"/>
    <w:rsid w:val="00E27D7E"/>
    <w:rsid w:val="00E32243"/>
    <w:rsid w:val="00E33BBC"/>
    <w:rsid w:val="00E34935"/>
    <w:rsid w:val="00E34D68"/>
    <w:rsid w:val="00E42E13"/>
    <w:rsid w:val="00E53BC0"/>
    <w:rsid w:val="00E61736"/>
    <w:rsid w:val="00E6257C"/>
    <w:rsid w:val="00E63C59"/>
    <w:rsid w:val="00E650B2"/>
    <w:rsid w:val="00E71B18"/>
    <w:rsid w:val="00E818C0"/>
    <w:rsid w:val="00E8290E"/>
    <w:rsid w:val="00E95BDE"/>
    <w:rsid w:val="00EA15B1"/>
    <w:rsid w:val="00EB0FD4"/>
    <w:rsid w:val="00ED1F02"/>
    <w:rsid w:val="00ED6C02"/>
    <w:rsid w:val="00EE549D"/>
    <w:rsid w:val="00EE617F"/>
    <w:rsid w:val="00EF0A61"/>
    <w:rsid w:val="00EF2F87"/>
    <w:rsid w:val="00EF335B"/>
    <w:rsid w:val="00EF339F"/>
    <w:rsid w:val="00EF7249"/>
    <w:rsid w:val="00F01D97"/>
    <w:rsid w:val="00F0690B"/>
    <w:rsid w:val="00F33DC4"/>
    <w:rsid w:val="00F353B6"/>
    <w:rsid w:val="00F41E6E"/>
    <w:rsid w:val="00F435A4"/>
    <w:rsid w:val="00F43EEB"/>
    <w:rsid w:val="00F45EDA"/>
    <w:rsid w:val="00F46C8A"/>
    <w:rsid w:val="00F47820"/>
    <w:rsid w:val="00F5169C"/>
    <w:rsid w:val="00F5419D"/>
    <w:rsid w:val="00F54EF2"/>
    <w:rsid w:val="00F55A66"/>
    <w:rsid w:val="00F70F71"/>
    <w:rsid w:val="00F75432"/>
    <w:rsid w:val="00F7595F"/>
    <w:rsid w:val="00F7771A"/>
    <w:rsid w:val="00F81B89"/>
    <w:rsid w:val="00F839F0"/>
    <w:rsid w:val="00F914E3"/>
    <w:rsid w:val="00F91B8D"/>
    <w:rsid w:val="00F97E32"/>
    <w:rsid w:val="00FA124A"/>
    <w:rsid w:val="00FB351E"/>
    <w:rsid w:val="00FB3DA4"/>
    <w:rsid w:val="00FB5FBB"/>
    <w:rsid w:val="00FC08DD"/>
    <w:rsid w:val="00FC2316"/>
    <w:rsid w:val="00FC2CFD"/>
    <w:rsid w:val="00FC38B9"/>
    <w:rsid w:val="00FC428E"/>
    <w:rsid w:val="00FC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F5412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character" w:styleId="UnresolvedMention">
    <w:name w:val="Unresolved Mention"/>
    <w:basedOn w:val="DefaultParagraphFont"/>
    <w:uiPriority w:val="99"/>
    <w:semiHidden/>
    <w:unhideWhenUsed/>
    <w:rsid w:val="00E33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42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736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tu.int/go/WCC-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A8F7-131B-44F3-9E9F-F4BEE590F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7</TotalTime>
  <Pages>2</Pages>
  <Words>399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Ibragimova, Malika</dc:creator>
  <cp:lastModifiedBy>Braud, Olivia</cp:lastModifiedBy>
  <cp:revision>4</cp:revision>
  <cp:lastPrinted>2021-04-22T09:20:00Z</cp:lastPrinted>
  <dcterms:created xsi:type="dcterms:W3CDTF">2021-04-22T09:10:00Z</dcterms:created>
  <dcterms:modified xsi:type="dcterms:W3CDTF">2021-04-22T09:23:00Z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