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tblInd w:w="8" w:type="dxa"/>
        <w:tblLayout w:type="fixed"/>
        <w:tblCellMar>
          <w:left w:w="0" w:type="dxa"/>
          <w:right w:w="0" w:type="dxa"/>
        </w:tblCellMar>
        <w:tblLook w:val="0000" w:firstRow="0" w:lastRow="0" w:firstColumn="0" w:lastColumn="0" w:noHBand="0" w:noVBand="0"/>
      </w:tblPr>
      <w:tblGrid>
        <w:gridCol w:w="1210"/>
        <w:gridCol w:w="200"/>
        <w:gridCol w:w="3467"/>
        <w:gridCol w:w="5329"/>
      </w:tblGrid>
      <w:tr w:rsidR="007B6316" w14:paraId="0F8E45C1" w14:textId="77777777" w:rsidTr="007B6316">
        <w:trPr>
          <w:cantSplit/>
          <w:trHeight w:val="340"/>
        </w:trPr>
        <w:tc>
          <w:tcPr>
            <w:tcW w:w="1410" w:type="dxa"/>
            <w:gridSpan w:val="2"/>
          </w:tcPr>
          <w:p w14:paraId="21E178E6"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77B38B2D" wp14:editId="3DEF41E5">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2"/>
            <w:vAlign w:val="center"/>
          </w:tcPr>
          <w:p w14:paraId="61E7E592"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185EFFF6"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14:paraId="61719B3B" w14:textId="77777777" w:rsidTr="00D747B2">
        <w:trPr>
          <w:cantSplit/>
          <w:trHeight w:val="340"/>
        </w:trPr>
        <w:tc>
          <w:tcPr>
            <w:tcW w:w="1210" w:type="dxa"/>
          </w:tcPr>
          <w:p w14:paraId="6016B83B" w14:textId="77777777" w:rsidR="007B6316" w:rsidRPr="00D747B2" w:rsidRDefault="007B6316" w:rsidP="00D747B2">
            <w:pPr>
              <w:tabs>
                <w:tab w:val="clear" w:pos="794"/>
                <w:tab w:val="clear" w:pos="1191"/>
                <w:tab w:val="clear" w:pos="1588"/>
                <w:tab w:val="clear" w:pos="1985"/>
                <w:tab w:val="left" w:pos="284"/>
              </w:tabs>
              <w:spacing w:after="120"/>
              <w:ind w:left="284" w:hanging="227"/>
              <w:rPr>
                <w:szCs w:val="24"/>
              </w:rPr>
            </w:pPr>
          </w:p>
        </w:tc>
        <w:tc>
          <w:tcPr>
            <w:tcW w:w="3667" w:type="dxa"/>
            <w:gridSpan w:val="2"/>
          </w:tcPr>
          <w:p w14:paraId="62A69556" w14:textId="77777777" w:rsidR="007B6316" w:rsidRPr="00D747B2" w:rsidRDefault="007B6316" w:rsidP="00D747B2">
            <w:pPr>
              <w:tabs>
                <w:tab w:val="clear" w:pos="794"/>
                <w:tab w:val="clear" w:pos="1191"/>
                <w:tab w:val="clear" w:pos="1588"/>
                <w:tab w:val="clear" w:pos="1985"/>
                <w:tab w:val="left" w:pos="284"/>
              </w:tabs>
              <w:spacing w:after="120"/>
              <w:ind w:left="284" w:hanging="227"/>
              <w:rPr>
                <w:szCs w:val="24"/>
              </w:rPr>
            </w:pPr>
          </w:p>
        </w:tc>
        <w:tc>
          <w:tcPr>
            <w:tcW w:w="5329" w:type="dxa"/>
          </w:tcPr>
          <w:p w14:paraId="2BBBDF48" w14:textId="3186C9E2" w:rsidR="007B6316" w:rsidRDefault="007C6B85" w:rsidP="007B6316">
            <w:pPr>
              <w:tabs>
                <w:tab w:val="clear" w:pos="794"/>
                <w:tab w:val="clear" w:pos="1191"/>
                <w:tab w:val="clear" w:pos="1588"/>
                <w:tab w:val="clear" w:pos="1985"/>
                <w:tab w:val="left" w:pos="284"/>
              </w:tabs>
              <w:spacing w:after="120"/>
              <w:ind w:left="284" w:hanging="227"/>
            </w:pPr>
            <w:r w:rsidRPr="007C6B85">
              <w:rPr>
                <w:szCs w:val="24"/>
              </w:rPr>
              <w:t>Ginebra, 16 de marzo de 2021</w:t>
            </w:r>
          </w:p>
        </w:tc>
      </w:tr>
      <w:tr w:rsidR="007B6316" w:rsidRPr="00A122EA" w14:paraId="38AE8466" w14:textId="77777777" w:rsidTr="00D747B2">
        <w:trPr>
          <w:cantSplit/>
          <w:trHeight w:val="340"/>
        </w:trPr>
        <w:tc>
          <w:tcPr>
            <w:tcW w:w="1210" w:type="dxa"/>
          </w:tcPr>
          <w:p w14:paraId="326CFD41" w14:textId="005EFBE8" w:rsidR="007B6316" w:rsidRPr="00A122EA" w:rsidRDefault="007B6316" w:rsidP="00D747B2">
            <w:pPr>
              <w:tabs>
                <w:tab w:val="left" w:pos="4111"/>
              </w:tabs>
              <w:spacing w:before="40" w:after="40"/>
              <w:ind w:left="57"/>
              <w:rPr>
                <w:sz w:val="22"/>
                <w:szCs w:val="22"/>
              </w:rPr>
            </w:pPr>
            <w:r w:rsidRPr="00A122EA">
              <w:rPr>
                <w:sz w:val="22"/>
                <w:szCs w:val="22"/>
              </w:rPr>
              <w:t>Ref.:</w:t>
            </w:r>
          </w:p>
        </w:tc>
        <w:tc>
          <w:tcPr>
            <w:tcW w:w="3667" w:type="dxa"/>
            <w:gridSpan w:val="2"/>
          </w:tcPr>
          <w:p w14:paraId="1A3C86C0" w14:textId="4B780A98" w:rsidR="007B6316" w:rsidRPr="00A122EA" w:rsidRDefault="007C6B85" w:rsidP="00D747B2">
            <w:pPr>
              <w:tabs>
                <w:tab w:val="left" w:pos="4111"/>
              </w:tabs>
              <w:spacing w:before="40" w:after="40"/>
              <w:ind w:left="57"/>
              <w:rPr>
                <w:b/>
                <w:bCs/>
                <w:sz w:val="22"/>
                <w:szCs w:val="22"/>
              </w:rPr>
            </w:pPr>
            <w:r w:rsidRPr="00A122EA">
              <w:rPr>
                <w:b/>
                <w:bCs/>
                <w:sz w:val="22"/>
                <w:szCs w:val="22"/>
              </w:rPr>
              <w:t>Circular TSB 298</w:t>
            </w:r>
          </w:p>
          <w:p w14:paraId="63D1CAC4" w14:textId="26E53F74" w:rsidR="007B6316" w:rsidRPr="00A122EA" w:rsidRDefault="007C6B85" w:rsidP="00D747B2">
            <w:pPr>
              <w:tabs>
                <w:tab w:val="left" w:pos="4111"/>
              </w:tabs>
              <w:spacing w:before="40" w:after="40"/>
              <w:ind w:left="57"/>
              <w:rPr>
                <w:sz w:val="22"/>
                <w:szCs w:val="22"/>
              </w:rPr>
            </w:pPr>
            <w:r w:rsidRPr="00A122EA">
              <w:rPr>
                <w:sz w:val="22"/>
                <w:szCs w:val="22"/>
              </w:rPr>
              <w:t>TSB Events/VM</w:t>
            </w:r>
          </w:p>
        </w:tc>
        <w:tc>
          <w:tcPr>
            <w:tcW w:w="5329" w:type="dxa"/>
            <w:vMerge w:val="restart"/>
          </w:tcPr>
          <w:p w14:paraId="6D5BBED7" w14:textId="77777777" w:rsidR="007C6B85" w:rsidRPr="00A122EA" w:rsidRDefault="007C6B85" w:rsidP="00D747B2">
            <w:pPr>
              <w:tabs>
                <w:tab w:val="left" w:pos="4111"/>
              </w:tabs>
              <w:spacing w:before="40" w:after="40"/>
              <w:ind w:left="57"/>
              <w:rPr>
                <w:b/>
                <w:bCs/>
                <w:sz w:val="22"/>
                <w:szCs w:val="22"/>
              </w:rPr>
            </w:pPr>
            <w:bookmarkStart w:id="0" w:name="Addressee_S"/>
            <w:bookmarkEnd w:id="0"/>
            <w:r w:rsidRPr="00A122EA">
              <w:rPr>
                <w:b/>
                <w:bCs/>
                <w:sz w:val="22"/>
                <w:szCs w:val="22"/>
              </w:rPr>
              <w:t>A:</w:t>
            </w:r>
          </w:p>
          <w:p w14:paraId="73B53696" w14:textId="51515ED9" w:rsidR="007C6B85" w:rsidRPr="00A122EA" w:rsidRDefault="007C6B85" w:rsidP="00D747B2">
            <w:pPr>
              <w:tabs>
                <w:tab w:val="clear" w:pos="794"/>
                <w:tab w:val="left" w:pos="361"/>
                <w:tab w:val="left" w:pos="4111"/>
              </w:tabs>
              <w:spacing w:before="40" w:after="40"/>
              <w:ind w:left="361" w:hanging="304"/>
              <w:rPr>
                <w:sz w:val="22"/>
                <w:szCs w:val="22"/>
              </w:rPr>
            </w:pPr>
            <w:r w:rsidRPr="00A122EA">
              <w:rPr>
                <w:sz w:val="22"/>
                <w:szCs w:val="22"/>
              </w:rPr>
              <w:t>–</w:t>
            </w:r>
            <w:r w:rsidRPr="00A122EA">
              <w:rPr>
                <w:sz w:val="22"/>
                <w:szCs w:val="22"/>
              </w:rPr>
              <w:tab/>
              <w:t>las Administraciones de los Estados Miembros</w:t>
            </w:r>
            <w:r w:rsidR="00AE0C77" w:rsidRPr="00A122EA">
              <w:rPr>
                <w:sz w:val="22"/>
                <w:szCs w:val="22"/>
              </w:rPr>
              <w:t xml:space="preserve"> </w:t>
            </w:r>
            <w:r w:rsidRPr="00A122EA">
              <w:rPr>
                <w:sz w:val="22"/>
                <w:szCs w:val="22"/>
              </w:rPr>
              <w:br/>
              <w:t>de la Unión;</w:t>
            </w:r>
          </w:p>
          <w:p w14:paraId="09FC1BB2" w14:textId="3874EDB5" w:rsidR="007C6B85" w:rsidRPr="00A122EA" w:rsidRDefault="007C6B85" w:rsidP="00D747B2">
            <w:pPr>
              <w:tabs>
                <w:tab w:val="clear" w:pos="794"/>
                <w:tab w:val="left" w:pos="361"/>
                <w:tab w:val="left" w:pos="4111"/>
              </w:tabs>
              <w:spacing w:before="40" w:after="40"/>
              <w:ind w:left="361" w:hanging="304"/>
              <w:rPr>
                <w:sz w:val="22"/>
                <w:szCs w:val="22"/>
              </w:rPr>
            </w:pPr>
            <w:r w:rsidRPr="00A122EA">
              <w:rPr>
                <w:sz w:val="22"/>
                <w:szCs w:val="22"/>
              </w:rPr>
              <w:t>–</w:t>
            </w:r>
            <w:r w:rsidRPr="00A122EA">
              <w:rPr>
                <w:sz w:val="22"/>
                <w:szCs w:val="22"/>
              </w:rPr>
              <w:tab/>
              <w:t>los Miembros de Sector del UIT</w:t>
            </w:r>
            <w:r w:rsidRPr="00A122EA">
              <w:rPr>
                <w:sz w:val="22"/>
                <w:szCs w:val="22"/>
              </w:rPr>
              <w:noBreakHyphen/>
              <w:t>T;</w:t>
            </w:r>
          </w:p>
          <w:p w14:paraId="27BF313D" w14:textId="78D0033B" w:rsidR="007C6B85" w:rsidRPr="00A122EA" w:rsidRDefault="007C6B85" w:rsidP="00D747B2">
            <w:pPr>
              <w:tabs>
                <w:tab w:val="clear" w:pos="794"/>
                <w:tab w:val="left" w:pos="361"/>
                <w:tab w:val="left" w:pos="4111"/>
              </w:tabs>
              <w:spacing w:before="40" w:after="40"/>
              <w:ind w:left="361" w:hanging="304"/>
              <w:rPr>
                <w:sz w:val="22"/>
                <w:szCs w:val="22"/>
              </w:rPr>
            </w:pPr>
            <w:r w:rsidRPr="00A122EA">
              <w:rPr>
                <w:sz w:val="22"/>
                <w:szCs w:val="22"/>
              </w:rPr>
              <w:t>–</w:t>
            </w:r>
            <w:r w:rsidRPr="00A122EA">
              <w:rPr>
                <w:sz w:val="22"/>
                <w:szCs w:val="22"/>
              </w:rPr>
              <w:tab/>
              <w:t>los Asociados del UIT</w:t>
            </w:r>
            <w:r w:rsidRPr="00A122EA">
              <w:rPr>
                <w:sz w:val="22"/>
                <w:szCs w:val="22"/>
              </w:rPr>
              <w:noBreakHyphen/>
              <w:t>T;</w:t>
            </w:r>
          </w:p>
          <w:p w14:paraId="025CAEE7" w14:textId="57F292B5" w:rsidR="007B6316" w:rsidRPr="00A122EA" w:rsidRDefault="007C6B85" w:rsidP="00D747B2">
            <w:pPr>
              <w:tabs>
                <w:tab w:val="clear" w:pos="794"/>
                <w:tab w:val="left" w:pos="361"/>
                <w:tab w:val="left" w:pos="4111"/>
              </w:tabs>
              <w:spacing w:before="40" w:after="40"/>
              <w:ind w:left="361" w:hanging="304"/>
              <w:rPr>
                <w:sz w:val="22"/>
                <w:szCs w:val="22"/>
              </w:rPr>
            </w:pPr>
            <w:r w:rsidRPr="00A122EA">
              <w:rPr>
                <w:sz w:val="22"/>
                <w:szCs w:val="22"/>
              </w:rPr>
              <w:t>–</w:t>
            </w:r>
            <w:r w:rsidRPr="00A122EA">
              <w:rPr>
                <w:sz w:val="22"/>
                <w:szCs w:val="22"/>
              </w:rPr>
              <w:tab/>
              <w:t>las Instituciones Académicas de la UIT</w:t>
            </w:r>
          </w:p>
        </w:tc>
      </w:tr>
      <w:tr w:rsidR="007C6B85" w:rsidRPr="00A122EA" w14:paraId="32B988BA" w14:textId="77777777" w:rsidTr="00D747B2">
        <w:trPr>
          <w:cantSplit/>
        </w:trPr>
        <w:tc>
          <w:tcPr>
            <w:tcW w:w="1210" w:type="dxa"/>
          </w:tcPr>
          <w:p w14:paraId="75E0A5CB" w14:textId="0C18FA86" w:rsidR="007C6B85" w:rsidRPr="00A122EA" w:rsidRDefault="007C6B85" w:rsidP="00D747B2">
            <w:pPr>
              <w:tabs>
                <w:tab w:val="left" w:pos="4111"/>
              </w:tabs>
              <w:spacing w:before="40" w:after="40"/>
              <w:ind w:left="57"/>
              <w:rPr>
                <w:sz w:val="22"/>
                <w:szCs w:val="22"/>
              </w:rPr>
            </w:pPr>
            <w:r w:rsidRPr="00A122EA">
              <w:rPr>
                <w:sz w:val="22"/>
                <w:szCs w:val="22"/>
              </w:rPr>
              <w:t>Contacto:</w:t>
            </w:r>
          </w:p>
        </w:tc>
        <w:tc>
          <w:tcPr>
            <w:tcW w:w="3667" w:type="dxa"/>
            <w:gridSpan w:val="2"/>
          </w:tcPr>
          <w:p w14:paraId="46455B73" w14:textId="00BDEC2E" w:rsidR="007C6B85" w:rsidRPr="00A122EA" w:rsidRDefault="007C6B85" w:rsidP="00D747B2">
            <w:pPr>
              <w:tabs>
                <w:tab w:val="left" w:pos="4111"/>
              </w:tabs>
              <w:spacing w:before="40" w:after="40"/>
              <w:ind w:left="57"/>
              <w:rPr>
                <w:b/>
                <w:bCs/>
                <w:sz w:val="22"/>
                <w:szCs w:val="22"/>
              </w:rPr>
            </w:pPr>
            <w:r w:rsidRPr="00A122EA">
              <w:rPr>
                <w:b/>
                <w:bCs/>
                <w:sz w:val="22"/>
                <w:szCs w:val="22"/>
              </w:rPr>
              <w:t>Vijay Mauree</w:t>
            </w:r>
          </w:p>
        </w:tc>
        <w:tc>
          <w:tcPr>
            <w:tcW w:w="5329" w:type="dxa"/>
            <w:vMerge/>
          </w:tcPr>
          <w:p w14:paraId="6DD22A9C" w14:textId="77777777" w:rsidR="007C6B85" w:rsidRPr="00A122EA" w:rsidRDefault="007C6B85" w:rsidP="00D747B2">
            <w:pPr>
              <w:tabs>
                <w:tab w:val="left" w:pos="4111"/>
              </w:tabs>
              <w:spacing w:before="40" w:after="40"/>
              <w:ind w:left="57"/>
              <w:rPr>
                <w:sz w:val="22"/>
                <w:szCs w:val="22"/>
              </w:rPr>
            </w:pPr>
          </w:p>
        </w:tc>
      </w:tr>
      <w:tr w:rsidR="007B6316" w:rsidRPr="00A122EA" w14:paraId="6BB9D0E7" w14:textId="77777777" w:rsidTr="00D747B2">
        <w:trPr>
          <w:cantSplit/>
        </w:trPr>
        <w:tc>
          <w:tcPr>
            <w:tcW w:w="1210" w:type="dxa"/>
          </w:tcPr>
          <w:p w14:paraId="1A1A048B" w14:textId="77777777" w:rsidR="007B6316" w:rsidRPr="00A122EA" w:rsidRDefault="007B6316" w:rsidP="00D747B2">
            <w:pPr>
              <w:tabs>
                <w:tab w:val="left" w:pos="4111"/>
              </w:tabs>
              <w:spacing w:before="40" w:after="40"/>
              <w:ind w:left="57"/>
              <w:rPr>
                <w:sz w:val="22"/>
                <w:szCs w:val="22"/>
              </w:rPr>
            </w:pPr>
            <w:r w:rsidRPr="00A122EA">
              <w:rPr>
                <w:sz w:val="22"/>
                <w:szCs w:val="22"/>
              </w:rPr>
              <w:t>Tel.:</w:t>
            </w:r>
          </w:p>
        </w:tc>
        <w:tc>
          <w:tcPr>
            <w:tcW w:w="3667" w:type="dxa"/>
            <w:gridSpan w:val="2"/>
          </w:tcPr>
          <w:p w14:paraId="732CF78C" w14:textId="19AC05C4" w:rsidR="007B6316" w:rsidRPr="00A122EA" w:rsidRDefault="007B6316" w:rsidP="00D747B2">
            <w:pPr>
              <w:tabs>
                <w:tab w:val="left" w:pos="4111"/>
              </w:tabs>
              <w:spacing w:before="40" w:after="40"/>
              <w:ind w:left="57"/>
              <w:rPr>
                <w:sz w:val="22"/>
                <w:szCs w:val="22"/>
              </w:rPr>
            </w:pPr>
            <w:r w:rsidRPr="00A122EA">
              <w:rPr>
                <w:sz w:val="22"/>
                <w:szCs w:val="22"/>
              </w:rPr>
              <w:t>+</w:t>
            </w:r>
            <w:r w:rsidR="007C6B85" w:rsidRPr="00A122EA">
              <w:rPr>
                <w:sz w:val="22"/>
                <w:szCs w:val="22"/>
              </w:rPr>
              <w:t>41 22 730 5591</w:t>
            </w:r>
          </w:p>
        </w:tc>
        <w:tc>
          <w:tcPr>
            <w:tcW w:w="5329" w:type="dxa"/>
            <w:vMerge/>
          </w:tcPr>
          <w:p w14:paraId="1F21B8C3" w14:textId="77777777" w:rsidR="007B6316" w:rsidRPr="00A122EA" w:rsidRDefault="007B6316" w:rsidP="00D747B2">
            <w:pPr>
              <w:tabs>
                <w:tab w:val="left" w:pos="4111"/>
              </w:tabs>
              <w:spacing w:before="40" w:after="40"/>
              <w:ind w:left="57"/>
              <w:rPr>
                <w:sz w:val="22"/>
                <w:szCs w:val="22"/>
              </w:rPr>
            </w:pPr>
          </w:p>
        </w:tc>
      </w:tr>
      <w:tr w:rsidR="007B6316" w:rsidRPr="00A122EA" w14:paraId="51B455C0" w14:textId="77777777" w:rsidTr="00D747B2">
        <w:trPr>
          <w:cantSplit/>
        </w:trPr>
        <w:tc>
          <w:tcPr>
            <w:tcW w:w="1210" w:type="dxa"/>
          </w:tcPr>
          <w:p w14:paraId="5290135F" w14:textId="77777777" w:rsidR="007B6316" w:rsidRPr="00A122EA" w:rsidRDefault="007B6316" w:rsidP="00D747B2">
            <w:pPr>
              <w:tabs>
                <w:tab w:val="left" w:pos="4111"/>
              </w:tabs>
              <w:spacing w:before="40" w:after="40"/>
              <w:ind w:left="57"/>
              <w:rPr>
                <w:sz w:val="22"/>
                <w:szCs w:val="22"/>
              </w:rPr>
            </w:pPr>
            <w:r w:rsidRPr="00A122EA">
              <w:rPr>
                <w:sz w:val="22"/>
                <w:szCs w:val="22"/>
              </w:rPr>
              <w:t>Fax:</w:t>
            </w:r>
          </w:p>
        </w:tc>
        <w:tc>
          <w:tcPr>
            <w:tcW w:w="3667" w:type="dxa"/>
            <w:gridSpan w:val="2"/>
          </w:tcPr>
          <w:p w14:paraId="7C43FB40" w14:textId="70368288" w:rsidR="007B6316" w:rsidRPr="00A122EA" w:rsidRDefault="007C6B85" w:rsidP="00D747B2">
            <w:pPr>
              <w:tabs>
                <w:tab w:val="left" w:pos="4111"/>
              </w:tabs>
              <w:spacing w:before="40" w:after="40"/>
              <w:ind w:left="57"/>
              <w:rPr>
                <w:sz w:val="22"/>
                <w:szCs w:val="22"/>
              </w:rPr>
            </w:pPr>
            <w:r w:rsidRPr="00A122EA">
              <w:rPr>
                <w:sz w:val="22"/>
                <w:szCs w:val="22"/>
              </w:rPr>
              <w:t>+41 22 730 5853</w:t>
            </w:r>
          </w:p>
        </w:tc>
        <w:tc>
          <w:tcPr>
            <w:tcW w:w="5329" w:type="dxa"/>
            <w:vMerge/>
          </w:tcPr>
          <w:p w14:paraId="570ABAFD" w14:textId="77777777" w:rsidR="007B6316" w:rsidRPr="00A122EA" w:rsidRDefault="007B6316" w:rsidP="00D747B2">
            <w:pPr>
              <w:tabs>
                <w:tab w:val="left" w:pos="4111"/>
              </w:tabs>
              <w:spacing w:before="40" w:after="40"/>
              <w:ind w:left="57"/>
              <w:rPr>
                <w:sz w:val="22"/>
                <w:szCs w:val="22"/>
              </w:rPr>
            </w:pPr>
          </w:p>
        </w:tc>
      </w:tr>
      <w:tr w:rsidR="00C34772" w:rsidRPr="00A122EA" w14:paraId="09532125" w14:textId="77777777" w:rsidTr="00D747B2">
        <w:trPr>
          <w:cantSplit/>
        </w:trPr>
        <w:tc>
          <w:tcPr>
            <w:tcW w:w="1210" w:type="dxa"/>
          </w:tcPr>
          <w:p w14:paraId="0E4A786D" w14:textId="77777777" w:rsidR="00C34772" w:rsidRPr="00A122EA" w:rsidRDefault="00C34772" w:rsidP="00D747B2">
            <w:pPr>
              <w:tabs>
                <w:tab w:val="left" w:pos="4111"/>
              </w:tabs>
              <w:spacing w:before="40" w:after="40"/>
              <w:ind w:left="57"/>
              <w:rPr>
                <w:sz w:val="22"/>
                <w:szCs w:val="22"/>
              </w:rPr>
            </w:pPr>
            <w:r w:rsidRPr="00A122EA">
              <w:rPr>
                <w:sz w:val="22"/>
                <w:szCs w:val="22"/>
              </w:rPr>
              <w:t>Correo-e:</w:t>
            </w:r>
          </w:p>
        </w:tc>
        <w:tc>
          <w:tcPr>
            <w:tcW w:w="3667" w:type="dxa"/>
            <w:gridSpan w:val="2"/>
          </w:tcPr>
          <w:p w14:paraId="59FAA09F" w14:textId="21884AD6" w:rsidR="00C34772" w:rsidRPr="00A122EA" w:rsidRDefault="00A40C0D" w:rsidP="00D747B2">
            <w:pPr>
              <w:tabs>
                <w:tab w:val="left" w:pos="4111"/>
              </w:tabs>
              <w:spacing w:before="40" w:after="40"/>
              <w:ind w:left="57"/>
              <w:rPr>
                <w:sz w:val="22"/>
                <w:szCs w:val="22"/>
              </w:rPr>
            </w:pPr>
            <w:hyperlink r:id="rId9" w:history="1">
              <w:r w:rsidR="007C6B85" w:rsidRPr="00A122EA">
                <w:rPr>
                  <w:rStyle w:val="Hyperlink"/>
                  <w:sz w:val="22"/>
                  <w:szCs w:val="22"/>
                  <w:lang w:val="es-ES"/>
                </w:rPr>
                <w:t>figi-symposium@itu.int</w:t>
              </w:r>
            </w:hyperlink>
            <w:r w:rsidR="007C6B85" w:rsidRPr="00A122EA">
              <w:rPr>
                <w:sz w:val="22"/>
                <w:szCs w:val="22"/>
                <w:u w:val="single"/>
                <w:lang w:val="es-ES"/>
              </w:rPr>
              <w:br/>
            </w:r>
            <w:hyperlink r:id="rId10" w:history="1">
              <w:r w:rsidR="007C6B85" w:rsidRPr="00A122EA">
                <w:rPr>
                  <w:rStyle w:val="Hyperlink"/>
                  <w:sz w:val="22"/>
                  <w:szCs w:val="22"/>
                  <w:lang w:val="es-ES"/>
                </w:rPr>
                <w:t>tsbevents@itu.int</w:t>
              </w:r>
            </w:hyperlink>
          </w:p>
        </w:tc>
        <w:tc>
          <w:tcPr>
            <w:tcW w:w="5329" w:type="dxa"/>
          </w:tcPr>
          <w:p w14:paraId="5F00B912" w14:textId="77777777" w:rsidR="007C6B85" w:rsidRPr="00A122EA" w:rsidRDefault="007C6B85" w:rsidP="00D747B2">
            <w:pPr>
              <w:tabs>
                <w:tab w:val="left" w:pos="4111"/>
              </w:tabs>
              <w:spacing w:before="40" w:after="40"/>
              <w:ind w:left="57"/>
              <w:rPr>
                <w:b/>
                <w:bCs/>
                <w:sz w:val="22"/>
                <w:szCs w:val="22"/>
              </w:rPr>
            </w:pPr>
            <w:r w:rsidRPr="00A122EA">
              <w:rPr>
                <w:b/>
                <w:bCs/>
                <w:sz w:val="22"/>
                <w:szCs w:val="22"/>
              </w:rPr>
              <w:t>Copia:</w:t>
            </w:r>
          </w:p>
          <w:p w14:paraId="39C8D93E" w14:textId="473B50F2" w:rsidR="007C6B85" w:rsidRPr="00A122EA" w:rsidRDefault="007C6B85" w:rsidP="00D747B2">
            <w:pPr>
              <w:tabs>
                <w:tab w:val="clear" w:pos="794"/>
                <w:tab w:val="left" w:pos="361"/>
                <w:tab w:val="left" w:pos="4111"/>
              </w:tabs>
              <w:spacing w:before="40" w:after="40"/>
              <w:ind w:left="361" w:hanging="304"/>
              <w:rPr>
                <w:sz w:val="22"/>
                <w:szCs w:val="22"/>
              </w:rPr>
            </w:pPr>
            <w:r w:rsidRPr="00A122EA">
              <w:rPr>
                <w:sz w:val="22"/>
                <w:szCs w:val="22"/>
              </w:rPr>
              <w:t>–</w:t>
            </w:r>
            <w:r w:rsidRPr="00A122EA">
              <w:rPr>
                <w:sz w:val="22"/>
                <w:szCs w:val="22"/>
              </w:rPr>
              <w:tab/>
            </w:r>
            <w:r w:rsidR="00D747B2" w:rsidRPr="00A122EA">
              <w:rPr>
                <w:sz w:val="22"/>
                <w:szCs w:val="22"/>
              </w:rPr>
              <w:t>a</w:t>
            </w:r>
            <w:r w:rsidRPr="00A122EA">
              <w:rPr>
                <w:sz w:val="22"/>
                <w:szCs w:val="22"/>
              </w:rPr>
              <w:t xml:space="preserve"> los </w:t>
            </w:r>
            <w:proofErr w:type="gramStart"/>
            <w:r w:rsidRPr="00A122EA">
              <w:rPr>
                <w:sz w:val="22"/>
                <w:szCs w:val="22"/>
              </w:rPr>
              <w:t>Presidentes</w:t>
            </w:r>
            <w:proofErr w:type="gramEnd"/>
            <w:r w:rsidRPr="00A122EA">
              <w:rPr>
                <w:sz w:val="22"/>
                <w:szCs w:val="22"/>
              </w:rPr>
              <w:t xml:space="preserve"> y a los Vicepresidentes de las Comisiones de Estudio del UIT-T;</w:t>
            </w:r>
          </w:p>
          <w:p w14:paraId="6942FEAE" w14:textId="74BB4D31" w:rsidR="007C6B85" w:rsidRPr="00A122EA" w:rsidRDefault="007C6B85" w:rsidP="00D747B2">
            <w:pPr>
              <w:tabs>
                <w:tab w:val="clear" w:pos="794"/>
                <w:tab w:val="left" w:pos="361"/>
                <w:tab w:val="left" w:pos="4111"/>
              </w:tabs>
              <w:spacing w:before="40" w:after="40"/>
              <w:ind w:left="361" w:hanging="304"/>
              <w:rPr>
                <w:sz w:val="22"/>
                <w:szCs w:val="22"/>
              </w:rPr>
            </w:pPr>
            <w:r w:rsidRPr="00A122EA">
              <w:rPr>
                <w:sz w:val="22"/>
                <w:szCs w:val="22"/>
              </w:rPr>
              <w:t>–</w:t>
            </w:r>
            <w:r w:rsidRPr="00A122EA">
              <w:rPr>
                <w:sz w:val="22"/>
                <w:szCs w:val="22"/>
              </w:rPr>
              <w:tab/>
            </w:r>
            <w:r w:rsidR="00D747B2" w:rsidRPr="00A122EA">
              <w:rPr>
                <w:sz w:val="22"/>
                <w:szCs w:val="22"/>
              </w:rPr>
              <w:t xml:space="preserve">a </w:t>
            </w:r>
            <w:r w:rsidRPr="00A122EA">
              <w:rPr>
                <w:sz w:val="22"/>
                <w:szCs w:val="22"/>
              </w:rPr>
              <w:t>l</w:t>
            </w:r>
            <w:r w:rsidR="00D747B2" w:rsidRPr="00A122EA">
              <w:rPr>
                <w:sz w:val="22"/>
                <w:szCs w:val="22"/>
              </w:rPr>
              <w:t>a</w:t>
            </w:r>
            <w:r w:rsidRPr="00A122EA">
              <w:rPr>
                <w:sz w:val="22"/>
                <w:szCs w:val="22"/>
              </w:rPr>
              <w:t xml:space="preserve"> </w:t>
            </w:r>
            <w:proofErr w:type="gramStart"/>
            <w:r w:rsidRPr="00A122EA">
              <w:rPr>
                <w:sz w:val="22"/>
                <w:szCs w:val="22"/>
              </w:rPr>
              <w:t>Director</w:t>
            </w:r>
            <w:r w:rsidR="00A2123D" w:rsidRPr="00A122EA">
              <w:rPr>
                <w:sz w:val="22"/>
                <w:szCs w:val="22"/>
              </w:rPr>
              <w:t>a</w:t>
            </w:r>
            <w:proofErr w:type="gramEnd"/>
            <w:r w:rsidRPr="00A122EA">
              <w:rPr>
                <w:sz w:val="22"/>
                <w:szCs w:val="22"/>
              </w:rPr>
              <w:t xml:space="preserve"> de la Oficina de Desarrollo de las Telecomunicaciones;</w:t>
            </w:r>
          </w:p>
          <w:p w14:paraId="4A314D46" w14:textId="52778F52" w:rsidR="007C6B85" w:rsidRPr="00A122EA" w:rsidRDefault="007C6B85" w:rsidP="00D747B2">
            <w:pPr>
              <w:tabs>
                <w:tab w:val="clear" w:pos="794"/>
                <w:tab w:val="left" w:pos="361"/>
                <w:tab w:val="left" w:pos="4111"/>
              </w:tabs>
              <w:spacing w:before="40" w:after="40"/>
              <w:ind w:left="361" w:hanging="304"/>
              <w:rPr>
                <w:sz w:val="22"/>
                <w:szCs w:val="22"/>
              </w:rPr>
            </w:pPr>
            <w:r w:rsidRPr="00A122EA">
              <w:rPr>
                <w:sz w:val="22"/>
                <w:szCs w:val="22"/>
              </w:rPr>
              <w:t>–</w:t>
            </w:r>
            <w:r w:rsidRPr="00A122EA">
              <w:rPr>
                <w:sz w:val="22"/>
                <w:szCs w:val="22"/>
              </w:rPr>
              <w:tab/>
            </w:r>
            <w:r w:rsidR="00D747B2" w:rsidRPr="00A122EA">
              <w:rPr>
                <w:sz w:val="22"/>
                <w:szCs w:val="22"/>
              </w:rPr>
              <w:t>a</w:t>
            </w:r>
            <w:r w:rsidRPr="00A122EA">
              <w:rPr>
                <w:sz w:val="22"/>
                <w:szCs w:val="22"/>
              </w:rPr>
              <w:t xml:space="preserve">l </w:t>
            </w:r>
            <w:proofErr w:type="gramStart"/>
            <w:r w:rsidRPr="00A122EA">
              <w:rPr>
                <w:sz w:val="22"/>
                <w:szCs w:val="22"/>
              </w:rPr>
              <w:t>Director</w:t>
            </w:r>
            <w:proofErr w:type="gramEnd"/>
            <w:r w:rsidRPr="00A122EA">
              <w:rPr>
                <w:sz w:val="22"/>
                <w:szCs w:val="22"/>
              </w:rPr>
              <w:t xml:space="preserve"> de la Oficina de Radiocomunicaciones</w:t>
            </w:r>
            <w:r w:rsidR="006F7573" w:rsidRPr="00A122EA">
              <w:rPr>
                <w:sz w:val="22"/>
                <w:szCs w:val="22"/>
              </w:rPr>
              <w:t>;</w:t>
            </w:r>
          </w:p>
          <w:p w14:paraId="5D89C4E3" w14:textId="757FB90C" w:rsidR="00C34772" w:rsidRPr="00A122EA" w:rsidRDefault="007C6B85" w:rsidP="00D747B2">
            <w:pPr>
              <w:tabs>
                <w:tab w:val="clear" w:pos="794"/>
                <w:tab w:val="left" w:pos="361"/>
                <w:tab w:val="left" w:pos="4111"/>
              </w:tabs>
              <w:spacing w:before="40" w:after="40"/>
              <w:ind w:left="361" w:hanging="304"/>
              <w:rPr>
                <w:sz w:val="22"/>
                <w:szCs w:val="22"/>
              </w:rPr>
            </w:pPr>
            <w:r w:rsidRPr="00A122EA">
              <w:rPr>
                <w:sz w:val="22"/>
                <w:szCs w:val="22"/>
              </w:rPr>
              <w:t>–</w:t>
            </w:r>
            <w:r w:rsidRPr="00A122EA">
              <w:rPr>
                <w:sz w:val="22"/>
                <w:szCs w:val="22"/>
              </w:rPr>
              <w:tab/>
            </w:r>
            <w:r w:rsidR="00D747B2" w:rsidRPr="00A122EA">
              <w:rPr>
                <w:sz w:val="22"/>
                <w:szCs w:val="22"/>
              </w:rPr>
              <w:t>a</w:t>
            </w:r>
            <w:r w:rsidRPr="00A122EA">
              <w:rPr>
                <w:sz w:val="22"/>
                <w:szCs w:val="22"/>
              </w:rPr>
              <w:t xml:space="preserve"> los </w:t>
            </w:r>
            <w:proofErr w:type="gramStart"/>
            <w:r w:rsidRPr="00A122EA">
              <w:rPr>
                <w:sz w:val="22"/>
                <w:szCs w:val="22"/>
              </w:rPr>
              <w:t>Directores</w:t>
            </w:r>
            <w:proofErr w:type="gramEnd"/>
            <w:r w:rsidRPr="00A122EA">
              <w:rPr>
                <w:sz w:val="22"/>
                <w:szCs w:val="22"/>
              </w:rPr>
              <w:t xml:space="preserve"> de las Oficinas Regionales y </w:t>
            </w:r>
            <w:r w:rsidR="00AE0C77" w:rsidRPr="00A122EA">
              <w:rPr>
                <w:sz w:val="22"/>
                <w:szCs w:val="22"/>
              </w:rPr>
              <w:t>Zonales</w:t>
            </w:r>
            <w:r w:rsidRPr="00A122EA">
              <w:rPr>
                <w:sz w:val="22"/>
                <w:szCs w:val="22"/>
              </w:rPr>
              <w:t xml:space="preserve"> de la UIT</w:t>
            </w:r>
          </w:p>
        </w:tc>
      </w:tr>
      <w:tr w:rsidR="007B6316" w:rsidRPr="00A122EA" w14:paraId="36698F46" w14:textId="77777777" w:rsidTr="00D747B2">
        <w:trPr>
          <w:cantSplit/>
        </w:trPr>
        <w:tc>
          <w:tcPr>
            <w:tcW w:w="1210" w:type="dxa"/>
          </w:tcPr>
          <w:p w14:paraId="552B3266" w14:textId="77777777" w:rsidR="007B6316" w:rsidRPr="00A122EA" w:rsidRDefault="007B6316" w:rsidP="00A2123D">
            <w:pPr>
              <w:tabs>
                <w:tab w:val="left" w:pos="4111"/>
              </w:tabs>
              <w:spacing w:after="40"/>
              <w:ind w:left="57"/>
              <w:rPr>
                <w:b/>
                <w:bCs/>
                <w:sz w:val="22"/>
                <w:szCs w:val="22"/>
              </w:rPr>
            </w:pPr>
            <w:r w:rsidRPr="00A122EA">
              <w:rPr>
                <w:b/>
                <w:bCs/>
                <w:sz w:val="22"/>
                <w:szCs w:val="22"/>
              </w:rPr>
              <w:t>Asunto:</w:t>
            </w:r>
          </w:p>
        </w:tc>
        <w:tc>
          <w:tcPr>
            <w:tcW w:w="8996" w:type="dxa"/>
            <w:gridSpan w:val="3"/>
          </w:tcPr>
          <w:p w14:paraId="75396877" w14:textId="6F6C1FB8" w:rsidR="007B6316" w:rsidRPr="00A122EA" w:rsidRDefault="007C6B85" w:rsidP="00A2123D">
            <w:pPr>
              <w:tabs>
                <w:tab w:val="left" w:pos="4111"/>
              </w:tabs>
              <w:ind w:left="57"/>
              <w:rPr>
                <w:b/>
                <w:bCs/>
                <w:sz w:val="22"/>
                <w:szCs w:val="22"/>
              </w:rPr>
            </w:pPr>
            <w:r w:rsidRPr="00A122EA">
              <w:rPr>
                <w:b/>
                <w:bCs/>
                <w:sz w:val="22"/>
                <w:szCs w:val="22"/>
              </w:rPr>
              <w:t xml:space="preserve">Simposio de la Iniciativa Mundial para la Inclusión Financiera (FIGI) </w:t>
            </w:r>
            <w:r w:rsidRPr="00A122EA">
              <w:rPr>
                <w:b/>
                <w:bCs/>
                <w:sz w:val="22"/>
                <w:szCs w:val="22"/>
              </w:rPr>
              <w:br/>
              <w:t>(totalmente virtual, del 18 de mayo al 24 de junio de 2021)</w:t>
            </w:r>
          </w:p>
        </w:tc>
      </w:tr>
    </w:tbl>
    <w:p w14:paraId="0AAA3598" w14:textId="77777777" w:rsidR="00C34772" w:rsidRPr="00A122EA" w:rsidRDefault="00C34772" w:rsidP="00A2123D">
      <w:pPr>
        <w:pStyle w:val="Normalaftertitle0"/>
        <w:rPr>
          <w:sz w:val="22"/>
          <w:szCs w:val="22"/>
        </w:rPr>
      </w:pPr>
      <w:bookmarkStart w:id="1" w:name="StartTyping_S"/>
      <w:bookmarkStart w:id="2" w:name="suitetext"/>
      <w:bookmarkStart w:id="3" w:name="text"/>
      <w:bookmarkEnd w:id="1"/>
      <w:bookmarkEnd w:id="2"/>
      <w:bookmarkEnd w:id="3"/>
      <w:r w:rsidRPr="00A122EA">
        <w:rPr>
          <w:sz w:val="22"/>
          <w:szCs w:val="22"/>
        </w:rPr>
        <w:t>Muy Señora mía/Muy Señor mío:</w:t>
      </w:r>
    </w:p>
    <w:p w14:paraId="4CE04781" w14:textId="77777777" w:rsidR="00A2123D" w:rsidRPr="00A122EA" w:rsidRDefault="007C6B85" w:rsidP="007C6B85">
      <w:pPr>
        <w:rPr>
          <w:sz w:val="22"/>
          <w:szCs w:val="22"/>
          <w:lang w:val="es-ES"/>
        </w:rPr>
      </w:pPr>
      <w:r w:rsidRPr="00A122EA">
        <w:rPr>
          <w:bCs/>
          <w:sz w:val="22"/>
          <w:szCs w:val="22"/>
          <w:lang w:val="es-ES"/>
        </w:rPr>
        <w:t>1</w:t>
      </w:r>
      <w:r w:rsidRPr="00A122EA">
        <w:rPr>
          <w:sz w:val="22"/>
          <w:szCs w:val="22"/>
          <w:lang w:val="es-ES"/>
        </w:rPr>
        <w:tab/>
      </w:r>
      <w:proofErr w:type="gramStart"/>
      <w:r w:rsidRPr="00A122EA">
        <w:rPr>
          <w:sz w:val="22"/>
          <w:szCs w:val="22"/>
          <w:lang w:val="es-ES"/>
        </w:rPr>
        <w:t>Por</w:t>
      </w:r>
      <w:proofErr w:type="gramEnd"/>
      <w:r w:rsidRPr="00A122EA">
        <w:rPr>
          <w:sz w:val="22"/>
          <w:szCs w:val="22"/>
          <w:lang w:val="es-ES"/>
        </w:rPr>
        <w:t xml:space="preserve"> la presente le informo de que el </w:t>
      </w:r>
      <w:r w:rsidRPr="00A122EA">
        <w:rPr>
          <w:b/>
          <w:bCs/>
          <w:sz w:val="22"/>
          <w:szCs w:val="22"/>
          <w:lang w:val="es-ES"/>
        </w:rPr>
        <w:t>Simposio de la Iniciativa Mundial para la Inclusión Financiera (FIGI)</w:t>
      </w:r>
      <w:r w:rsidRPr="00A122EA">
        <w:rPr>
          <w:sz w:val="22"/>
          <w:szCs w:val="22"/>
          <w:lang w:val="es-ES"/>
        </w:rPr>
        <w:t xml:space="preserve"> tendrá lugar de manera virtual </w:t>
      </w:r>
      <w:r w:rsidRPr="00A122EA">
        <w:rPr>
          <w:b/>
          <w:bCs/>
          <w:sz w:val="22"/>
          <w:szCs w:val="22"/>
          <w:lang w:val="es-ES"/>
        </w:rPr>
        <w:t>del 18 de mayo al 24 de junio de 2021</w:t>
      </w:r>
      <w:r w:rsidRPr="00A122EA">
        <w:rPr>
          <w:sz w:val="22"/>
          <w:szCs w:val="22"/>
          <w:lang w:val="es-ES"/>
        </w:rPr>
        <w:t>. Esta tercera y última edición consistirá en una serie de sesiones independientes cada martes y jueves.</w:t>
      </w:r>
    </w:p>
    <w:p w14:paraId="1914A6BE" w14:textId="77777777" w:rsidR="00A2123D" w:rsidRPr="00A122EA" w:rsidRDefault="007C6B85" w:rsidP="007C6B85">
      <w:pPr>
        <w:rPr>
          <w:sz w:val="22"/>
          <w:szCs w:val="22"/>
          <w:lang w:val="es-ES"/>
        </w:rPr>
      </w:pPr>
      <w:r w:rsidRPr="00A122EA">
        <w:rPr>
          <w:sz w:val="22"/>
          <w:szCs w:val="22"/>
          <w:lang w:val="es-ES"/>
        </w:rPr>
        <w:t>2</w:t>
      </w:r>
      <w:r w:rsidRPr="00A122EA">
        <w:rPr>
          <w:sz w:val="22"/>
          <w:szCs w:val="22"/>
          <w:lang w:val="es-ES"/>
        </w:rPr>
        <w:tab/>
      </w:r>
      <w:proofErr w:type="gramStart"/>
      <w:r w:rsidRPr="00A122EA">
        <w:rPr>
          <w:sz w:val="22"/>
          <w:szCs w:val="22"/>
          <w:lang w:val="es-ES"/>
        </w:rPr>
        <w:t>El</w:t>
      </w:r>
      <w:proofErr w:type="gramEnd"/>
      <w:r w:rsidRPr="00A122EA">
        <w:rPr>
          <w:sz w:val="22"/>
          <w:szCs w:val="22"/>
          <w:lang w:val="es-ES"/>
        </w:rPr>
        <w:t xml:space="preserve"> Simposio FIGI está coorganizado por la Unión Internacional de Telecomunicaciones (UIT), el Grupo del Banco Mundial y el Comité de Pagos e Infraestructuras de Mercado del Banco de Pagos Internacionales, con el apoyo de la Fundación Bill y Melinda Gates.</w:t>
      </w:r>
    </w:p>
    <w:p w14:paraId="748F493F" w14:textId="69313DDC" w:rsidR="007C6B85" w:rsidRPr="00A122EA" w:rsidRDefault="007C6B85" w:rsidP="007C6B85">
      <w:pPr>
        <w:rPr>
          <w:sz w:val="22"/>
          <w:szCs w:val="22"/>
          <w:lang w:val="es-ES"/>
        </w:rPr>
      </w:pPr>
      <w:r w:rsidRPr="00A122EA">
        <w:rPr>
          <w:sz w:val="22"/>
          <w:szCs w:val="22"/>
          <w:lang w:val="es-ES"/>
        </w:rPr>
        <w:t>3</w:t>
      </w:r>
      <w:r w:rsidRPr="00A122EA">
        <w:rPr>
          <w:sz w:val="22"/>
          <w:szCs w:val="22"/>
          <w:lang w:val="es-ES"/>
        </w:rPr>
        <w:tab/>
      </w:r>
      <w:proofErr w:type="gramStart"/>
      <w:r w:rsidRPr="00A122EA">
        <w:rPr>
          <w:sz w:val="22"/>
          <w:szCs w:val="22"/>
          <w:lang w:val="es-ES"/>
        </w:rPr>
        <w:t>Este</w:t>
      </w:r>
      <w:proofErr w:type="gramEnd"/>
      <w:r w:rsidRPr="00A122EA">
        <w:rPr>
          <w:sz w:val="22"/>
          <w:szCs w:val="22"/>
          <w:lang w:val="es-ES"/>
        </w:rPr>
        <w:t xml:space="preserve"> Simposio de la FIGI tiene por objeto exponer los resultados de las reformas aplicadas por los países, analizar las últimas tendencias en materia de tecnología y finanzas digitales y debatir cómo la pandemia de COVID-19 ha acelerado las reformas reglamentarias, permitiendo que un mayor número de personas se incorporen al sistema financiero utilizando las finanzas digitales. En el Simposio se expondrán las implementaciones nacionales en Egipto, China y México y los Grupos de Trabajo sobre seguridad, infraestructura y confianza; aceptación de pagos electrónicos e identidad digital. Se organizará temáticamente en torno a los siguientes temas: i)</w:t>
      </w:r>
      <w:r w:rsidR="00AE0C77" w:rsidRPr="00A122EA">
        <w:rPr>
          <w:sz w:val="22"/>
          <w:szCs w:val="22"/>
          <w:lang w:val="es-ES"/>
        </w:rPr>
        <w:t> </w:t>
      </w:r>
      <w:r w:rsidRPr="00A122EA">
        <w:rPr>
          <w:sz w:val="22"/>
          <w:szCs w:val="22"/>
          <w:lang w:val="es-ES"/>
        </w:rPr>
        <w:t>inclusión en las Fintech; ii) protección del consumidor; iii) ciberseguridad y confianza; iv)</w:t>
      </w:r>
      <w:r w:rsidR="00AE0C77" w:rsidRPr="00A122EA">
        <w:rPr>
          <w:sz w:val="22"/>
          <w:szCs w:val="22"/>
          <w:lang w:val="es-ES"/>
        </w:rPr>
        <w:t> </w:t>
      </w:r>
      <w:r w:rsidRPr="00A122EA">
        <w:rPr>
          <w:sz w:val="22"/>
          <w:szCs w:val="22"/>
          <w:lang w:val="es-ES"/>
        </w:rPr>
        <w:t xml:space="preserve">igualdad de género; v) identidad digital; vi) aceptación de pagos electrónicos y vii) </w:t>
      </w:r>
      <w:r w:rsidR="00AE0C77" w:rsidRPr="00A122EA">
        <w:rPr>
          <w:sz w:val="22"/>
          <w:szCs w:val="22"/>
          <w:lang w:val="es-ES"/>
        </w:rPr>
        <w:t>a</w:t>
      </w:r>
      <w:r w:rsidRPr="00A122EA">
        <w:rPr>
          <w:sz w:val="22"/>
          <w:szCs w:val="22"/>
          <w:lang w:val="es-ES"/>
        </w:rPr>
        <w:t>spectos destacados del Simposio.</w:t>
      </w:r>
    </w:p>
    <w:p w14:paraId="37F9F0FF" w14:textId="77777777" w:rsidR="007C6B85" w:rsidRPr="00A122EA" w:rsidRDefault="007C6B85" w:rsidP="007C6B85">
      <w:pPr>
        <w:rPr>
          <w:sz w:val="22"/>
          <w:szCs w:val="22"/>
          <w:lang w:val="es-ES"/>
        </w:rPr>
      </w:pPr>
      <w:r w:rsidRPr="00A122EA">
        <w:rPr>
          <w:sz w:val="22"/>
          <w:szCs w:val="22"/>
          <w:lang w:val="es-ES"/>
        </w:rPr>
        <w:t>4</w:t>
      </w:r>
      <w:r w:rsidRPr="00A122EA">
        <w:rPr>
          <w:sz w:val="22"/>
          <w:szCs w:val="22"/>
          <w:lang w:val="es-ES"/>
        </w:rPr>
        <w:tab/>
      </w:r>
      <w:proofErr w:type="gramStart"/>
      <w:r w:rsidRPr="00A122EA">
        <w:rPr>
          <w:bCs/>
          <w:sz w:val="22"/>
          <w:szCs w:val="22"/>
          <w:lang w:val="es-ES"/>
        </w:rPr>
        <w:t>El</w:t>
      </w:r>
      <w:proofErr w:type="gramEnd"/>
      <w:r w:rsidRPr="00A122EA">
        <w:rPr>
          <w:bCs/>
          <w:sz w:val="22"/>
          <w:szCs w:val="22"/>
          <w:lang w:val="es-ES"/>
        </w:rPr>
        <w:t xml:space="preserve"> Simposio tiene por objeto:</w:t>
      </w:r>
    </w:p>
    <w:p w14:paraId="0A9F2AE6" w14:textId="67921FED" w:rsidR="007C6B85" w:rsidRPr="00A122EA" w:rsidRDefault="00A2123D" w:rsidP="00A2123D">
      <w:pPr>
        <w:pStyle w:val="enumlev1"/>
        <w:rPr>
          <w:sz w:val="22"/>
          <w:szCs w:val="22"/>
          <w:lang w:val="es-ES"/>
        </w:rPr>
      </w:pPr>
      <w:r w:rsidRPr="00A122EA">
        <w:rPr>
          <w:sz w:val="22"/>
          <w:szCs w:val="22"/>
          <w:lang w:val="es-ES"/>
        </w:rPr>
        <w:t>–</w:t>
      </w:r>
      <w:r w:rsidRPr="00A122EA">
        <w:rPr>
          <w:sz w:val="22"/>
          <w:szCs w:val="22"/>
          <w:lang w:val="es-ES"/>
        </w:rPr>
        <w:tab/>
        <w:t>m</w:t>
      </w:r>
      <w:r w:rsidR="007C6B85" w:rsidRPr="00A122EA">
        <w:rPr>
          <w:sz w:val="22"/>
          <w:szCs w:val="22"/>
          <w:lang w:val="es-ES"/>
        </w:rPr>
        <w:t xml:space="preserve">ostrar cómo las tecnologías incipientes inciden en la </w:t>
      </w:r>
      <w:proofErr w:type="gramStart"/>
      <w:r w:rsidR="007C6B85" w:rsidRPr="00A122EA">
        <w:rPr>
          <w:sz w:val="22"/>
          <w:szCs w:val="22"/>
          <w:lang w:val="es-ES"/>
        </w:rPr>
        <w:t>inclusión financiera y los servicios financieros</w:t>
      </w:r>
      <w:proofErr w:type="gramEnd"/>
      <w:r w:rsidR="007C6B85" w:rsidRPr="00A122EA">
        <w:rPr>
          <w:sz w:val="22"/>
          <w:szCs w:val="22"/>
          <w:lang w:val="es-ES"/>
        </w:rPr>
        <w:t xml:space="preserve"> digitales;</w:t>
      </w:r>
    </w:p>
    <w:p w14:paraId="173D7F3E" w14:textId="51C312A7" w:rsidR="007C6B85" w:rsidRPr="00A122EA" w:rsidRDefault="00A2123D" w:rsidP="00AE0C77">
      <w:pPr>
        <w:pStyle w:val="enumlev1"/>
        <w:keepNext/>
        <w:keepLines/>
        <w:rPr>
          <w:sz w:val="22"/>
          <w:szCs w:val="22"/>
          <w:lang w:val="es-ES"/>
        </w:rPr>
      </w:pPr>
      <w:r>
        <w:rPr>
          <w:lang w:val="es-ES"/>
        </w:rPr>
        <w:lastRenderedPageBreak/>
        <w:t>–</w:t>
      </w:r>
      <w:r w:rsidRPr="00A122EA">
        <w:rPr>
          <w:sz w:val="22"/>
          <w:szCs w:val="22"/>
          <w:lang w:val="es-ES"/>
        </w:rPr>
        <w:tab/>
      </w:r>
      <w:r w:rsidR="007C6B85" w:rsidRPr="00A122EA">
        <w:rPr>
          <w:sz w:val="22"/>
          <w:szCs w:val="22"/>
          <w:lang w:val="es-ES"/>
        </w:rPr>
        <w:t>ofrecer una plataforma única en su género a los organismos reguladores, los responsables políticos y los expertos en SFD para que puedan compartir las lecciones extraídas en relación con los distintos modelos y servicios financieros digitales, la manera de mitigar los riesgos en unos entornos de TIC y pagos digitales que cambian con rapidez, y las repercusiones de las tecnologías incipientes en el ecosistema;</w:t>
      </w:r>
    </w:p>
    <w:p w14:paraId="2D471E27" w14:textId="31558986" w:rsidR="007C6B85" w:rsidRPr="00A122EA" w:rsidRDefault="00A2123D" w:rsidP="00A2123D">
      <w:pPr>
        <w:pStyle w:val="enumlev1"/>
        <w:rPr>
          <w:sz w:val="22"/>
          <w:szCs w:val="22"/>
          <w:lang w:val="es-ES"/>
        </w:rPr>
      </w:pPr>
      <w:r w:rsidRPr="00A122EA">
        <w:rPr>
          <w:sz w:val="22"/>
          <w:szCs w:val="22"/>
          <w:lang w:val="es-ES"/>
        </w:rPr>
        <w:t>–</w:t>
      </w:r>
      <w:r w:rsidRPr="00A122EA">
        <w:rPr>
          <w:sz w:val="22"/>
          <w:szCs w:val="22"/>
          <w:lang w:val="es-ES"/>
        </w:rPr>
        <w:tab/>
        <w:t>p</w:t>
      </w:r>
      <w:r w:rsidR="007C6B85" w:rsidRPr="00A122EA">
        <w:rPr>
          <w:sz w:val="22"/>
          <w:szCs w:val="22"/>
          <w:lang w:val="es-ES"/>
        </w:rPr>
        <w:t>roporcionar orientación intelectual para las estrategias de inclusión financiera digital y las innovaciones tecnológicas en el ámbito de los SFD;</w:t>
      </w:r>
    </w:p>
    <w:p w14:paraId="1C5C9397" w14:textId="35BCFB53" w:rsidR="007C6B85" w:rsidRPr="00A122EA" w:rsidRDefault="00A2123D" w:rsidP="00A2123D">
      <w:pPr>
        <w:pStyle w:val="enumlev1"/>
        <w:rPr>
          <w:sz w:val="22"/>
          <w:szCs w:val="22"/>
          <w:lang w:val="es-ES"/>
        </w:rPr>
      </w:pPr>
      <w:r w:rsidRPr="00A122EA">
        <w:rPr>
          <w:sz w:val="22"/>
          <w:szCs w:val="22"/>
          <w:lang w:val="es-ES"/>
        </w:rPr>
        <w:t>–</w:t>
      </w:r>
      <w:r w:rsidRPr="00A122EA">
        <w:rPr>
          <w:sz w:val="22"/>
          <w:szCs w:val="22"/>
          <w:lang w:val="es-ES"/>
        </w:rPr>
        <w:tab/>
        <w:t>e</w:t>
      </w:r>
      <w:r w:rsidR="007C6B85" w:rsidRPr="00A122EA">
        <w:rPr>
          <w:sz w:val="22"/>
          <w:szCs w:val="22"/>
          <w:lang w:val="es-ES"/>
        </w:rPr>
        <w:t>xaminar el impacto de la COVID-19 sobre la inclusión financiera digital y las lecciones extraídas; y</w:t>
      </w:r>
    </w:p>
    <w:p w14:paraId="2696BE08" w14:textId="71DC1BAA" w:rsidR="007C6B85" w:rsidRPr="00A122EA" w:rsidRDefault="00A2123D" w:rsidP="00A2123D">
      <w:pPr>
        <w:pStyle w:val="enumlev1"/>
        <w:rPr>
          <w:sz w:val="22"/>
          <w:szCs w:val="22"/>
          <w:lang w:val="es-ES"/>
        </w:rPr>
      </w:pPr>
      <w:r w:rsidRPr="00A122EA">
        <w:rPr>
          <w:sz w:val="22"/>
          <w:szCs w:val="22"/>
          <w:lang w:val="es-ES"/>
        </w:rPr>
        <w:t>–</w:t>
      </w:r>
      <w:r w:rsidRPr="00A122EA">
        <w:rPr>
          <w:sz w:val="22"/>
          <w:szCs w:val="22"/>
          <w:lang w:val="es-ES"/>
        </w:rPr>
        <w:tab/>
        <w:t>e</w:t>
      </w:r>
      <w:r w:rsidR="007C6B85" w:rsidRPr="00A122EA">
        <w:rPr>
          <w:sz w:val="22"/>
          <w:szCs w:val="22"/>
          <w:lang w:val="es-ES"/>
        </w:rPr>
        <w:t>xponer las lecciones extraídas y conclusiones de las implementaciones nacionales de la FIGI y de los grupos de trabajo.</w:t>
      </w:r>
    </w:p>
    <w:p w14:paraId="0004F8E6" w14:textId="77777777" w:rsidR="007C6B85" w:rsidRPr="00A122EA" w:rsidRDefault="007C6B85" w:rsidP="007C6B85">
      <w:pPr>
        <w:rPr>
          <w:sz w:val="22"/>
          <w:szCs w:val="22"/>
          <w:lang w:val="es-ES"/>
        </w:rPr>
      </w:pPr>
      <w:r w:rsidRPr="00A122EA">
        <w:rPr>
          <w:sz w:val="22"/>
          <w:szCs w:val="22"/>
          <w:lang w:val="es-ES"/>
        </w:rPr>
        <w:t>5</w:t>
      </w:r>
      <w:r w:rsidRPr="00A122EA">
        <w:rPr>
          <w:sz w:val="22"/>
          <w:szCs w:val="22"/>
          <w:lang w:val="es-ES"/>
        </w:rPr>
        <w:tab/>
      </w:r>
      <w:proofErr w:type="gramStart"/>
      <w:r w:rsidRPr="00A122EA">
        <w:rPr>
          <w:sz w:val="22"/>
          <w:szCs w:val="22"/>
          <w:lang w:val="es-ES"/>
        </w:rPr>
        <w:t>El</w:t>
      </w:r>
      <w:proofErr w:type="gramEnd"/>
      <w:r w:rsidRPr="00A122EA">
        <w:rPr>
          <w:sz w:val="22"/>
          <w:szCs w:val="22"/>
          <w:lang w:val="es-ES"/>
        </w:rPr>
        <w:t xml:space="preserve"> Simposio FIGI constituye un foro de diálogo entre las autoridades de los sectores financiero y de telecomunicaciones, los proveedores de servicios financieros y las partes interesadas de todo el mundo con el fin de compartir experiencias y perspectivas sobre la ampliación de los servicios financieros digitales.</w:t>
      </w:r>
    </w:p>
    <w:p w14:paraId="59CD47AD" w14:textId="314F8394" w:rsidR="007C6B85" w:rsidRPr="00A122EA" w:rsidRDefault="007C6B85" w:rsidP="007C6B85">
      <w:pPr>
        <w:rPr>
          <w:sz w:val="22"/>
          <w:szCs w:val="22"/>
          <w:lang w:val="es-ES"/>
        </w:rPr>
      </w:pPr>
      <w:r w:rsidRPr="00A122EA">
        <w:rPr>
          <w:bCs/>
          <w:sz w:val="22"/>
          <w:szCs w:val="22"/>
          <w:lang w:val="es-ES"/>
        </w:rPr>
        <w:t>6</w:t>
      </w:r>
      <w:r w:rsidRPr="00A122EA">
        <w:rPr>
          <w:sz w:val="22"/>
          <w:szCs w:val="22"/>
          <w:lang w:val="es-ES"/>
        </w:rPr>
        <w:tab/>
      </w:r>
      <w:proofErr w:type="gramStart"/>
      <w:r w:rsidRPr="00A122EA">
        <w:rPr>
          <w:sz w:val="22"/>
          <w:szCs w:val="22"/>
          <w:lang w:val="es-ES"/>
        </w:rPr>
        <w:t>El</w:t>
      </w:r>
      <w:proofErr w:type="gramEnd"/>
      <w:r w:rsidRPr="00A122EA">
        <w:rPr>
          <w:sz w:val="22"/>
          <w:szCs w:val="22"/>
          <w:lang w:val="es-ES"/>
        </w:rPr>
        <w:t xml:space="preserve"> Simposio se celebrará únicamente en inglés.</w:t>
      </w:r>
    </w:p>
    <w:p w14:paraId="33439390" w14:textId="77777777" w:rsidR="007C6B85" w:rsidRPr="00A122EA" w:rsidRDefault="007C6B85" w:rsidP="007C6B85">
      <w:pPr>
        <w:rPr>
          <w:sz w:val="22"/>
          <w:szCs w:val="22"/>
          <w:lang w:val="es-ES"/>
        </w:rPr>
      </w:pPr>
      <w:r w:rsidRPr="00A122EA">
        <w:rPr>
          <w:sz w:val="22"/>
          <w:szCs w:val="22"/>
          <w:lang w:val="es-ES"/>
        </w:rPr>
        <w:t>7</w:t>
      </w:r>
      <w:r w:rsidRPr="00A122EA">
        <w:rPr>
          <w:sz w:val="22"/>
          <w:szCs w:val="22"/>
          <w:lang w:val="es-ES"/>
        </w:rPr>
        <w:tab/>
      </w:r>
      <w:proofErr w:type="gramStart"/>
      <w:r w:rsidRPr="00A122EA">
        <w:rPr>
          <w:sz w:val="22"/>
          <w:szCs w:val="22"/>
          <w:lang w:val="es-ES"/>
        </w:rPr>
        <w:t>La</w:t>
      </w:r>
      <w:proofErr w:type="gramEnd"/>
      <w:r w:rsidRPr="00A122EA">
        <w:rPr>
          <w:sz w:val="22"/>
          <w:szCs w:val="22"/>
          <w:lang w:val="es-ES"/>
        </w:rPr>
        <w:t xml:space="preserve"> participación en el Simposio está abierta a los Estados Miembros, a los Miembros de Sector, a los Asociados, a las Instituciones Académicas de la UIT, y a cualquier persona de un país que sea miembro de la UIT y desee contribuir a los trabajos. Esto incluye a las personas que también sean miembros de organizaciones nacionales, regionales e internacionales. La participación en el Simposio es gratuita y está abierta a todos los interesados.</w:t>
      </w:r>
    </w:p>
    <w:p w14:paraId="7A4F0136" w14:textId="77777777" w:rsidR="002E0B19" w:rsidRPr="00A122EA" w:rsidRDefault="007C6B85" w:rsidP="007C6B85">
      <w:pPr>
        <w:rPr>
          <w:sz w:val="22"/>
          <w:szCs w:val="22"/>
          <w:lang w:val="es-ES"/>
        </w:rPr>
      </w:pPr>
      <w:r w:rsidRPr="00A122EA">
        <w:rPr>
          <w:sz w:val="22"/>
          <w:szCs w:val="22"/>
          <w:lang w:val="es-ES"/>
        </w:rPr>
        <w:t>8</w:t>
      </w:r>
      <w:r w:rsidRPr="00A122EA">
        <w:rPr>
          <w:sz w:val="22"/>
          <w:szCs w:val="22"/>
          <w:lang w:val="es-ES"/>
        </w:rPr>
        <w:tab/>
      </w:r>
      <w:proofErr w:type="gramStart"/>
      <w:r w:rsidRPr="00A122EA">
        <w:rPr>
          <w:sz w:val="22"/>
          <w:szCs w:val="22"/>
          <w:lang w:val="es-ES"/>
        </w:rPr>
        <w:t>Toda</w:t>
      </w:r>
      <w:proofErr w:type="gramEnd"/>
      <w:r w:rsidRPr="00A122EA">
        <w:rPr>
          <w:sz w:val="22"/>
          <w:szCs w:val="22"/>
          <w:lang w:val="es-ES"/>
        </w:rPr>
        <w:t xml:space="preserve"> la información pertinente relativa a este simposio virtual, incluido el proyecto de programa, los ponentes, los moderadores, etc., estará disponible en el sitio web del evento: </w:t>
      </w:r>
      <w:hyperlink r:id="rId11" w:tgtFrame="_blank" w:tooltip="https://figi.itu.int" w:history="1">
        <w:r w:rsidRPr="00A122EA">
          <w:rPr>
            <w:rStyle w:val="Hyperlink"/>
            <w:sz w:val="22"/>
            <w:szCs w:val="22"/>
            <w:lang w:val="es-ES"/>
          </w:rPr>
          <w:t>https://figi.itu.int</w:t>
        </w:r>
      </w:hyperlink>
      <w:r w:rsidRPr="00A122EA">
        <w:rPr>
          <w:sz w:val="22"/>
          <w:szCs w:val="22"/>
          <w:lang w:val="es-ES"/>
        </w:rPr>
        <w:t>.</w:t>
      </w:r>
    </w:p>
    <w:p w14:paraId="4280C93D" w14:textId="43D916DD" w:rsidR="007C6B85" w:rsidRPr="00A122EA" w:rsidRDefault="007C6B85" w:rsidP="007C6B85">
      <w:pPr>
        <w:rPr>
          <w:sz w:val="22"/>
          <w:szCs w:val="22"/>
          <w:lang w:val="es-ES"/>
        </w:rPr>
      </w:pPr>
      <w:r w:rsidRPr="00A122EA">
        <w:rPr>
          <w:sz w:val="22"/>
          <w:szCs w:val="22"/>
          <w:lang w:val="es-ES"/>
        </w:rPr>
        <w:t>Este sitio web se actualizará periódicamente a medida que se disponga de información nueva o modificada. Se invita a los participantes a consultarlo periódicamente para obtener información actualizada.</w:t>
      </w:r>
    </w:p>
    <w:p w14:paraId="61B4FF67" w14:textId="455B7537" w:rsidR="007C6B85" w:rsidRPr="00A122EA" w:rsidRDefault="007C6B85" w:rsidP="007C6B85">
      <w:pPr>
        <w:rPr>
          <w:b/>
          <w:bCs/>
          <w:sz w:val="22"/>
          <w:szCs w:val="22"/>
          <w:lang w:val="es-ES"/>
        </w:rPr>
      </w:pPr>
      <w:r w:rsidRPr="00A122EA">
        <w:rPr>
          <w:sz w:val="22"/>
          <w:szCs w:val="22"/>
          <w:lang w:val="es-ES"/>
        </w:rPr>
        <w:t>9</w:t>
      </w:r>
      <w:r w:rsidRPr="00A122EA">
        <w:rPr>
          <w:sz w:val="22"/>
          <w:szCs w:val="22"/>
          <w:lang w:val="es-ES"/>
        </w:rPr>
        <w:tab/>
      </w:r>
      <w:proofErr w:type="gramStart"/>
      <w:r w:rsidRPr="00A122EA">
        <w:rPr>
          <w:sz w:val="22"/>
          <w:szCs w:val="22"/>
          <w:lang w:val="es-ES"/>
        </w:rPr>
        <w:t>La</w:t>
      </w:r>
      <w:proofErr w:type="gramEnd"/>
      <w:r w:rsidRPr="00A122EA">
        <w:rPr>
          <w:sz w:val="22"/>
          <w:szCs w:val="22"/>
          <w:lang w:val="es-ES"/>
        </w:rPr>
        <w:t xml:space="preserve"> inscripción en línea e</w:t>
      </w:r>
      <w:r w:rsidRPr="00A122EA">
        <w:rPr>
          <w:bCs/>
          <w:sz w:val="22"/>
          <w:szCs w:val="22"/>
          <w:lang w:val="es-ES"/>
        </w:rPr>
        <w:t xml:space="preserve">s obligatoria para todos los participantes, a fin de </w:t>
      </w:r>
      <w:r w:rsidR="002E0B19" w:rsidRPr="00A122EA">
        <w:rPr>
          <w:bCs/>
          <w:sz w:val="22"/>
          <w:szCs w:val="22"/>
          <w:lang w:val="es-ES"/>
        </w:rPr>
        <w:t xml:space="preserve">que </w:t>
      </w:r>
      <w:r w:rsidRPr="00A122EA">
        <w:rPr>
          <w:bCs/>
          <w:sz w:val="22"/>
          <w:szCs w:val="22"/>
          <w:lang w:val="es-ES"/>
        </w:rPr>
        <w:t xml:space="preserve">puedan participar en el evento. Se publicará más información sobre la inscripción en el </w:t>
      </w:r>
      <w:hyperlink r:id="rId12" w:history="1">
        <w:r w:rsidRPr="00A122EA">
          <w:rPr>
            <w:rStyle w:val="Hyperlink"/>
            <w:bCs/>
            <w:sz w:val="22"/>
            <w:szCs w:val="22"/>
            <w:lang w:val="es-ES"/>
          </w:rPr>
          <w:t>sitio web</w:t>
        </w:r>
      </w:hyperlink>
      <w:r w:rsidRPr="00A122EA">
        <w:rPr>
          <w:bCs/>
          <w:sz w:val="22"/>
          <w:szCs w:val="22"/>
          <w:lang w:val="es-ES"/>
        </w:rPr>
        <w:t xml:space="preserve"> del evento.</w:t>
      </w:r>
    </w:p>
    <w:p w14:paraId="7A1F1EFB" w14:textId="77777777" w:rsidR="007B6316" w:rsidRPr="00A122EA" w:rsidRDefault="007B6316" w:rsidP="007B6316">
      <w:pPr>
        <w:rPr>
          <w:sz w:val="22"/>
          <w:szCs w:val="22"/>
        </w:rPr>
      </w:pPr>
      <w:r w:rsidRPr="00A122EA">
        <w:rPr>
          <w:sz w:val="22"/>
          <w:szCs w:val="22"/>
        </w:rPr>
        <w:t>Atentamente,</w:t>
      </w:r>
    </w:p>
    <w:p w14:paraId="16F48231" w14:textId="77777777" w:rsidR="007B6316" w:rsidRPr="00A122EA" w:rsidRDefault="007B6316" w:rsidP="00A2123D">
      <w:pPr>
        <w:spacing w:before="480" w:after="480" w:line="480" w:lineRule="auto"/>
        <w:rPr>
          <w:sz w:val="22"/>
          <w:szCs w:val="22"/>
        </w:rPr>
      </w:pPr>
      <w:r w:rsidRPr="00A122EA">
        <w:rPr>
          <w:i/>
          <w:iCs/>
          <w:sz w:val="22"/>
          <w:szCs w:val="22"/>
        </w:rPr>
        <w:t>(firmado)</w:t>
      </w:r>
    </w:p>
    <w:p w14:paraId="72490E39" w14:textId="5E1AB59F" w:rsidR="00401C20" w:rsidRPr="00A40C0D" w:rsidRDefault="007B6316" w:rsidP="00A2123D">
      <w:pPr>
        <w:rPr>
          <w:sz w:val="22"/>
          <w:szCs w:val="22"/>
        </w:rPr>
      </w:pPr>
      <w:r w:rsidRPr="00A40C0D">
        <w:rPr>
          <w:sz w:val="22"/>
          <w:szCs w:val="22"/>
        </w:rPr>
        <w:t>Chaesub Lee</w:t>
      </w:r>
      <w:r w:rsidRPr="00A40C0D">
        <w:rPr>
          <w:sz w:val="22"/>
          <w:szCs w:val="22"/>
        </w:rPr>
        <w:br/>
      </w:r>
      <w:proofErr w:type="gramStart"/>
      <w:r w:rsidRPr="00A40C0D">
        <w:rPr>
          <w:sz w:val="22"/>
          <w:szCs w:val="22"/>
        </w:rPr>
        <w:t>Director</w:t>
      </w:r>
      <w:proofErr w:type="gramEnd"/>
      <w:r w:rsidRPr="00A40C0D">
        <w:rPr>
          <w:sz w:val="22"/>
          <w:szCs w:val="22"/>
        </w:rPr>
        <w:t xml:space="preserve"> de la Oficina de </w:t>
      </w:r>
      <w:r w:rsidRPr="00A40C0D">
        <w:rPr>
          <w:sz w:val="22"/>
          <w:szCs w:val="22"/>
        </w:rPr>
        <w:br/>
        <w:t>Normalización de las Telecomunicaciones</w:t>
      </w:r>
    </w:p>
    <w:sectPr w:rsidR="00401C20" w:rsidRPr="00A40C0D" w:rsidSect="00B87E9E">
      <w:headerReference w:type="default" r:id="rId13"/>
      <w:footerReference w:type="first" r:id="rId14"/>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326A0" w14:textId="77777777" w:rsidR="007C6B85" w:rsidRDefault="007C6B85">
      <w:r>
        <w:separator/>
      </w:r>
    </w:p>
  </w:endnote>
  <w:endnote w:type="continuationSeparator" w:id="0">
    <w:p w14:paraId="0D2E8F73" w14:textId="77777777" w:rsidR="007C6B85" w:rsidRDefault="007C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14210" w14:textId="765EBF39" w:rsidR="0014464D" w:rsidRPr="0055719E" w:rsidRDefault="0014464D" w:rsidP="00FC416A">
    <w:pPr>
      <w:pStyle w:val="FirstFooter"/>
      <w:ind w:left="-397" w:right="-397"/>
      <w:jc w:val="center"/>
      <w:rPr>
        <w:szCs w:val="18"/>
        <w:lang w:val="es-ES"/>
      </w:rPr>
    </w:pPr>
    <w:r w:rsidRPr="0055719E">
      <w:rPr>
        <w:szCs w:val="18"/>
        <w:lang w:val="es-ES"/>
      </w:rPr>
      <w:t>Unión Internacional de Telecomunicaciones • Place des Nations, CH</w:t>
    </w:r>
    <w:r w:rsidRPr="0055719E">
      <w:rPr>
        <w:szCs w:val="18"/>
        <w:lang w:val="es-ES"/>
      </w:rPr>
      <w:noBreakHyphen/>
      <w:t xml:space="preserve">1211 Ginebra 20, Suiza </w:t>
    </w:r>
    <w:r w:rsidRPr="0055719E">
      <w:rPr>
        <w:szCs w:val="18"/>
        <w:lang w:val="es-ES"/>
      </w:rPr>
      <w:br/>
      <w:t>Tel</w:t>
    </w:r>
    <w:r w:rsidR="00D747B2">
      <w:rPr>
        <w:szCs w:val="18"/>
        <w:lang w:val="es-ES"/>
      </w:rPr>
      <w:t>.</w:t>
    </w:r>
    <w:r w:rsidRPr="0055719E">
      <w:rPr>
        <w:szCs w:val="18"/>
        <w:lang w:val="es-ES"/>
      </w:rPr>
      <w:t xml:space="preserve">: +41 22 730 5111 • Fax: +41 22 733 7256 • Correo-e: </w:t>
    </w:r>
    <w:hyperlink r:id="rId1" w:history="1">
      <w:r w:rsidRPr="0055719E">
        <w:rPr>
          <w:rStyle w:val="Hyperlink"/>
          <w:lang w:val="es-ES"/>
        </w:rPr>
        <w:t>itumail@itu.int</w:t>
      </w:r>
    </w:hyperlink>
    <w:r w:rsidRPr="0055719E">
      <w:rPr>
        <w:szCs w:val="18"/>
        <w:lang w:val="es-ES"/>
      </w:rPr>
      <w:t xml:space="preserve"> • </w:t>
    </w:r>
    <w:hyperlink r:id="rId2" w:history="1">
      <w:r w:rsidRPr="0055719E">
        <w:rPr>
          <w:rStyle w:val="Hyperlink"/>
          <w:lang w:val="es-ES"/>
        </w:rPr>
        <w:t>www.itu.int</w:t>
      </w:r>
    </w:hyperlink>
    <w:r w:rsidRPr="0055719E">
      <w:rPr>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6D71C" w14:textId="77777777" w:rsidR="007C6B85" w:rsidRDefault="007C6B85">
      <w:r>
        <w:t>____________________</w:t>
      </w:r>
    </w:p>
  </w:footnote>
  <w:footnote w:type="continuationSeparator" w:id="0">
    <w:p w14:paraId="2646656B" w14:textId="77777777" w:rsidR="007C6B85" w:rsidRDefault="007C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B8F3D" w14:textId="36FF5C86" w:rsidR="006969B4" w:rsidRPr="00303D62" w:rsidRDefault="006969B4">
    <w:pPr>
      <w:pStyle w:val="Header"/>
      <w:rP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r w:rsidR="006F7573">
      <w:rPr>
        <w:rStyle w:val="PageNumber"/>
        <w:sz w:val="18"/>
        <w:szCs w:val="18"/>
      </w:rPr>
      <w:br/>
    </w:r>
    <w:r w:rsidR="006F7573" w:rsidRPr="006F7573">
      <w:rPr>
        <w:sz w:val="18"/>
        <w:szCs w:val="18"/>
      </w:rPr>
      <w:t>Circular TSB 298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353DE"/>
    <w:multiLevelType w:val="hybridMultilevel"/>
    <w:tmpl w:val="815E63E8"/>
    <w:lvl w:ilvl="0" w:tplc="BEDA2150">
      <w:start w:val="23"/>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85"/>
    <w:rsid w:val="00002529"/>
    <w:rsid w:val="00085662"/>
    <w:rsid w:val="000C382F"/>
    <w:rsid w:val="001173CC"/>
    <w:rsid w:val="0014464D"/>
    <w:rsid w:val="001A54CC"/>
    <w:rsid w:val="00257FB4"/>
    <w:rsid w:val="002E0B19"/>
    <w:rsid w:val="002E496E"/>
    <w:rsid w:val="00303D62"/>
    <w:rsid w:val="00335367"/>
    <w:rsid w:val="00370C2D"/>
    <w:rsid w:val="003D1E8D"/>
    <w:rsid w:val="003D673B"/>
    <w:rsid w:val="003F2855"/>
    <w:rsid w:val="00401C20"/>
    <w:rsid w:val="004A7957"/>
    <w:rsid w:val="004C4144"/>
    <w:rsid w:val="0055719E"/>
    <w:rsid w:val="006969B4"/>
    <w:rsid w:val="006E4F7B"/>
    <w:rsid w:val="006F7573"/>
    <w:rsid w:val="00781E2A"/>
    <w:rsid w:val="007933A2"/>
    <w:rsid w:val="007B6316"/>
    <w:rsid w:val="007C6B85"/>
    <w:rsid w:val="00814503"/>
    <w:rsid w:val="008258C2"/>
    <w:rsid w:val="008505BD"/>
    <w:rsid w:val="00850C78"/>
    <w:rsid w:val="00876165"/>
    <w:rsid w:val="00884D12"/>
    <w:rsid w:val="008C17AD"/>
    <w:rsid w:val="008D02CD"/>
    <w:rsid w:val="0091370C"/>
    <w:rsid w:val="0095172A"/>
    <w:rsid w:val="009A0BA0"/>
    <w:rsid w:val="00A122EA"/>
    <w:rsid w:val="00A2123D"/>
    <w:rsid w:val="00A40C0D"/>
    <w:rsid w:val="00A46D85"/>
    <w:rsid w:val="00A54E47"/>
    <w:rsid w:val="00AB6E3A"/>
    <w:rsid w:val="00AE0C77"/>
    <w:rsid w:val="00AE7093"/>
    <w:rsid w:val="00B422BC"/>
    <w:rsid w:val="00B43F77"/>
    <w:rsid w:val="00B55A3E"/>
    <w:rsid w:val="00B87E9E"/>
    <w:rsid w:val="00B95F0A"/>
    <w:rsid w:val="00B96180"/>
    <w:rsid w:val="00C116FE"/>
    <w:rsid w:val="00C17AC0"/>
    <w:rsid w:val="00C34772"/>
    <w:rsid w:val="00C5465A"/>
    <w:rsid w:val="00D54642"/>
    <w:rsid w:val="00D747B2"/>
    <w:rsid w:val="00DD77C9"/>
    <w:rsid w:val="00DF3538"/>
    <w:rsid w:val="00E839B0"/>
    <w:rsid w:val="00E92C09"/>
    <w:rsid w:val="00F14380"/>
    <w:rsid w:val="00F6461F"/>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054217"/>
  <w15:docId w15:val="{CFF490B9-1355-4886-8A6E-093564AF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7C6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gi.itu.i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gi.itu.i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sbevents@itu.int" TargetMode="External"/><Relationship Id="rId4" Type="http://schemas.openxmlformats.org/officeDocument/2006/relationships/settings" Target="settings.xml"/><Relationship Id="rId9" Type="http://schemas.openxmlformats.org/officeDocument/2006/relationships/hyperlink" Target="mailto:figi-symposium@itu.in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PS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PS_TSBCIRC.dotx</Template>
  <TotalTime>33</TotalTime>
  <Pages>2</Pages>
  <Words>731</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4969</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Spanish83</dc:creator>
  <cp:lastModifiedBy>Amoah, Gifty Adjo</cp:lastModifiedBy>
  <cp:revision>5</cp:revision>
  <cp:lastPrinted>2011-04-15T08:24:00Z</cp:lastPrinted>
  <dcterms:created xsi:type="dcterms:W3CDTF">2021-03-18T15:40:00Z</dcterms:created>
  <dcterms:modified xsi:type="dcterms:W3CDTF">2021-04-07T11:19:00Z</dcterms:modified>
</cp:coreProperties>
</file>