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10" w:type="dxa"/>
        <w:tblInd w:w="-90" w:type="dxa"/>
        <w:tblLayout w:type="fixed"/>
        <w:tblCellMar>
          <w:left w:w="0" w:type="dxa"/>
          <w:right w:w="0" w:type="dxa"/>
        </w:tblCellMar>
        <w:tblLook w:val="0000" w:firstRow="0" w:lastRow="0" w:firstColumn="0" w:lastColumn="0" w:noHBand="0" w:noVBand="0"/>
      </w:tblPr>
      <w:tblGrid>
        <w:gridCol w:w="1366"/>
        <w:gridCol w:w="142"/>
        <w:gridCol w:w="3467"/>
        <w:gridCol w:w="4835"/>
      </w:tblGrid>
      <w:tr w:rsidR="007B6316" w:rsidRPr="009548E5" w14:paraId="07115B11" w14:textId="77777777" w:rsidTr="002F2402">
        <w:trPr>
          <w:cantSplit/>
          <w:trHeight w:val="340"/>
        </w:trPr>
        <w:tc>
          <w:tcPr>
            <w:tcW w:w="1508" w:type="dxa"/>
            <w:gridSpan w:val="2"/>
          </w:tcPr>
          <w:p w14:paraId="4EDF9B82" w14:textId="77777777" w:rsidR="007B6316" w:rsidRPr="009548E5" w:rsidRDefault="007B6316" w:rsidP="00303D62">
            <w:pPr>
              <w:tabs>
                <w:tab w:val="left" w:pos="4111"/>
              </w:tabs>
              <w:spacing w:before="10"/>
              <w:ind w:left="57"/>
              <w:rPr>
                <w:sz w:val="22"/>
              </w:rPr>
            </w:pPr>
            <w:r w:rsidRPr="009548E5">
              <w:rPr>
                <w:noProof/>
              </w:rPr>
              <w:drawing>
                <wp:inline distT="0" distB="0" distL="0" distR="0" wp14:anchorId="4C3315D4" wp14:editId="5ED937E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302" w:type="dxa"/>
            <w:gridSpan w:val="2"/>
            <w:vAlign w:val="center"/>
          </w:tcPr>
          <w:p w14:paraId="735DA9C2" w14:textId="77777777" w:rsidR="007B6316" w:rsidRPr="009548E5" w:rsidRDefault="007B6316" w:rsidP="007B6316">
            <w:pPr>
              <w:spacing w:before="0"/>
              <w:rPr>
                <w:rFonts w:cs="Times New Roman Bold"/>
                <w:b/>
                <w:bCs/>
                <w:smallCaps/>
                <w:sz w:val="26"/>
                <w:szCs w:val="26"/>
              </w:rPr>
            </w:pPr>
            <w:r w:rsidRPr="009548E5">
              <w:rPr>
                <w:rFonts w:cs="Times New Roman Bold"/>
                <w:b/>
                <w:bCs/>
                <w:smallCaps/>
                <w:sz w:val="36"/>
                <w:szCs w:val="36"/>
              </w:rPr>
              <w:t>Unión Internacional de Telecomunicaciones</w:t>
            </w:r>
          </w:p>
          <w:p w14:paraId="6B466804" w14:textId="77777777" w:rsidR="007B6316" w:rsidRPr="009548E5" w:rsidRDefault="007B6316" w:rsidP="007B6316">
            <w:pPr>
              <w:spacing w:before="0"/>
            </w:pPr>
            <w:r w:rsidRPr="009548E5">
              <w:rPr>
                <w:rFonts w:cs="Times New Roman Bold"/>
                <w:b/>
                <w:bCs/>
                <w:smallCaps/>
                <w:sz w:val="28"/>
                <w:szCs w:val="28"/>
              </w:rPr>
              <w:t>Oficina</w:t>
            </w:r>
            <w:r w:rsidRPr="009548E5">
              <w:rPr>
                <w:rFonts w:cs="Times New Roman Bold"/>
                <w:b/>
                <w:bCs/>
                <w:iCs/>
                <w:smallCaps/>
                <w:sz w:val="22"/>
                <w:szCs w:val="22"/>
              </w:rPr>
              <w:t xml:space="preserve"> </w:t>
            </w:r>
            <w:r w:rsidRPr="009548E5">
              <w:rPr>
                <w:rFonts w:cs="Times New Roman Bold"/>
                <w:b/>
                <w:bCs/>
                <w:iCs/>
                <w:smallCaps/>
                <w:sz w:val="28"/>
                <w:szCs w:val="28"/>
              </w:rPr>
              <w:t>de Normalización de las Telecomunicaciones</w:t>
            </w:r>
          </w:p>
        </w:tc>
      </w:tr>
      <w:tr w:rsidR="007B6316" w:rsidRPr="009548E5" w14:paraId="68D1E8A8" w14:textId="77777777" w:rsidTr="002F2402">
        <w:trPr>
          <w:cantSplit/>
          <w:trHeight w:val="340"/>
        </w:trPr>
        <w:tc>
          <w:tcPr>
            <w:tcW w:w="1366" w:type="dxa"/>
          </w:tcPr>
          <w:p w14:paraId="3FDF4729" w14:textId="77777777" w:rsidR="007B6316" w:rsidRPr="009548E5" w:rsidRDefault="007B6316" w:rsidP="00303D62">
            <w:pPr>
              <w:tabs>
                <w:tab w:val="left" w:pos="4111"/>
              </w:tabs>
              <w:spacing w:before="10"/>
              <w:ind w:left="57"/>
              <w:rPr>
                <w:b/>
                <w:bCs/>
                <w:sz w:val="22"/>
              </w:rPr>
            </w:pPr>
          </w:p>
        </w:tc>
        <w:tc>
          <w:tcPr>
            <w:tcW w:w="3609" w:type="dxa"/>
            <w:gridSpan w:val="2"/>
          </w:tcPr>
          <w:p w14:paraId="73B9BB45" w14:textId="77777777" w:rsidR="007B6316" w:rsidRPr="009548E5" w:rsidRDefault="007B6316" w:rsidP="00303D62">
            <w:pPr>
              <w:tabs>
                <w:tab w:val="left" w:pos="4111"/>
              </w:tabs>
              <w:spacing w:before="0"/>
              <w:ind w:left="57"/>
              <w:rPr>
                <w:b/>
              </w:rPr>
            </w:pPr>
          </w:p>
        </w:tc>
        <w:tc>
          <w:tcPr>
            <w:tcW w:w="4835" w:type="dxa"/>
          </w:tcPr>
          <w:p w14:paraId="37523BEE" w14:textId="077119ED" w:rsidR="007B6316" w:rsidRPr="009548E5" w:rsidRDefault="00BC70F3" w:rsidP="007B6316">
            <w:pPr>
              <w:tabs>
                <w:tab w:val="clear" w:pos="794"/>
                <w:tab w:val="clear" w:pos="1191"/>
                <w:tab w:val="clear" w:pos="1588"/>
                <w:tab w:val="clear" w:pos="1985"/>
                <w:tab w:val="left" w:pos="284"/>
              </w:tabs>
              <w:spacing w:after="120"/>
              <w:ind w:left="284" w:hanging="227"/>
            </w:pPr>
            <w:r w:rsidRPr="009548E5">
              <w:rPr>
                <w:szCs w:val="24"/>
              </w:rPr>
              <w:t xml:space="preserve">Ginebra, </w:t>
            </w:r>
            <w:r w:rsidR="00F23B7F" w:rsidRPr="009548E5">
              <w:rPr>
                <w:szCs w:val="24"/>
              </w:rPr>
              <w:t>17</w:t>
            </w:r>
            <w:r w:rsidRPr="009548E5">
              <w:rPr>
                <w:szCs w:val="24"/>
              </w:rPr>
              <w:t xml:space="preserve"> de ju</w:t>
            </w:r>
            <w:r w:rsidR="00F23B7F" w:rsidRPr="009548E5">
              <w:rPr>
                <w:szCs w:val="24"/>
              </w:rPr>
              <w:t>l</w:t>
            </w:r>
            <w:r w:rsidRPr="009548E5">
              <w:rPr>
                <w:szCs w:val="24"/>
              </w:rPr>
              <w:t>io de 2020</w:t>
            </w:r>
          </w:p>
        </w:tc>
      </w:tr>
      <w:tr w:rsidR="007B6316" w:rsidRPr="009548E5" w14:paraId="1CA49B0D" w14:textId="77777777" w:rsidTr="002F2402">
        <w:trPr>
          <w:cantSplit/>
          <w:trHeight w:val="340"/>
        </w:trPr>
        <w:tc>
          <w:tcPr>
            <w:tcW w:w="1366" w:type="dxa"/>
          </w:tcPr>
          <w:p w14:paraId="7FB0B0DA" w14:textId="237C12E2" w:rsidR="007B6316" w:rsidRPr="009548E5" w:rsidRDefault="007B6316" w:rsidP="003C68C3">
            <w:pPr>
              <w:tabs>
                <w:tab w:val="left" w:pos="4111"/>
              </w:tabs>
              <w:spacing w:before="40" w:after="40"/>
              <w:ind w:left="57"/>
              <w:rPr>
                <w:szCs w:val="24"/>
              </w:rPr>
            </w:pPr>
            <w:r w:rsidRPr="009548E5">
              <w:rPr>
                <w:szCs w:val="24"/>
              </w:rPr>
              <w:t>Ref.:</w:t>
            </w:r>
          </w:p>
        </w:tc>
        <w:tc>
          <w:tcPr>
            <w:tcW w:w="3609" w:type="dxa"/>
            <w:gridSpan w:val="2"/>
          </w:tcPr>
          <w:p w14:paraId="512DEF81" w14:textId="77777777" w:rsidR="007B6316" w:rsidRPr="009548E5" w:rsidRDefault="007B6316" w:rsidP="003C68C3">
            <w:pPr>
              <w:tabs>
                <w:tab w:val="left" w:pos="4111"/>
              </w:tabs>
              <w:spacing w:before="40" w:after="40"/>
              <w:ind w:left="57"/>
              <w:rPr>
                <w:b/>
              </w:rPr>
            </w:pPr>
            <w:r w:rsidRPr="009548E5">
              <w:rPr>
                <w:b/>
              </w:rPr>
              <w:t xml:space="preserve">Circular TSB </w:t>
            </w:r>
            <w:r w:rsidR="00F23B7F" w:rsidRPr="009548E5">
              <w:rPr>
                <w:b/>
              </w:rPr>
              <w:t>261</w:t>
            </w:r>
          </w:p>
          <w:p w14:paraId="59096251" w14:textId="2D59A06A" w:rsidR="00F23B7F" w:rsidRPr="009548E5" w:rsidRDefault="00F23B7F" w:rsidP="003C68C3">
            <w:pPr>
              <w:tabs>
                <w:tab w:val="left" w:pos="4111"/>
              </w:tabs>
              <w:spacing w:before="40" w:after="40"/>
              <w:ind w:left="57"/>
              <w:rPr>
                <w:bCs/>
              </w:rPr>
            </w:pPr>
            <w:r w:rsidRPr="009548E5">
              <w:rPr>
                <w:bCs/>
              </w:rPr>
              <w:t>TSB Events/SC</w:t>
            </w:r>
          </w:p>
        </w:tc>
        <w:tc>
          <w:tcPr>
            <w:tcW w:w="4835" w:type="dxa"/>
            <w:vMerge w:val="restart"/>
          </w:tcPr>
          <w:p w14:paraId="41CF44AA" w14:textId="77777777" w:rsidR="003C68C3" w:rsidRPr="009548E5" w:rsidRDefault="003C68C3" w:rsidP="003C68C3">
            <w:pPr>
              <w:tabs>
                <w:tab w:val="left" w:pos="4111"/>
              </w:tabs>
              <w:spacing w:before="40"/>
              <w:ind w:left="57"/>
              <w:rPr>
                <w:b/>
              </w:rPr>
            </w:pPr>
            <w:bookmarkStart w:id="0" w:name="Addressee_S"/>
            <w:bookmarkEnd w:id="0"/>
            <w:r w:rsidRPr="009548E5">
              <w:rPr>
                <w:b/>
              </w:rPr>
              <w:t>A</w:t>
            </w:r>
            <w:r w:rsidRPr="009548E5">
              <w:rPr>
                <w:bCs/>
              </w:rPr>
              <w:t>:</w:t>
            </w:r>
          </w:p>
          <w:p w14:paraId="67B71BEB" w14:textId="2170765E" w:rsidR="00BC70F3" w:rsidRPr="009548E5" w:rsidRDefault="00BC70F3" w:rsidP="003C68C3">
            <w:pPr>
              <w:tabs>
                <w:tab w:val="clear" w:pos="794"/>
                <w:tab w:val="left" w:pos="360"/>
                <w:tab w:val="left" w:pos="4111"/>
              </w:tabs>
              <w:spacing w:before="0"/>
              <w:ind w:left="360" w:hanging="303"/>
            </w:pPr>
            <w:r w:rsidRPr="009548E5">
              <w:t>–</w:t>
            </w:r>
            <w:r w:rsidRPr="009548E5">
              <w:tab/>
              <w:t>las Administraciones de los Estados Miembros de la Unión;</w:t>
            </w:r>
          </w:p>
          <w:p w14:paraId="76B6EDEB" w14:textId="40CCEF0A" w:rsidR="00BC70F3" w:rsidRPr="009548E5" w:rsidRDefault="00BC70F3" w:rsidP="003C68C3">
            <w:pPr>
              <w:tabs>
                <w:tab w:val="clear" w:pos="794"/>
                <w:tab w:val="left" w:pos="360"/>
                <w:tab w:val="left" w:pos="4111"/>
              </w:tabs>
              <w:spacing w:before="0"/>
              <w:ind w:left="360" w:hanging="303"/>
            </w:pPr>
            <w:r w:rsidRPr="009548E5">
              <w:t>–</w:t>
            </w:r>
            <w:r w:rsidRPr="009548E5">
              <w:tab/>
              <w:t>los Miembros de Sector del UIT-T;</w:t>
            </w:r>
          </w:p>
          <w:p w14:paraId="62D2519F" w14:textId="0C4B0DA3" w:rsidR="00BC70F3" w:rsidRPr="009548E5" w:rsidRDefault="00BC70F3" w:rsidP="003C68C3">
            <w:pPr>
              <w:tabs>
                <w:tab w:val="clear" w:pos="794"/>
                <w:tab w:val="left" w:pos="360"/>
                <w:tab w:val="left" w:pos="4111"/>
              </w:tabs>
              <w:spacing w:before="0"/>
              <w:ind w:left="360" w:hanging="303"/>
            </w:pPr>
            <w:r w:rsidRPr="009548E5">
              <w:t>–</w:t>
            </w:r>
            <w:r w:rsidRPr="009548E5">
              <w:tab/>
              <w:t>los Asociados del UIT-T;</w:t>
            </w:r>
          </w:p>
          <w:p w14:paraId="580D989D" w14:textId="3C65F2EC" w:rsidR="007B6316" w:rsidRPr="009548E5" w:rsidRDefault="00BC70F3" w:rsidP="003C68C3">
            <w:pPr>
              <w:tabs>
                <w:tab w:val="clear" w:pos="794"/>
                <w:tab w:val="left" w:pos="360"/>
                <w:tab w:val="left" w:pos="4111"/>
              </w:tabs>
              <w:spacing w:before="0"/>
              <w:ind w:left="360" w:hanging="303"/>
            </w:pPr>
            <w:r w:rsidRPr="009548E5">
              <w:t>–</w:t>
            </w:r>
            <w:r w:rsidRPr="009548E5">
              <w:tab/>
              <w:t>las Instituciones Académicas de la UIT</w:t>
            </w:r>
          </w:p>
        </w:tc>
      </w:tr>
      <w:tr w:rsidR="00BC70F3" w:rsidRPr="009548E5" w14:paraId="569938A0" w14:textId="77777777" w:rsidTr="002F2402">
        <w:trPr>
          <w:cantSplit/>
          <w:trHeight w:val="340"/>
        </w:trPr>
        <w:tc>
          <w:tcPr>
            <w:tcW w:w="1366" w:type="dxa"/>
          </w:tcPr>
          <w:p w14:paraId="1C7EC8AF" w14:textId="110B726C" w:rsidR="00BC70F3" w:rsidRPr="009548E5" w:rsidRDefault="00BC70F3" w:rsidP="003C68C3">
            <w:pPr>
              <w:tabs>
                <w:tab w:val="left" w:pos="4111"/>
              </w:tabs>
              <w:spacing w:before="40" w:after="40"/>
              <w:ind w:left="57"/>
              <w:rPr>
                <w:szCs w:val="24"/>
              </w:rPr>
            </w:pPr>
            <w:r w:rsidRPr="009548E5">
              <w:rPr>
                <w:szCs w:val="24"/>
              </w:rPr>
              <w:t>Contacto:</w:t>
            </w:r>
          </w:p>
        </w:tc>
        <w:tc>
          <w:tcPr>
            <w:tcW w:w="3609" w:type="dxa"/>
            <w:gridSpan w:val="2"/>
          </w:tcPr>
          <w:p w14:paraId="46E5B0C6" w14:textId="6990AFDE" w:rsidR="00BC70F3" w:rsidRPr="009548E5" w:rsidRDefault="00F23B7F" w:rsidP="003C68C3">
            <w:pPr>
              <w:tabs>
                <w:tab w:val="left" w:pos="4111"/>
              </w:tabs>
              <w:spacing w:before="40" w:after="40"/>
              <w:ind w:left="57"/>
              <w:rPr>
                <w:b/>
              </w:rPr>
            </w:pPr>
            <w:r w:rsidRPr="009548E5">
              <w:rPr>
                <w:b/>
              </w:rPr>
              <w:t>Simao Campos</w:t>
            </w:r>
          </w:p>
        </w:tc>
        <w:tc>
          <w:tcPr>
            <w:tcW w:w="4835" w:type="dxa"/>
            <w:vMerge/>
          </w:tcPr>
          <w:p w14:paraId="74BB758B" w14:textId="77777777" w:rsidR="00BC70F3" w:rsidRPr="009548E5" w:rsidRDefault="00BC70F3" w:rsidP="00303D62">
            <w:pPr>
              <w:tabs>
                <w:tab w:val="clear" w:pos="794"/>
                <w:tab w:val="clear" w:pos="1191"/>
                <w:tab w:val="clear" w:pos="1588"/>
                <w:tab w:val="clear" w:pos="1985"/>
                <w:tab w:val="left" w:pos="284"/>
              </w:tabs>
              <w:spacing w:before="0"/>
              <w:ind w:left="284" w:hanging="227"/>
            </w:pPr>
          </w:p>
        </w:tc>
      </w:tr>
      <w:tr w:rsidR="007B6316" w:rsidRPr="009548E5" w14:paraId="08756305" w14:textId="77777777" w:rsidTr="002F2402">
        <w:trPr>
          <w:cantSplit/>
        </w:trPr>
        <w:tc>
          <w:tcPr>
            <w:tcW w:w="1366" w:type="dxa"/>
          </w:tcPr>
          <w:p w14:paraId="71DCF74B" w14:textId="77777777" w:rsidR="007B6316" w:rsidRPr="009548E5" w:rsidRDefault="007B6316" w:rsidP="003C68C3">
            <w:pPr>
              <w:tabs>
                <w:tab w:val="left" w:pos="4111"/>
              </w:tabs>
              <w:spacing w:before="40" w:after="40"/>
              <w:ind w:left="57"/>
              <w:rPr>
                <w:szCs w:val="24"/>
              </w:rPr>
            </w:pPr>
            <w:r w:rsidRPr="009548E5">
              <w:rPr>
                <w:szCs w:val="24"/>
              </w:rPr>
              <w:t>Tel.:</w:t>
            </w:r>
          </w:p>
        </w:tc>
        <w:tc>
          <w:tcPr>
            <w:tcW w:w="3609" w:type="dxa"/>
            <w:gridSpan w:val="2"/>
          </w:tcPr>
          <w:p w14:paraId="4507F394" w14:textId="00DA1D6C" w:rsidR="007B6316" w:rsidRPr="009548E5" w:rsidRDefault="007B6316" w:rsidP="003C68C3">
            <w:pPr>
              <w:tabs>
                <w:tab w:val="left" w:pos="4111"/>
              </w:tabs>
              <w:spacing w:before="40" w:after="40"/>
              <w:ind w:left="57"/>
              <w:rPr>
                <w:bCs/>
              </w:rPr>
            </w:pPr>
            <w:r w:rsidRPr="009548E5">
              <w:rPr>
                <w:bCs/>
              </w:rPr>
              <w:t>+</w:t>
            </w:r>
            <w:r w:rsidR="00BC70F3" w:rsidRPr="009548E5">
              <w:rPr>
                <w:bCs/>
              </w:rPr>
              <w:t xml:space="preserve">41 22 730 </w:t>
            </w:r>
            <w:r w:rsidR="00F23B7F" w:rsidRPr="009548E5">
              <w:rPr>
                <w:bCs/>
              </w:rPr>
              <w:t>6805</w:t>
            </w:r>
          </w:p>
        </w:tc>
        <w:tc>
          <w:tcPr>
            <w:tcW w:w="4835" w:type="dxa"/>
            <w:vMerge/>
          </w:tcPr>
          <w:p w14:paraId="5D184E01" w14:textId="77777777" w:rsidR="007B6316" w:rsidRPr="009548E5" w:rsidRDefault="007B6316" w:rsidP="00303D62">
            <w:pPr>
              <w:tabs>
                <w:tab w:val="left" w:pos="4111"/>
              </w:tabs>
              <w:spacing w:before="0"/>
              <w:rPr>
                <w:b/>
              </w:rPr>
            </w:pPr>
          </w:p>
        </w:tc>
      </w:tr>
      <w:tr w:rsidR="007B6316" w:rsidRPr="009548E5" w14:paraId="6BBE773F" w14:textId="77777777" w:rsidTr="002F2402">
        <w:trPr>
          <w:cantSplit/>
        </w:trPr>
        <w:tc>
          <w:tcPr>
            <w:tcW w:w="1366" w:type="dxa"/>
          </w:tcPr>
          <w:p w14:paraId="1A646473" w14:textId="77777777" w:rsidR="007B6316" w:rsidRPr="009548E5" w:rsidRDefault="007B6316" w:rsidP="003C68C3">
            <w:pPr>
              <w:tabs>
                <w:tab w:val="left" w:pos="4111"/>
              </w:tabs>
              <w:spacing w:before="40" w:after="40"/>
              <w:ind w:left="57"/>
              <w:rPr>
                <w:szCs w:val="24"/>
              </w:rPr>
            </w:pPr>
            <w:r w:rsidRPr="009548E5">
              <w:rPr>
                <w:szCs w:val="24"/>
              </w:rPr>
              <w:t>Fax:</w:t>
            </w:r>
          </w:p>
        </w:tc>
        <w:tc>
          <w:tcPr>
            <w:tcW w:w="3609" w:type="dxa"/>
            <w:gridSpan w:val="2"/>
          </w:tcPr>
          <w:p w14:paraId="186E5B02" w14:textId="77777777" w:rsidR="007B6316" w:rsidRPr="009548E5" w:rsidRDefault="007B6316" w:rsidP="003C68C3">
            <w:pPr>
              <w:tabs>
                <w:tab w:val="left" w:pos="4111"/>
              </w:tabs>
              <w:spacing w:before="40" w:after="40"/>
              <w:ind w:left="57"/>
              <w:rPr>
                <w:bCs/>
              </w:rPr>
            </w:pPr>
            <w:r w:rsidRPr="009548E5">
              <w:rPr>
                <w:bCs/>
              </w:rPr>
              <w:t>+41 22 730 5853</w:t>
            </w:r>
          </w:p>
        </w:tc>
        <w:tc>
          <w:tcPr>
            <w:tcW w:w="4835" w:type="dxa"/>
            <w:vMerge/>
          </w:tcPr>
          <w:p w14:paraId="5CA61D4A" w14:textId="77777777" w:rsidR="007B6316" w:rsidRPr="009548E5" w:rsidRDefault="007B6316" w:rsidP="00303D62">
            <w:pPr>
              <w:tabs>
                <w:tab w:val="left" w:pos="4111"/>
              </w:tabs>
              <w:spacing w:before="0"/>
              <w:rPr>
                <w:b/>
              </w:rPr>
            </w:pPr>
          </w:p>
        </w:tc>
      </w:tr>
      <w:tr w:rsidR="00C34772" w:rsidRPr="009548E5" w14:paraId="6AE43F75" w14:textId="77777777" w:rsidTr="006C4D57">
        <w:trPr>
          <w:cantSplit/>
          <w:trHeight w:val="2826"/>
        </w:trPr>
        <w:tc>
          <w:tcPr>
            <w:tcW w:w="1366" w:type="dxa"/>
          </w:tcPr>
          <w:p w14:paraId="04F1A427" w14:textId="77777777" w:rsidR="00C34772" w:rsidRPr="009548E5" w:rsidRDefault="00C34772" w:rsidP="003C68C3">
            <w:pPr>
              <w:tabs>
                <w:tab w:val="left" w:pos="4111"/>
              </w:tabs>
              <w:spacing w:before="40" w:after="40"/>
              <w:ind w:left="57"/>
              <w:rPr>
                <w:szCs w:val="24"/>
              </w:rPr>
            </w:pPr>
            <w:r w:rsidRPr="009548E5">
              <w:rPr>
                <w:szCs w:val="24"/>
              </w:rPr>
              <w:t>Correo-e:</w:t>
            </w:r>
          </w:p>
        </w:tc>
        <w:tc>
          <w:tcPr>
            <w:tcW w:w="3609" w:type="dxa"/>
            <w:gridSpan w:val="2"/>
          </w:tcPr>
          <w:p w14:paraId="45330DD0" w14:textId="02D4D317" w:rsidR="00C34772" w:rsidRPr="009548E5" w:rsidRDefault="004A39E6" w:rsidP="003C68C3">
            <w:pPr>
              <w:tabs>
                <w:tab w:val="left" w:pos="4111"/>
              </w:tabs>
              <w:spacing w:before="40" w:after="40"/>
              <w:ind w:left="57"/>
            </w:pPr>
            <w:hyperlink r:id="rId9" w:history="1">
              <w:r w:rsidR="00BC70F3" w:rsidRPr="009548E5">
                <w:rPr>
                  <w:rStyle w:val="Hyperlink"/>
                </w:rPr>
                <w:t>tsbevents@itu.int</w:t>
              </w:r>
            </w:hyperlink>
          </w:p>
        </w:tc>
        <w:tc>
          <w:tcPr>
            <w:tcW w:w="4835" w:type="dxa"/>
          </w:tcPr>
          <w:p w14:paraId="52A5AD64" w14:textId="77777777" w:rsidR="00C34772" w:rsidRPr="009548E5" w:rsidRDefault="00C34772" w:rsidP="003C68C3">
            <w:pPr>
              <w:tabs>
                <w:tab w:val="left" w:pos="4111"/>
              </w:tabs>
              <w:spacing w:before="40"/>
              <w:ind w:left="57"/>
            </w:pPr>
            <w:r w:rsidRPr="009548E5">
              <w:rPr>
                <w:b/>
              </w:rPr>
              <w:t>Copia</w:t>
            </w:r>
            <w:r w:rsidRPr="009548E5">
              <w:t>:</w:t>
            </w:r>
          </w:p>
          <w:p w14:paraId="003E4E74" w14:textId="7ED282E2" w:rsidR="00BC70F3" w:rsidRPr="009548E5" w:rsidRDefault="00BC70F3" w:rsidP="003C68C3">
            <w:pPr>
              <w:tabs>
                <w:tab w:val="clear" w:pos="794"/>
                <w:tab w:val="left" w:pos="360"/>
                <w:tab w:val="left" w:pos="4111"/>
              </w:tabs>
              <w:spacing w:before="0"/>
              <w:ind w:left="360" w:hanging="303"/>
            </w:pPr>
            <w:r w:rsidRPr="009548E5">
              <w:t>–</w:t>
            </w:r>
            <w:r w:rsidRPr="009548E5">
              <w:tab/>
              <w:t xml:space="preserve">a los </w:t>
            </w:r>
            <w:proofErr w:type="gramStart"/>
            <w:r w:rsidRPr="009548E5">
              <w:t>Presidentes</w:t>
            </w:r>
            <w:proofErr w:type="gramEnd"/>
            <w:r w:rsidRPr="009548E5">
              <w:t xml:space="preserve"> y Vicepresidentes de las Comisiones de Estudio</w:t>
            </w:r>
            <w:r w:rsidR="00F23B7F" w:rsidRPr="009548E5">
              <w:t xml:space="preserve"> del UIT-T</w:t>
            </w:r>
            <w:r w:rsidRPr="009548E5">
              <w:t>;</w:t>
            </w:r>
          </w:p>
          <w:p w14:paraId="4911C225" w14:textId="77777777" w:rsidR="00F23B7F" w:rsidRPr="009548E5" w:rsidRDefault="00F23B7F" w:rsidP="00F23B7F">
            <w:pPr>
              <w:tabs>
                <w:tab w:val="clear" w:pos="794"/>
                <w:tab w:val="left" w:pos="360"/>
                <w:tab w:val="left" w:pos="4111"/>
              </w:tabs>
              <w:spacing w:before="0"/>
              <w:ind w:left="360" w:hanging="303"/>
            </w:pPr>
            <w:r w:rsidRPr="009548E5">
              <w:t>–</w:t>
            </w:r>
            <w:r w:rsidRPr="009548E5">
              <w:tab/>
              <w:t xml:space="preserve">al </w:t>
            </w:r>
            <w:proofErr w:type="gramStart"/>
            <w:r w:rsidRPr="009548E5">
              <w:t>Director</w:t>
            </w:r>
            <w:proofErr w:type="gramEnd"/>
            <w:r w:rsidRPr="009548E5">
              <w:t xml:space="preserve"> de la Oficina de Radiocomunicaciones;</w:t>
            </w:r>
          </w:p>
          <w:p w14:paraId="7154623F" w14:textId="7CA4CB83" w:rsidR="00BC70F3" w:rsidRPr="009548E5" w:rsidRDefault="00BC70F3" w:rsidP="003C68C3">
            <w:pPr>
              <w:tabs>
                <w:tab w:val="clear" w:pos="794"/>
                <w:tab w:val="left" w:pos="360"/>
                <w:tab w:val="left" w:pos="4111"/>
              </w:tabs>
              <w:spacing w:before="0"/>
              <w:ind w:left="360" w:hanging="303"/>
            </w:pPr>
            <w:r w:rsidRPr="009548E5">
              <w:t>–</w:t>
            </w:r>
            <w:r w:rsidRPr="009548E5">
              <w:tab/>
              <w:t xml:space="preserve">a la </w:t>
            </w:r>
            <w:proofErr w:type="gramStart"/>
            <w:r w:rsidRPr="009548E5">
              <w:t>Directora</w:t>
            </w:r>
            <w:proofErr w:type="gramEnd"/>
            <w:r w:rsidRPr="009548E5">
              <w:t xml:space="preserve"> de la Oficina de Desarrollo de las Telecomunicaciones;</w:t>
            </w:r>
          </w:p>
          <w:p w14:paraId="44D2ED3E" w14:textId="69B2CDB1" w:rsidR="00C34772" w:rsidRPr="009548E5" w:rsidRDefault="00BC70F3" w:rsidP="00F20C5C">
            <w:pPr>
              <w:tabs>
                <w:tab w:val="clear" w:pos="794"/>
                <w:tab w:val="left" w:pos="360"/>
                <w:tab w:val="left" w:pos="4111"/>
              </w:tabs>
              <w:spacing w:before="0"/>
              <w:ind w:left="360" w:hanging="303"/>
            </w:pPr>
            <w:r w:rsidRPr="009548E5">
              <w:t>–</w:t>
            </w:r>
            <w:r w:rsidRPr="009548E5">
              <w:tab/>
              <w:t xml:space="preserve">al </w:t>
            </w:r>
            <w:proofErr w:type="gramStart"/>
            <w:r w:rsidRPr="009548E5">
              <w:t>Director</w:t>
            </w:r>
            <w:proofErr w:type="gramEnd"/>
            <w:r w:rsidRPr="009548E5">
              <w:t xml:space="preserve"> de la Oficina Regional de la</w:t>
            </w:r>
            <w:r w:rsidR="003C68C3" w:rsidRPr="009548E5">
              <w:t> </w:t>
            </w:r>
            <w:r w:rsidRPr="009548E5">
              <w:t>UIT</w:t>
            </w:r>
            <w:r w:rsidR="00F23B7F" w:rsidRPr="009548E5">
              <w:t xml:space="preserve"> para las Américas</w:t>
            </w:r>
          </w:p>
        </w:tc>
      </w:tr>
      <w:tr w:rsidR="007B6316" w:rsidRPr="009548E5" w14:paraId="08989BD7" w14:textId="77777777" w:rsidTr="002F2402">
        <w:trPr>
          <w:cantSplit/>
        </w:trPr>
        <w:tc>
          <w:tcPr>
            <w:tcW w:w="1366" w:type="dxa"/>
          </w:tcPr>
          <w:p w14:paraId="516366D6" w14:textId="77777777" w:rsidR="007B6316" w:rsidRPr="009548E5" w:rsidRDefault="007B6316" w:rsidP="003C68C3">
            <w:pPr>
              <w:tabs>
                <w:tab w:val="left" w:pos="4111"/>
              </w:tabs>
              <w:spacing w:after="40"/>
              <w:ind w:left="57"/>
              <w:rPr>
                <w:szCs w:val="24"/>
              </w:rPr>
            </w:pPr>
            <w:r w:rsidRPr="009548E5">
              <w:rPr>
                <w:b/>
                <w:bCs/>
                <w:szCs w:val="24"/>
              </w:rPr>
              <w:t>Asunto</w:t>
            </w:r>
            <w:r w:rsidRPr="009548E5">
              <w:rPr>
                <w:szCs w:val="24"/>
              </w:rPr>
              <w:t>:</w:t>
            </w:r>
          </w:p>
        </w:tc>
        <w:tc>
          <w:tcPr>
            <w:tcW w:w="8444" w:type="dxa"/>
            <w:gridSpan w:val="3"/>
          </w:tcPr>
          <w:p w14:paraId="2833DD11" w14:textId="77777777" w:rsidR="00F23B7F" w:rsidRPr="009548E5" w:rsidRDefault="00F23B7F" w:rsidP="00F23B7F">
            <w:pPr>
              <w:tabs>
                <w:tab w:val="left" w:pos="4111"/>
              </w:tabs>
              <w:ind w:left="58"/>
              <w:rPr>
                <w:b/>
              </w:rPr>
            </w:pPr>
            <w:r w:rsidRPr="009548E5">
              <w:rPr>
                <w:b/>
              </w:rPr>
              <w:t xml:space="preserve">Encuentros sobre Tecnología de libro mayor distribuido </w:t>
            </w:r>
            <w:r w:rsidR="00BC70F3" w:rsidRPr="009548E5">
              <w:rPr>
                <w:b/>
              </w:rPr>
              <w:t>(</w:t>
            </w:r>
            <w:r w:rsidRPr="009548E5">
              <w:rPr>
                <w:b/>
              </w:rPr>
              <w:t>DLT)</w:t>
            </w:r>
          </w:p>
          <w:p w14:paraId="6D6CF8FB" w14:textId="2B80B5AF" w:rsidR="007B6316" w:rsidRPr="009548E5" w:rsidRDefault="00F23B7F" w:rsidP="009548E5">
            <w:pPr>
              <w:tabs>
                <w:tab w:val="left" w:pos="4111"/>
              </w:tabs>
              <w:spacing w:before="0" w:after="40"/>
              <w:ind w:left="58"/>
              <w:rPr>
                <w:b/>
              </w:rPr>
            </w:pPr>
            <w:r w:rsidRPr="009548E5">
              <w:rPr>
                <w:b/>
              </w:rPr>
              <w:t>(Episodio #1: Interoperabilidad de la DLT, 5 de agosto de 2020,</w:t>
            </w:r>
            <w:r w:rsidR="009548E5" w:rsidRPr="009548E5">
              <w:rPr>
                <w:b/>
              </w:rPr>
              <w:br/>
            </w:r>
            <w:r w:rsidRPr="009548E5">
              <w:rPr>
                <w:b/>
              </w:rPr>
              <w:t>reunión plenamente virtual)</w:t>
            </w:r>
          </w:p>
        </w:tc>
      </w:tr>
    </w:tbl>
    <w:p w14:paraId="619F34E3" w14:textId="6D8A7270" w:rsidR="00C34772" w:rsidRPr="009548E5" w:rsidRDefault="00C34772" w:rsidP="009548E5">
      <w:pPr>
        <w:pStyle w:val="Normalaftertitle"/>
      </w:pPr>
      <w:bookmarkStart w:id="1" w:name="StartTyping_S"/>
      <w:bookmarkStart w:id="2" w:name="suitetext"/>
      <w:bookmarkStart w:id="3" w:name="text"/>
      <w:bookmarkEnd w:id="1"/>
      <w:bookmarkEnd w:id="2"/>
      <w:bookmarkEnd w:id="3"/>
      <w:r w:rsidRPr="009548E5">
        <w:t>Muy Señora mía/Muy Señor mío</w:t>
      </w:r>
      <w:r w:rsidR="006C4D57">
        <w:t>,</w:t>
      </w:r>
    </w:p>
    <w:p w14:paraId="014AB6B9" w14:textId="439B1D65" w:rsidR="00F23B7F" w:rsidRPr="009548E5" w:rsidRDefault="00BC70F3" w:rsidP="00BC70F3">
      <w:r w:rsidRPr="009548E5">
        <w:rPr>
          <w:bCs/>
        </w:rPr>
        <w:t>1</w:t>
      </w:r>
      <w:r w:rsidRPr="009548E5">
        <w:tab/>
      </w:r>
      <w:proofErr w:type="gramStart"/>
      <w:r w:rsidR="00F23B7F" w:rsidRPr="009548E5">
        <w:t>La</w:t>
      </w:r>
      <w:proofErr w:type="gramEnd"/>
      <w:r w:rsidR="00F23B7F" w:rsidRPr="009548E5">
        <w:t xml:space="preserve"> Unión Internacional de Telecomunicaciones (UIT) está organizando una serie de </w:t>
      </w:r>
      <w:r w:rsidR="009548E5">
        <w:t>"</w:t>
      </w:r>
      <w:r w:rsidR="00F23B7F" w:rsidRPr="009548E5">
        <w:t>encuentros</w:t>
      </w:r>
      <w:r w:rsidR="009548E5">
        <w:t>"</w:t>
      </w:r>
      <w:r w:rsidR="00F23B7F" w:rsidRPr="009548E5">
        <w:t xml:space="preserve"> interactiv</w:t>
      </w:r>
      <w:r w:rsidR="00F20C5C">
        <w:t>o</w:t>
      </w:r>
      <w:r w:rsidR="00F23B7F" w:rsidRPr="009548E5">
        <w:t>s para debatir temas relacionados con la tecnología de libro mayor distribuido (</w:t>
      </w:r>
      <w:r w:rsidR="00F23B7F" w:rsidRPr="009548E5">
        <w:rPr>
          <w:i/>
          <w:iCs/>
        </w:rPr>
        <w:t>Distributed Ledger Technology</w:t>
      </w:r>
      <w:r w:rsidR="00F23B7F" w:rsidRPr="009548E5">
        <w:t xml:space="preserve"> </w:t>
      </w:r>
      <w:r w:rsidR="009548E5" w:rsidRPr="009548E5">
        <w:t>–</w:t>
      </w:r>
      <w:r w:rsidR="00F23B7F" w:rsidRPr="009548E5">
        <w:t xml:space="preserve"> DLT) y su normalización. Las reuniones están previstas para el primer miércoles de cada mes. El objetivo de esta iniciativa es aumentar la colaboración con la comunidad mundial de la DLT. Los debates también tendrán como finalidad aportar nuevos conocimientos que puedan contribuir a las actividades de normalización del UIT-T. Este será también un canal para presentar los resultados de la labor del UIT-T en el ámbito de la DLT a la comunidad, especialmente de la Cuestión 22/16 sobre tecnologías de libro mayor distribuido y servicios electrónicos.</w:t>
      </w:r>
    </w:p>
    <w:p w14:paraId="188A97C3" w14:textId="15F19FD5" w:rsidR="00BC70F3" w:rsidRPr="009548E5" w:rsidRDefault="00BC70F3" w:rsidP="0048511A">
      <w:r w:rsidRPr="009548E5">
        <w:t>2</w:t>
      </w:r>
      <w:r w:rsidRPr="009548E5">
        <w:tab/>
      </w:r>
      <w:proofErr w:type="gramStart"/>
      <w:r w:rsidR="00F23B7F" w:rsidRPr="009548E5">
        <w:t>El</w:t>
      </w:r>
      <w:proofErr w:type="gramEnd"/>
      <w:r w:rsidR="00F23B7F" w:rsidRPr="009548E5">
        <w:t xml:space="preserve"> </w:t>
      </w:r>
      <w:r w:rsidR="00F23B7F" w:rsidRPr="009548E5">
        <w:rPr>
          <w:b/>
        </w:rPr>
        <w:t>primer episodio</w:t>
      </w:r>
      <w:r w:rsidR="00F23B7F" w:rsidRPr="009548E5">
        <w:t xml:space="preserve"> de la serie, que está p</w:t>
      </w:r>
      <w:r w:rsidR="0048511A" w:rsidRPr="009548E5">
        <w:t xml:space="preserve">revisto se celebre el </w:t>
      </w:r>
      <w:r w:rsidR="0048511A" w:rsidRPr="009548E5">
        <w:rPr>
          <w:b/>
        </w:rPr>
        <w:t>5 de agosto de 2020</w:t>
      </w:r>
      <w:r w:rsidR="0048511A" w:rsidRPr="009548E5">
        <w:t xml:space="preserve"> </w:t>
      </w:r>
      <w:r w:rsidR="0048511A" w:rsidRPr="009548E5">
        <w:rPr>
          <w:b/>
        </w:rPr>
        <w:t>de las 13</w:t>
      </w:r>
      <w:r w:rsidR="009548E5" w:rsidRPr="009548E5">
        <w:rPr>
          <w:b/>
        </w:rPr>
        <w:t>.</w:t>
      </w:r>
      <w:r w:rsidR="0048511A" w:rsidRPr="009548E5">
        <w:rPr>
          <w:b/>
        </w:rPr>
        <w:t>30 a las 14</w:t>
      </w:r>
      <w:r w:rsidR="009548E5" w:rsidRPr="009548E5">
        <w:rPr>
          <w:b/>
        </w:rPr>
        <w:t>.</w:t>
      </w:r>
      <w:r w:rsidR="0048511A" w:rsidRPr="009548E5">
        <w:rPr>
          <w:b/>
        </w:rPr>
        <w:t>30 horas (hora de Ginebra)</w:t>
      </w:r>
      <w:r w:rsidR="0048511A" w:rsidRPr="009548E5">
        <w:t xml:space="preserve">, se centrará en la </w:t>
      </w:r>
      <w:r w:rsidR="0048511A" w:rsidRPr="009548E5">
        <w:rPr>
          <w:b/>
        </w:rPr>
        <w:t>interoperabilidad de la DLT</w:t>
      </w:r>
      <w:r w:rsidR="0048511A" w:rsidRPr="009548E5">
        <w:t xml:space="preserve">. Con el número creciente de redes DLT que se constituyen, la cuestión de la interoperabilidad se ha hecho cada vez más pertinente, y la definición de puntos clave a través de la normalización debería desempeñar un importante papel con miras a una adopción a escala mundial. En este episodio se discutirá acerca de lo que podemos aprender de eventos históricos desde la formación de la Internet y analizará el papel de la gobernanza como factor habilitador de la confianza. El debate también tratará de los problemas de interoperabilidad de la DLT desde el punto de vista técnico y de un posible marco para la interoperabilidad de la DLT. </w:t>
      </w:r>
    </w:p>
    <w:p w14:paraId="6FEC55EA" w14:textId="5F9B3D2A" w:rsidR="0048511A" w:rsidRPr="009548E5" w:rsidRDefault="00BC70F3" w:rsidP="003C68C3">
      <w:pPr>
        <w:keepNext/>
        <w:keepLines/>
      </w:pPr>
      <w:r w:rsidRPr="009548E5">
        <w:lastRenderedPageBreak/>
        <w:t>3</w:t>
      </w:r>
      <w:r w:rsidRPr="009548E5">
        <w:tab/>
      </w:r>
      <w:proofErr w:type="gramStart"/>
      <w:r w:rsidR="0048511A" w:rsidRPr="009548E5">
        <w:t>La</w:t>
      </w:r>
      <w:proofErr w:type="gramEnd"/>
      <w:r w:rsidR="0048511A" w:rsidRPr="009548E5">
        <w:t xml:space="preserve"> participación en estos encuentros está abierta a los Estados Miembros, Miembros de Sector, Asociados e Instituciones Académicas de la UIT, y a cualquier persona de un país que sea miembro de la UIT y desee contribuir a los trabajos. Esto incluye a personas de los proveedores de tecnología y servicios de DLT, instituciones de investigación, organismos de las Naciones Unidas, organismos reguladores, otros profesionales de campos conexos, y también a personas que son miembros de organizaciones internacionales, regionales y nacionales.</w:t>
      </w:r>
    </w:p>
    <w:p w14:paraId="0967EAA3" w14:textId="19A7F449" w:rsidR="00BC70F3" w:rsidRPr="009548E5" w:rsidRDefault="0048511A" w:rsidP="00BC70F3">
      <w:r w:rsidRPr="009548E5">
        <w:t>4</w:t>
      </w:r>
      <w:r w:rsidR="00BC70F3" w:rsidRPr="009548E5">
        <w:tab/>
        <w:t xml:space="preserve">Toda la información pertinente relativa a los </w:t>
      </w:r>
      <w:r w:rsidRPr="009548E5">
        <w:t>encuentros</w:t>
      </w:r>
      <w:r w:rsidR="00BC70F3" w:rsidRPr="009548E5">
        <w:t xml:space="preserve">, (oradores, enlaces de inscripción, detalles de la conexión a distancia) estará disponible </w:t>
      </w:r>
      <w:r w:rsidR="0078663E">
        <w:t xml:space="preserve">en su momento </w:t>
      </w:r>
      <w:r w:rsidR="00BC70F3" w:rsidRPr="009548E5">
        <w:t xml:space="preserve">en la </w:t>
      </w:r>
      <w:hyperlink r:id="rId10" w:history="1">
        <w:r w:rsidR="00BC70F3" w:rsidRPr="009548E5">
          <w:rPr>
            <w:rStyle w:val="Hyperlink"/>
          </w:rPr>
          <w:t>página principal de acceso</w:t>
        </w:r>
      </w:hyperlink>
      <w:r w:rsidR="00BC70F3" w:rsidRPr="009548E5">
        <w:t xml:space="preserve"> y en los respectivos sitios web de los eventos</w:t>
      </w:r>
      <w:r w:rsidR="007821A3" w:rsidRPr="009548E5">
        <w:t xml:space="preserve"> en la dirección</w:t>
      </w:r>
      <w:r w:rsidR="00BC70F3" w:rsidRPr="009548E5">
        <w:t xml:space="preserve"> </w:t>
      </w:r>
      <w:hyperlink r:id="rId11" w:history="1">
        <w:r w:rsidR="007821A3" w:rsidRPr="009548E5">
          <w:rPr>
            <w:rStyle w:val="Hyperlink"/>
          </w:rPr>
          <w:t>https://itu.int/en/ITU-T/webinars/20200805</w:t>
        </w:r>
      </w:hyperlink>
      <w:r w:rsidR="007821A3" w:rsidRPr="009548E5">
        <w:t>.</w:t>
      </w:r>
      <w:r w:rsidR="00BC70F3" w:rsidRPr="009548E5">
        <w:t xml:space="preserve"> </w:t>
      </w:r>
      <w:hyperlink r:id="rId12" w:history="1"/>
      <w:r w:rsidR="00BC70F3" w:rsidRPr="009548E5">
        <w:t xml:space="preserve">Estos sitios web se pondrán periódicamente al día a medida que se disponga de información </w:t>
      </w:r>
      <w:r w:rsidR="007821A3" w:rsidRPr="009548E5">
        <w:t>más reciente</w:t>
      </w:r>
      <w:r w:rsidR="00BC70F3" w:rsidRPr="009548E5">
        <w:t>. Se ruega a los participantes que comprueben regularmente las actualizaciones de las páginas web de los episodios.</w:t>
      </w:r>
      <w:r w:rsidR="007821A3" w:rsidRPr="009548E5">
        <w:t xml:space="preserve"> Rogamos tenga en cuenta que la inscripción es gratuita pero obligatoria. </w:t>
      </w:r>
    </w:p>
    <w:p w14:paraId="353FDFBD" w14:textId="61B8CB73" w:rsidR="007821A3" w:rsidRPr="009548E5" w:rsidRDefault="007821A3" w:rsidP="00BC70F3">
      <w:r w:rsidRPr="009548E5">
        <w:t>5</w:t>
      </w:r>
      <w:r w:rsidRPr="009548E5">
        <w:tab/>
        <w:t xml:space="preserve">Si desea intervenir como orador en un episodio posterior de los encuentros sobre la DLT, sírvase enviar un correo electrónico a la secretaría, </w:t>
      </w:r>
      <w:hyperlink r:id="rId13" w:history="1">
        <w:r w:rsidRPr="009548E5">
          <w:rPr>
            <w:rStyle w:val="Hyperlink"/>
          </w:rPr>
          <w:t>tsbsg16@itu.int</w:t>
        </w:r>
      </w:hyperlink>
      <w:r w:rsidRPr="009548E5">
        <w:t xml:space="preserve"> con copia a </w:t>
      </w:r>
      <w:hyperlink r:id="rId14" w:history="1">
        <w:r w:rsidRPr="009548E5">
          <w:rPr>
            <w:rStyle w:val="Hyperlink"/>
          </w:rPr>
          <w:t>tsbevents@itu.int</w:t>
        </w:r>
      </w:hyperlink>
      <w:r w:rsidRPr="009548E5">
        <w:t>, proporcionando un resumen de su presentación en 200 palabras (en formato Word o PDF), los enlaces conexos y un breve currículum vitae. Éstos son algunos de los temas posibles:</w:t>
      </w:r>
    </w:p>
    <w:p w14:paraId="15BD3D6E" w14:textId="5F8F05BF" w:rsidR="007821A3" w:rsidRPr="009548E5" w:rsidRDefault="009548E5" w:rsidP="009548E5">
      <w:pPr>
        <w:pStyle w:val="enumlev1"/>
      </w:pPr>
      <w:r w:rsidRPr="009548E5">
        <w:t>a)</w:t>
      </w:r>
      <w:r w:rsidRPr="009548E5">
        <w:tab/>
        <w:t xml:space="preserve">cartografía </w:t>
      </w:r>
      <w:r w:rsidR="007821A3" w:rsidRPr="009548E5">
        <w:t>de plataforma utilizando la Arquitectura de la UIT;</w:t>
      </w:r>
    </w:p>
    <w:p w14:paraId="6347D9CC" w14:textId="0ABDF6BF" w:rsidR="007821A3" w:rsidRPr="009548E5" w:rsidRDefault="009548E5" w:rsidP="009548E5">
      <w:pPr>
        <w:pStyle w:val="enumlev1"/>
      </w:pPr>
      <w:r w:rsidRPr="009548E5">
        <w:t>b)</w:t>
      </w:r>
      <w:r w:rsidRPr="009548E5">
        <w:tab/>
        <w:t xml:space="preserve">cómo </w:t>
      </w:r>
      <w:r w:rsidR="007821A3" w:rsidRPr="009548E5">
        <w:t>puede alguien contribuir a la UIT; o</w:t>
      </w:r>
    </w:p>
    <w:p w14:paraId="52BACB79" w14:textId="63C128AF" w:rsidR="007821A3" w:rsidRPr="009548E5" w:rsidRDefault="009548E5" w:rsidP="009548E5">
      <w:pPr>
        <w:pStyle w:val="enumlev1"/>
      </w:pPr>
      <w:r w:rsidRPr="009548E5">
        <w:t>c)</w:t>
      </w:r>
      <w:r w:rsidRPr="009548E5">
        <w:tab/>
        <w:t xml:space="preserve">una </w:t>
      </w:r>
      <w:r w:rsidR="007821A3" w:rsidRPr="009548E5">
        <w:t>solución, reglamentación o caso de utilización concreto</w:t>
      </w:r>
      <w:r w:rsidRPr="009548E5">
        <w:t>.</w:t>
      </w:r>
    </w:p>
    <w:p w14:paraId="6E34F919" w14:textId="48345B8B" w:rsidR="007B6316" w:rsidRPr="009548E5" w:rsidRDefault="007B6316" w:rsidP="009548E5">
      <w:pPr>
        <w:pStyle w:val="Normalaftertitle"/>
      </w:pPr>
      <w:r w:rsidRPr="009548E5">
        <w:t>Atentamente,</w:t>
      </w:r>
    </w:p>
    <w:p w14:paraId="54B4C021" w14:textId="1BA8CE6C" w:rsidR="007B6316" w:rsidRPr="009548E5" w:rsidRDefault="004A39E6" w:rsidP="009548E5">
      <w:pPr>
        <w:spacing w:before="0"/>
      </w:pPr>
      <w:r>
        <w:rPr>
          <w:noProof/>
        </w:rPr>
        <w:drawing>
          <wp:anchor distT="0" distB="0" distL="114300" distR="114300" simplePos="0" relativeHeight="251658240" behindDoc="1" locked="0" layoutInCell="1" allowOverlap="1" wp14:anchorId="0AB37546" wp14:editId="38B2E0DC">
            <wp:simplePos x="0" y="0"/>
            <wp:positionH relativeFrom="column">
              <wp:posOffset>3810</wp:posOffset>
            </wp:positionH>
            <wp:positionV relativeFrom="paragraph">
              <wp:posOffset>408940</wp:posOffset>
            </wp:positionV>
            <wp:extent cx="875558" cy="394335"/>
            <wp:effectExtent l="0" t="0" r="1270" b="5715"/>
            <wp:wrapNone/>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SP.PNG"/>
                    <pic:cNvPicPr/>
                  </pic:nvPicPr>
                  <pic:blipFill>
                    <a:blip r:embed="rId15">
                      <a:extLst>
                        <a:ext uri="{28A0092B-C50C-407E-A947-70E740481C1C}">
                          <a14:useLocalDpi xmlns:a14="http://schemas.microsoft.com/office/drawing/2010/main" val="0"/>
                        </a:ext>
                      </a:extLst>
                    </a:blip>
                    <a:stretch>
                      <a:fillRect/>
                    </a:stretch>
                  </pic:blipFill>
                  <pic:spPr>
                    <a:xfrm>
                      <a:off x="0" y="0"/>
                      <a:ext cx="879477" cy="396100"/>
                    </a:xfrm>
                    <a:prstGeom prst="rect">
                      <a:avLst/>
                    </a:prstGeom>
                  </pic:spPr>
                </pic:pic>
              </a:graphicData>
            </a:graphic>
            <wp14:sizeRelH relativeFrom="margin">
              <wp14:pctWidth>0</wp14:pctWidth>
            </wp14:sizeRelH>
            <wp14:sizeRelV relativeFrom="margin">
              <wp14:pctHeight>0</wp14:pctHeight>
            </wp14:sizeRelV>
          </wp:anchor>
        </w:drawing>
      </w:r>
      <w:r w:rsidR="007B6316" w:rsidRPr="009548E5">
        <w:t>Chaesub Lee</w:t>
      </w:r>
      <w:r w:rsidR="007821A3" w:rsidRPr="009548E5">
        <w:tab/>
      </w:r>
      <w:r w:rsidR="007821A3" w:rsidRPr="009548E5">
        <w:tab/>
      </w:r>
      <w:r w:rsidR="007821A3" w:rsidRPr="009548E5">
        <w:tab/>
      </w:r>
      <w:r w:rsidR="007821A3" w:rsidRPr="009548E5">
        <w:tab/>
      </w:r>
      <w:r w:rsidR="007821A3" w:rsidRPr="009548E5">
        <w:tab/>
      </w:r>
      <w:r w:rsidR="007821A3" w:rsidRPr="009548E5">
        <w:tab/>
      </w:r>
      <w:r w:rsidR="007821A3" w:rsidRPr="009548E5">
        <w:tab/>
      </w:r>
      <w:r w:rsidR="007821A3" w:rsidRPr="009548E5">
        <w:tab/>
      </w:r>
      <w:r w:rsidR="007821A3" w:rsidRPr="009548E5">
        <w:tab/>
      </w:r>
      <w:r w:rsidR="007821A3" w:rsidRPr="009548E5">
        <w:rPr>
          <w:rFonts w:eastAsia="MS Mincho"/>
          <w:noProof/>
        </w:rPr>
        <w:drawing>
          <wp:inline distT="0" distB="0" distL="0" distR="0" wp14:anchorId="74E8F5E0" wp14:editId="282D8085">
            <wp:extent cx="1266825" cy="1266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39995"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266825" cy="1266825"/>
                    </a:xfrm>
                    <a:prstGeom prst="rect">
                      <a:avLst/>
                    </a:prstGeom>
                    <a:noFill/>
                    <a:ln>
                      <a:noFill/>
                    </a:ln>
                  </pic:spPr>
                </pic:pic>
              </a:graphicData>
            </a:graphic>
          </wp:inline>
        </w:drawing>
      </w:r>
      <w:r w:rsidR="007B6316" w:rsidRPr="009548E5">
        <w:br/>
      </w:r>
      <w:proofErr w:type="gramStart"/>
      <w:r w:rsidR="007B6316" w:rsidRPr="009548E5">
        <w:t>Director</w:t>
      </w:r>
      <w:proofErr w:type="gramEnd"/>
      <w:r w:rsidR="007B6316" w:rsidRPr="009548E5">
        <w:t xml:space="preserve"> de la Oficina de </w:t>
      </w:r>
      <w:r w:rsidR="007B6316" w:rsidRPr="009548E5">
        <w:br/>
        <w:t>Normalización de las Telecomunicaciones</w:t>
      </w:r>
    </w:p>
    <w:sectPr w:rsidR="007B6316" w:rsidRPr="009548E5" w:rsidSect="00B87E9E">
      <w:head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0C96E" w14:textId="77777777" w:rsidR="00E93759" w:rsidRDefault="00E93759">
      <w:r>
        <w:separator/>
      </w:r>
    </w:p>
  </w:endnote>
  <w:endnote w:type="continuationSeparator" w:id="0">
    <w:p w14:paraId="33D4932A" w14:textId="77777777" w:rsidR="00E93759" w:rsidRDefault="00E9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A054C" w14:textId="4ADA57D3"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BC70F3">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F0633" w14:textId="77777777" w:rsidR="00E93759" w:rsidRDefault="00E93759">
      <w:r>
        <w:t>____________________</w:t>
      </w:r>
    </w:p>
  </w:footnote>
  <w:footnote w:type="continuationSeparator" w:id="0">
    <w:p w14:paraId="7F085318" w14:textId="77777777" w:rsidR="00E93759" w:rsidRDefault="00E93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8647B" w14:textId="04BF041A"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8663E">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BC70F3">
      <w:rPr>
        <w:rStyle w:val="PageNumber"/>
        <w:sz w:val="18"/>
        <w:szCs w:val="18"/>
      </w:rPr>
      <w:br/>
      <w:t>Circular TSB 2</w:t>
    </w:r>
    <w:r w:rsidR="007821A3">
      <w:rPr>
        <w:rStyle w:val="PageNumber"/>
        <w:sz w:val="18"/>
        <w:szCs w:val="18"/>
      </w:rPr>
      <w:t>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C2E80"/>
    <w:multiLevelType w:val="hybridMultilevel"/>
    <w:tmpl w:val="642EB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666FA6"/>
    <w:multiLevelType w:val="hybridMultilevel"/>
    <w:tmpl w:val="0250E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F3"/>
    <w:rsid w:val="00002529"/>
    <w:rsid w:val="00085662"/>
    <w:rsid w:val="00090CAC"/>
    <w:rsid w:val="000C382F"/>
    <w:rsid w:val="001173CC"/>
    <w:rsid w:val="0014464D"/>
    <w:rsid w:val="001A54CC"/>
    <w:rsid w:val="00257FB4"/>
    <w:rsid w:val="002E496E"/>
    <w:rsid w:val="002F2402"/>
    <w:rsid w:val="00303D62"/>
    <w:rsid w:val="00335367"/>
    <w:rsid w:val="00370C2D"/>
    <w:rsid w:val="003B1DA4"/>
    <w:rsid w:val="003C68C3"/>
    <w:rsid w:val="003D1E8D"/>
    <w:rsid w:val="003D673B"/>
    <w:rsid w:val="003F2855"/>
    <w:rsid w:val="00401C20"/>
    <w:rsid w:val="0048511A"/>
    <w:rsid w:val="004A39E6"/>
    <w:rsid w:val="004A7957"/>
    <w:rsid w:val="004C4144"/>
    <w:rsid w:val="00510A7A"/>
    <w:rsid w:val="0055719E"/>
    <w:rsid w:val="006969B4"/>
    <w:rsid w:val="006C4D57"/>
    <w:rsid w:val="006E4F7B"/>
    <w:rsid w:val="00781E2A"/>
    <w:rsid w:val="007821A3"/>
    <w:rsid w:val="0078663E"/>
    <w:rsid w:val="007933A2"/>
    <w:rsid w:val="007B6316"/>
    <w:rsid w:val="00814503"/>
    <w:rsid w:val="008258C2"/>
    <w:rsid w:val="008505BD"/>
    <w:rsid w:val="00850C78"/>
    <w:rsid w:val="00876165"/>
    <w:rsid w:val="00884D12"/>
    <w:rsid w:val="008C17AD"/>
    <w:rsid w:val="008D02CD"/>
    <w:rsid w:val="0091370C"/>
    <w:rsid w:val="0095172A"/>
    <w:rsid w:val="009548E5"/>
    <w:rsid w:val="009A0BA0"/>
    <w:rsid w:val="00A54E47"/>
    <w:rsid w:val="00AB6E3A"/>
    <w:rsid w:val="00AE7093"/>
    <w:rsid w:val="00B422BC"/>
    <w:rsid w:val="00B43F77"/>
    <w:rsid w:val="00B55A3E"/>
    <w:rsid w:val="00B87E9E"/>
    <w:rsid w:val="00B95F0A"/>
    <w:rsid w:val="00B96180"/>
    <w:rsid w:val="00BC70F3"/>
    <w:rsid w:val="00C116FE"/>
    <w:rsid w:val="00C13920"/>
    <w:rsid w:val="00C17AC0"/>
    <w:rsid w:val="00C34772"/>
    <w:rsid w:val="00C5465A"/>
    <w:rsid w:val="00C912A1"/>
    <w:rsid w:val="00C950B9"/>
    <w:rsid w:val="00D54642"/>
    <w:rsid w:val="00DD77C9"/>
    <w:rsid w:val="00DF3538"/>
    <w:rsid w:val="00E839B0"/>
    <w:rsid w:val="00E92C09"/>
    <w:rsid w:val="00E93759"/>
    <w:rsid w:val="00F14380"/>
    <w:rsid w:val="00F20C5C"/>
    <w:rsid w:val="00F23B7F"/>
    <w:rsid w:val="00F4501E"/>
    <w:rsid w:val="00F603D1"/>
    <w:rsid w:val="00F6461F"/>
    <w:rsid w:val="00F920A9"/>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5D6F3C"/>
  <w15:docId w15:val="{7918358A-EAEA-46A3-9442-7CE6B963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BC70F3"/>
    <w:rPr>
      <w:color w:val="605E5C"/>
      <w:shd w:val="clear" w:color="auto" w:fill="E1DFDD"/>
    </w:rPr>
  </w:style>
  <w:style w:type="paragraph" w:styleId="ListParagraph">
    <w:name w:val="List Paragraph"/>
    <w:basedOn w:val="Normal"/>
    <w:uiPriority w:val="34"/>
    <w:qFormat/>
    <w:rsid w:val="00F23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16@itu.i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webinars/20200805"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en/ITU-T/webinars/Pages/d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tsbevents@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D7BAD-F4D8-4D67-B7AF-B7A52016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27</TotalTime>
  <Pages>2</Pages>
  <Words>661</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4613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8</cp:revision>
  <cp:lastPrinted>2020-07-24T12:33:00Z</cp:lastPrinted>
  <dcterms:created xsi:type="dcterms:W3CDTF">2020-07-20T09:59:00Z</dcterms:created>
  <dcterms:modified xsi:type="dcterms:W3CDTF">2020-07-24T12:34:00Z</dcterms:modified>
</cp:coreProperties>
</file>