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Ind w:w="-90" w:type="dxa"/>
        <w:tblLayout w:type="fixed"/>
        <w:tblCellMar>
          <w:left w:w="0" w:type="dxa"/>
          <w:right w:w="0" w:type="dxa"/>
        </w:tblCellMar>
        <w:tblLook w:val="0000" w:firstRow="0" w:lastRow="0" w:firstColumn="0" w:lastColumn="0" w:noHBand="0" w:noVBand="0"/>
      </w:tblPr>
      <w:tblGrid>
        <w:gridCol w:w="1366"/>
        <w:gridCol w:w="142"/>
        <w:gridCol w:w="3467"/>
        <w:gridCol w:w="4835"/>
      </w:tblGrid>
      <w:tr w:rsidR="007B6316" w14:paraId="07115B11" w14:textId="77777777" w:rsidTr="002F2402">
        <w:trPr>
          <w:cantSplit/>
          <w:trHeight w:val="340"/>
        </w:trPr>
        <w:tc>
          <w:tcPr>
            <w:tcW w:w="1508" w:type="dxa"/>
            <w:gridSpan w:val="2"/>
          </w:tcPr>
          <w:p w14:paraId="4EDF9B82"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C3315D4" wp14:editId="5ED937E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02" w:type="dxa"/>
            <w:gridSpan w:val="2"/>
            <w:vAlign w:val="center"/>
          </w:tcPr>
          <w:p w14:paraId="735DA9C2"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6B466804"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68D1E8A8" w14:textId="77777777" w:rsidTr="002F2402">
        <w:trPr>
          <w:cantSplit/>
          <w:trHeight w:val="340"/>
        </w:trPr>
        <w:tc>
          <w:tcPr>
            <w:tcW w:w="1366" w:type="dxa"/>
          </w:tcPr>
          <w:p w14:paraId="3FDF4729" w14:textId="77777777" w:rsidR="007B6316" w:rsidRPr="007B6316" w:rsidRDefault="007B6316" w:rsidP="00303D62">
            <w:pPr>
              <w:tabs>
                <w:tab w:val="left" w:pos="4111"/>
              </w:tabs>
              <w:spacing w:before="10"/>
              <w:ind w:left="57"/>
              <w:rPr>
                <w:b/>
                <w:bCs/>
                <w:sz w:val="22"/>
              </w:rPr>
            </w:pPr>
          </w:p>
        </w:tc>
        <w:tc>
          <w:tcPr>
            <w:tcW w:w="3609" w:type="dxa"/>
            <w:gridSpan w:val="2"/>
          </w:tcPr>
          <w:p w14:paraId="73B9BB45" w14:textId="77777777" w:rsidR="007B6316" w:rsidRDefault="007B6316" w:rsidP="00303D62">
            <w:pPr>
              <w:tabs>
                <w:tab w:val="left" w:pos="4111"/>
              </w:tabs>
              <w:spacing w:before="0"/>
              <w:ind w:left="57"/>
              <w:rPr>
                <w:b/>
              </w:rPr>
            </w:pPr>
          </w:p>
        </w:tc>
        <w:tc>
          <w:tcPr>
            <w:tcW w:w="4835" w:type="dxa"/>
          </w:tcPr>
          <w:p w14:paraId="37523BEE" w14:textId="2E979C3A" w:rsidR="007B6316" w:rsidRDefault="00BC70F3" w:rsidP="007B6316">
            <w:pPr>
              <w:tabs>
                <w:tab w:val="clear" w:pos="794"/>
                <w:tab w:val="clear" w:pos="1191"/>
                <w:tab w:val="clear" w:pos="1588"/>
                <w:tab w:val="clear" w:pos="1985"/>
                <w:tab w:val="left" w:pos="284"/>
              </w:tabs>
              <w:spacing w:after="120"/>
              <w:ind w:left="284" w:hanging="227"/>
            </w:pPr>
            <w:r w:rsidRPr="00BC70F3">
              <w:rPr>
                <w:szCs w:val="24"/>
              </w:rPr>
              <w:t>Ginebra, 29 de junio de 2020</w:t>
            </w:r>
          </w:p>
        </w:tc>
      </w:tr>
      <w:tr w:rsidR="007B6316" w14:paraId="1CA49B0D" w14:textId="77777777" w:rsidTr="002F2402">
        <w:trPr>
          <w:cantSplit/>
          <w:trHeight w:val="340"/>
        </w:trPr>
        <w:tc>
          <w:tcPr>
            <w:tcW w:w="1366" w:type="dxa"/>
          </w:tcPr>
          <w:p w14:paraId="7FB0B0DA" w14:textId="237C12E2" w:rsidR="007B6316" w:rsidRPr="00BC70F3" w:rsidRDefault="007B6316" w:rsidP="003C68C3">
            <w:pPr>
              <w:tabs>
                <w:tab w:val="left" w:pos="4111"/>
              </w:tabs>
              <w:spacing w:before="40" w:after="40"/>
              <w:ind w:left="57"/>
              <w:rPr>
                <w:szCs w:val="24"/>
              </w:rPr>
            </w:pPr>
            <w:r w:rsidRPr="00BC70F3">
              <w:rPr>
                <w:szCs w:val="24"/>
              </w:rPr>
              <w:t>Ref.:</w:t>
            </w:r>
          </w:p>
        </w:tc>
        <w:tc>
          <w:tcPr>
            <w:tcW w:w="3609" w:type="dxa"/>
            <w:gridSpan w:val="2"/>
          </w:tcPr>
          <w:p w14:paraId="59096251" w14:textId="351FAE38" w:rsidR="007B6316" w:rsidRPr="003C68C3" w:rsidRDefault="007B6316" w:rsidP="003C68C3">
            <w:pPr>
              <w:tabs>
                <w:tab w:val="left" w:pos="4111"/>
              </w:tabs>
              <w:spacing w:before="40" w:after="40"/>
              <w:ind w:left="57"/>
              <w:rPr>
                <w:b/>
              </w:rPr>
            </w:pPr>
            <w:r>
              <w:rPr>
                <w:b/>
              </w:rPr>
              <w:t xml:space="preserve">Circular TSB </w:t>
            </w:r>
            <w:r w:rsidR="00BC70F3">
              <w:rPr>
                <w:b/>
              </w:rPr>
              <w:t>257</w:t>
            </w:r>
          </w:p>
        </w:tc>
        <w:tc>
          <w:tcPr>
            <w:tcW w:w="4835" w:type="dxa"/>
            <w:vMerge w:val="restart"/>
          </w:tcPr>
          <w:p w14:paraId="41CF44AA" w14:textId="77777777" w:rsidR="003C68C3" w:rsidRPr="003C68C3" w:rsidRDefault="003C68C3" w:rsidP="003C68C3">
            <w:pPr>
              <w:tabs>
                <w:tab w:val="left" w:pos="4111"/>
              </w:tabs>
              <w:spacing w:before="40"/>
              <w:ind w:left="57"/>
              <w:rPr>
                <w:b/>
              </w:rPr>
            </w:pPr>
            <w:bookmarkStart w:id="0" w:name="Addressee_S"/>
            <w:bookmarkEnd w:id="0"/>
            <w:r w:rsidRPr="003C68C3">
              <w:rPr>
                <w:b/>
              </w:rPr>
              <w:t>A</w:t>
            </w:r>
            <w:r w:rsidRPr="003C68C3">
              <w:rPr>
                <w:bCs/>
              </w:rPr>
              <w:t>:</w:t>
            </w:r>
          </w:p>
          <w:p w14:paraId="67B71BEB" w14:textId="2170765E" w:rsidR="00BC70F3" w:rsidRDefault="00BC70F3" w:rsidP="003C68C3">
            <w:pPr>
              <w:tabs>
                <w:tab w:val="clear" w:pos="794"/>
                <w:tab w:val="left" w:pos="360"/>
                <w:tab w:val="left" w:pos="4111"/>
              </w:tabs>
              <w:spacing w:before="0"/>
              <w:ind w:left="360" w:hanging="303"/>
            </w:pPr>
            <w:r>
              <w:t>–</w:t>
            </w:r>
            <w:r>
              <w:tab/>
              <w:t>las Administraciones de los Estados Miembros de la Unión;</w:t>
            </w:r>
          </w:p>
          <w:p w14:paraId="76B6EDEB" w14:textId="40CCEF0A" w:rsidR="00BC70F3" w:rsidRDefault="00BC70F3" w:rsidP="003C68C3">
            <w:pPr>
              <w:tabs>
                <w:tab w:val="clear" w:pos="794"/>
                <w:tab w:val="left" w:pos="360"/>
                <w:tab w:val="left" w:pos="4111"/>
              </w:tabs>
              <w:spacing w:before="0"/>
              <w:ind w:left="360" w:hanging="303"/>
            </w:pPr>
            <w:r>
              <w:t>–</w:t>
            </w:r>
            <w:r>
              <w:tab/>
              <w:t>los Miembros de Sector del UIT-T;</w:t>
            </w:r>
          </w:p>
          <w:p w14:paraId="62D2519F" w14:textId="0C4B0DA3" w:rsidR="00BC70F3" w:rsidRDefault="00BC70F3" w:rsidP="003C68C3">
            <w:pPr>
              <w:tabs>
                <w:tab w:val="clear" w:pos="794"/>
                <w:tab w:val="left" w:pos="360"/>
                <w:tab w:val="left" w:pos="4111"/>
              </w:tabs>
              <w:spacing w:before="0"/>
              <w:ind w:left="360" w:hanging="303"/>
            </w:pPr>
            <w:r>
              <w:t>–</w:t>
            </w:r>
            <w:r>
              <w:tab/>
              <w:t>los Asociados del UIT-T;</w:t>
            </w:r>
          </w:p>
          <w:p w14:paraId="580D989D" w14:textId="3C65F2EC" w:rsidR="007B6316" w:rsidRDefault="00BC70F3" w:rsidP="003C68C3">
            <w:pPr>
              <w:tabs>
                <w:tab w:val="clear" w:pos="794"/>
                <w:tab w:val="left" w:pos="360"/>
                <w:tab w:val="left" w:pos="4111"/>
              </w:tabs>
              <w:spacing w:before="0"/>
              <w:ind w:left="360" w:hanging="303"/>
            </w:pPr>
            <w:r>
              <w:t>–</w:t>
            </w:r>
            <w:r>
              <w:tab/>
              <w:t>las Instituciones Académicas de la UIT</w:t>
            </w:r>
          </w:p>
        </w:tc>
      </w:tr>
      <w:tr w:rsidR="00BC70F3" w14:paraId="569938A0" w14:textId="77777777" w:rsidTr="002F2402">
        <w:trPr>
          <w:cantSplit/>
          <w:trHeight w:val="340"/>
        </w:trPr>
        <w:tc>
          <w:tcPr>
            <w:tcW w:w="1366" w:type="dxa"/>
          </w:tcPr>
          <w:p w14:paraId="1C7EC8AF" w14:textId="110B726C" w:rsidR="00BC70F3" w:rsidRPr="00BC70F3" w:rsidRDefault="00BC70F3" w:rsidP="003C68C3">
            <w:pPr>
              <w:tabs>
                <w:tab w:val="left" w:pos="4111"/>
              </w:tabs>
              <w:spacing w:before="40" w:after="40"/>
              <w:ind w:left="57"/>
              <w:rPr>
                <w:szCs w:val="24"/>
              </w:rPr>
            </w:pPr>
            <w:r w:rsidRPr="00BC70F3">
              <w:rPr>
                <w:szCs w:val="24"/>
              </w:rPr>
              <w:t>Contacto:</w:t>
            </w:r>
          </w:p>
        </w:tc>
        <w:tc>
          <w:tcPr>
            <w:tcW w:w="3609" w:type="dxa"/>
            <w:gridSpan w:val="2"/>
          </w:tcPr>
          <w:p w14:paraId="46E5B0C6" w14:textId="56E76C9F" w:rsidR="00BC70F3" w:rsidRPr="00BC70F3" w:rsidRDefault="00BC70F3" w:rsidP="003C68C3">
            <w:pPr>
              <w:tabs>
                <w:tab w:val="left" w:pos="4111"/>
              </w:tabs>
              <w:spacing w:before="40" w:after="40"/>
              <w:ind w:left="57"/>
              <w:rPr>
                <w:bCs/>
              </w:rPr>
            </w:pPr>
            <w:r w:rsidRPr="00BC70F3">
              <w:rPr>
                <w:bCs/>
              </w:rPr>
              <w:t>Vijay Mauree</w:t>
            </w:r>
          </w:p>
        </w:tc>
        <w:tc>
          <w:tcPr>
            <w:tcW w:w="4835" w:type="dxa"/>
            <w:vMerge/>
          </w:tcPr>
          <w:p w14:paraId="74BB758B" w14:textId="77777777" w:rsidR="00BC70F3" w:rsidRDefault="00BC70F3" w:rsidP="00303D62">
            <w:pPr>
              <w:tabs>
                <w:tab w:val="clear" w:pos="794"/>
                <w:tab w:val="clear" w:pos="1191"/>
                <w:tab w:val="clear" w:pos="1588"/>
                <w:tab w:val="clear" w:pos="1985"/>
                <w:tab w:val="left" w:pos="284"/>
              </w:tabs>
              <w:spacing w:before="0"/>
              <w:ind w:left="284" w:hanging="227"/>
            </w:pPr>
          </w:p>
        </w:tc>
      </w:tr>
      <w:tr w:rsidR="007B6316" w14:paraId="08756305" w14:textId="77777777" w:rsidTr="002F2402">
        <w:trPr>
          <w:cantSplit/>
        </w:trPr>
        <w:tc>
          <w:tcPr>
            <w:tcW w:w="1366" w:type="dxa"/>
          </w:tcPr>
          <w:p w14:paraId="71DCF74B" w14:textId="77777777" w:rsidR="007B6316" w:rsidRPr="00BC70F3" w:rsidRDefault="007B6316" w:rsidP="003C68C3">
            <w:pPr>
              <w:tabs>
                <w:tab w:val="left" w:pos="4111"/>
              </w:tabs>
              <w:spacing w:before="40" w:after="40"/>
              <w:ind w:left="57"/>
              <w:rPr>
                <w:szCs w:val="24"/>
              </w:rPr>
            </w:pPr>
            <w:r w:rsidRPr="00BC70F3">
              <w:rPr>
                <w:szCs w:val="24"/>
              </w:rPr>
              <w:t>Tel.:</w:t>
            </w:r>
          </w:p>
        </w:tc>
        <w:tc>
          <w:tcPr>
            <w:tcW w:w="3609" w:type="dxa"/>
            <w:gridSpan w:val="2"/>
          </w:tcPr>
          <w:p w14:paraId="4507F394" w14:textId="6959E64F" w:rsidR="007B6316" w:rsidRPr="00BC70F3" w:rsidRDefault="007B6316" w:rsidP="003C68C3">
            <w:pPr>
              <w:tabs>
                <w:tab w:val="left" w:pos="4111"/>
              </w:tabs>
              <w:spacing w:before="40" w:after="40"/>
              <w:ind w:left="57"/>
              <w:rPr>
                <w:bCs/>
              </w:rPr>
            </w:pPr>
            <w:r w:rsidRPr="00BC70F3">
              <w:rPr>
                <w:bCs/>
              </w:rPr>
              <w:t>+</w:t>
            </w:r>
            <w:r w:rsidR="00BC70F3" w:rsidRPr="00BC70F3">
              <w:rPr>
                <w:bCs/>
              </w:rPr>
              <w:t>41 22 730 5591</w:t>
            </w:r>
          </w:p>
        </w:tc>
        <w:tc>
          <w:tcPr>
            <w:tcW w:w="4835" w:type="dxa"/>
            <w:vMerge/>
          </w:tcPr>
          <w:p w14:paraId="5D184E01" w14:textId="77777777" w:rsidR="007B6316" w:rsidRDefault="007B6316" w:rsidP="00303D62">
            <w:pPr>
              <w:tabs>
                <w:tab w:val="left" w:pos="4111"/>
              </w:tabs>
              <w:spacing w:before="0"/>
              <w:rPr>
                <w:b/>
              </w:rPr>
            </w:pPr>
          </w:p>
        </w:tc>
      </w:tr>
      <w:tr w:rsidR="007B6316" w14:paraId="6BBE773F" w14:textId="77777777" w:rsidTr="002F2402">
        <w:trPr>
          <w:cantSplit/>
        </w:trPr>
        <w:tc>
          <w:tcPr>
            <w:tcW w:w="1366" w:type="dxa"/>
          </w:tcPr>
          <w:p w14:paraId="1A646473" w14:textId="77777777" w:rsidR="007B6316" w:rsidRPr="00BC70F3" w:rsidRDefault="007B6316" w:rsidP="003C68C3">
            <w:pPr>
              <w:tabs>
                <w:tab w:val="left" w:pos="4111"/>
              </w:tabs>
              <w:spacing w:before="40" w:after="40"/>
              <w:ind w:left="57"/>
              <w:rPr>
                <w:szCs w:val="24"/>
              </w:rPr>
            </w:pPr>
            <w:r w:rsidRPr="00BC70F3">
              <w:rPr>
                <w:szCs w:val="24"/>
              </w:rPr>
              <w:t>Fax:</w:t>
            </w:r>
          </w:p>
        </w:tc>
        <w:tc>
          <w:tcPr>
            <w:tcW w:w="3609" w:type="dxa"/>
            <w:gridSpan w:val="2"/>
          </w:tcPr>
          <w:p w14:paraId="186E5B02" w14:textId="77777777" w:rsidR="007B6316" w:rsidRPr="00BC70F3" w:rsidRDefault="007B6316" w:rsidP="003C68C3">
            <w:pPr>
              <w:tabs>
                <w:tab w:val="left" w:pos="4111"/>
              </w:tabs>
              <w:spacing w:before="40" w:after="40"/>
              <w:ind w:left="57"/>
              <w:rPr>
                <w:bCs/>
              </w:rPr>
            </w:pPr>
            <w:r w:rsidRPr="00BC70F3">
              <w:rPr>
                <w:bCs/>
              </w:rPr>
              <w:t>+41 22 730 5853</w:t>
            </w:r>
          </w:p>
        </w:tc>
        <w:tc>
          <w:tcPr>
            <w:tcW w:w="4835" w:type="dxa"/>
            <w:vMerge/>
          </w:tcPr>
          <w:p w14:paraId="5CA61D4A" w14:textId="77777777" w:rsidR="007B6316" w:rsidRDefault="007B6316" w:rsidP="00303D62">
            <w:pPr>
              <w:tabs>
                <w:tab w:val="left" w:pos="4111"/>
              </w:tabs>
              <w:spacing w:before="0"/>
              <w:rPr>
                <w:b/>
              </w:rPr>
            </w:pPr>
          </w:p>
        </w:tc>
      </w:tr>
      <w:tr w:rsidR="00C34772" w14:paraId="6AE43F75" w14:textId="77777777" w:rsidTr="002F2402">
        <w:trPr>
          <w:cantSplit/>
        </w:trPr>
        <w:tc>
          <w:tcPr>
            <w:tcW w:w="1366" w:type="dxa"/>
          </w:tcPr>
          <w:p w14:paraId="04F1A427" w14:textId="77777777" w:rsidR="00C34772" w:rsidRPr="003C68C3" w:rsidRDefault="00C34772" w:rsidP="003C68C3">
            <w:pPr>
              <w:tabs>
                <w:tab w:val="left" w:pos="4111"/>
              </w:tabs>
              <w:spacing w:before="40" w:after="40"/>
              <w:ind w:left="57"/>
              <w:rPr>
                <w:szCs w:val="24"/>
              </w:rPr>
            </w:pPr>
            <w:r w:rsidRPr="003C68C3">
              <w:rPr>
                <w:szCs w:val="24"/>
              </w:rPr>
              <w:t>Correo-e:</w:t>
            </w:r>
          </w:p>
        </w:tc>
        <w:tc>
          <w:tcPr>
            <w:tcW w:w="3609" w:type="dxa"/>
            <w:gridSpan w:val="2"/>
          </w:tcPr>
          <w:p w14:paraId="45330DD0" w14:textId="02D4D317" w:rsidR="00C34772" w:rsidRDefault="00F920A9" w:rsidP="003C68C3">
            <w:pPr>
              <w:tabs>
                <w:tab w:val="left" w:pos="4111"/>
              </w:tabs>
              <w:spacing w:before="40" w:after="40"/>
              <w:ind w:left="57"/>
            </w:pPr>
            <w:hyperlink r:id="rId9" w:history="1">
              <w:r w:rsidR="00BC70F3" w:rsidRPr="00F9239A">
                <w:rPr>
                  <w:rStyle w:val="Hyperlink"/>
                </w:rPr>
                <w:t>tsbevents@itu.int</w:t>
              </w:r>
            </w:hyperlink>
          </w:p>
        </w:tc>
        <w:tc>
          <w:tcPr>
            <w:tcW w:w="4835" w:type="dxa"/>
          </w:tcPr>
          <w:p w14:paraId="52A5AD64" w14:textId="77777777" w:rsidR="00C34772" w:rsidRDefault="00C34772" w:rsidP="003C68C3">
            <w:pPr>
              <w:tabs>
                <w:tab w:val="left" w:pos="4111"/>
              </w:tabs>
              <w:spacing w:before="40"/>
              <w:ind w:left="57"/>
            </w:pPr>
            <w:r>
              <w:rPr>
                <w:b/>
              </w:rPr>
              <w:t>Copia</w:t>
            </w:r>
            <w:r>
              <w:t>:</w:t>
            </w:r>
          </w:p>
          <w:p w14:paraId="003E4E74" w14:textId="1929E58B" w:rsidR="00BC70F3" w:rsidRDefault="00BC70F3" w:rsidP="003C68C3">
            <w:pPr>
              <w:tabs>
                <w:tab w:val="clear" w:pos="794"/>
                <w:tab w:val="left" w:pos="360"/>
                <w:tab w:val="left" w:pos="4111"/>
              </w:tabs>
              <w:spacing w:before="0"/>
              <w:ind w:left="360" w:hanging="303"/>
            </w:pPr>
            <w:r>
              <w:t>–</w:t>
            </w:r>
            <w:r>
              <w:tab/>
              <w:t>a los Presidentes y Vicepresidentes de las Comisiones de Estudio;</w:t>
            </w:r>
          </w:p>
          <w:p w14:paraId="7154623F" w14:textId="7CA4CB83" w:rsidR="00BC70F3" w:rsidRDefault="00BC70F3" w:rsidP="003C68C3">
            <w:pPr>
              <w:tabs>
                <w:tab w:val="clear" w:pos="794"/>
                <w:tab w:val="left" w:pos="360"/>
                <w:tab w:val="left" w:pos="4111"/>
              </w:tabs>
              <w:spacing w:before="0"/>
              <w:ind w:left="360" w:hanging="303"/>
            </w:pPr>
            <w:r>
              <w:t>–</w:t>
            </w:r>
            <w:r>
              <w:tab/>
              <w:t>a la Directora de la Oficina de Desarrollo de las Telecomunicaciones;</w:t>
            </w:r>
          </w:p>
          <w:p w14:paraId="4D4A0E3D" w14:textId="55D8F7FD" w:rsidR="00BC70F3" w:rsidRDefault="00BC70F3" w:rsidP="003C68C3">
            <w:pPr>
              <w:tabs>
                <w:tab w:val="clear" w:pos="794"/>
                <w:tab w:val="left" w:pos="360"/>
                <w:tab w:val="left" w:pos="4111"/>
              </w:tabs>
              <w:spacing w:before="0"/>
              <w:ind w:left="360" w:hanging="303"/>
            </w:pPr>
            <w:r>
              <w:t>–</w:t>
            </w:r>
            <w:r>
              <w:tab/>
              <w:t>al Director de la Oficina de Radiocomunicaciones</w:t>
            </w:r>
            <w:r w:rsidR="003C68C3">
              <w:t>;</w:t>
            </w:r>
          </w:p>
          <w:p w14:paraId="44D2ED3E" w14:textId="632D69D6" w:rsidR="00C34772" w:rsidRDefault="00BC70F3" w:rsidP="003C68C3">
            <w:pPr>
              <w:tabs>
                <w:tab w:val="clear" w:pos="794"/>
                <w:tab w:val="left" w:pos="360"/>
                <w:tab w:val="left" w:pos="4111"/>
              </w:tabs>
              <w:spacing w:before="0"/>
              <w:ind w:left="360" w:hanging="303"/>
            </w:pPr>
            <w:r>
              <w:t>–</w:t>
            </w:r>
            <w:r>
              <w:tab/>
              <w:t>a los Directores de las Oficinas Regionales de la</w:t>
            </w:r>
            <w:r w:rsidR="003C68C3">
              <w:t> </w:t>
            </w:r>
            <w:r>
              <w:t>UIT</w:t>
            </w:r>
          </w:p>
        </w:tc>
      </w:tr>
      <w:tr w:rsidR="007B6316" w14:paraId="08989BD7" w14:textId="77777777" w:rsidTr="002F2402">
        <w:trPr>
          <w:cantSplit/>
        </w:trPr>
        <w:tc>
          <w:tcPr>
            <w:tcW w:w="1366" w:type="dxa"/>
          </w:tcPr>
          <w:p w14:paraId="516366D6" w14:textId="77777777" w:rsidR="007B6316" w:rsidRPr="003C68C3" w:rsidRDefault="007B6316" w:rsidP="003C68C3">
            <w:pPr>
              <w:tabs>
                <w:tab w:val="left" w:pos="4111"/>
              </w:tabs>
              <w:spacing w:after="40"/>
              <w:ind w:left="57"/>
              <w:rPr>
                <w:szCs w:val="24"/>
              </w:rPr>
            </w:pPr>
            <w:r w:rsidRPr="002F2402">
              <w:rPr>
                <w:b/>
                <w:bCs/>
                <w:szCs w:val="24"/>
              </w:rPr>
              <w:t>Asunto</w:t>
            </w:r>
            <w:r w:rsidRPr="003C68C3">
              <w:rPr>
                <w:szCs w:val="24"/>
              </w:rPr>
              <w:t>:</w:t>
            </w:r>
          </w:p>
        </w:tc>
        <w:tc>
          <w:tcPr>
            <w:tcW w:w="8444" w:type="dxa"/>
            <w:gridSpan w:val="3"/>
          </w:tcPr>
          <w:p w14:paraId="6D6CF8FB" w14:textId="3B9107E2" w:rsidR="007B6316" w:rsidRDefault="00BC70F3" w:rsidP="003C68C3">
            <w:pPr>
              <w:tabs>
                <w:tab w:val="left" w:pos="4111"/>
              </w:tabs>
              <w:spacing w:after="40"/>
              <w:ind w:left="57"/>
              <w:rPr>
                <w:b/>
              </w:rPr>
            </w:pPr>
            <w:r w:rsidRPr="00BC70F3">
              <w:rPr>
                <w:b/>
              </w:rPr>
              <w:t>Serie de webinarios sobre las perspectivas de los servicios financieros digitales durante la COVID-19 (reuniones plenamente virtuales, 10 y 27 de julio de 2020)</w:t>
            </w:r>
          </w:p>
        </w:tc>
      </w:tr>
    </w:tbl>
    <w:p w14:paraId="619F34E3" w14:textId="3FF2EC13"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r w:rsidR="002F2402">
        <w:t>,</w:t>
      </w:r>
    </w:p>
    <w:p w14:paraId="23FF42C6" w14:textId="77777777" w:rsidR="00BC70F3" w:rsidRPr="00BC70F3" w:rsidRDefault="00BC70F3" w:rsidP="00BC70F3">
      <w:r w:rsidRPr="00BC70F3">
        <w:rPr>
          <w:bCs/>
        </w:rPr>
        <w:t>1</w:t>
      </w:r>
      <w:r w:rsidRPr="00BC70F3">
        <w:tab/>
        <w:t xml:space="preserve">La Unión Internacional de Telecomunicaciones (UIT) continúa con la serie de webinarios sobre </w:t>
      </w:r>
      <w:hyperlink r:id="rId10" w:history="1">
        <w:r w:rsidRPr="00BC70F3">
          <w:rPr>
            <w:rStyle w:val="Hyperlink"/>
          </w:rPr>
          <w:t>Perspectivas de los servicios financieros digitales (SFD) durante la COVID-19</w:t>
        </w:r>
      </w:hyperlink>
      <w:r w:rsidRPr="00BC70F3">
        <w:t xml:space="preserve"> con el objetivo de debatir acerca de las aplicaciones innovadoras de los servicios de telecomunicaciones, los pagos digitales y la tecnología financiera, abordando los desafíos ligados al distanciamiento social activados como consecuencia de la COVID-19. Los webinarios servirán para compartir las enseñanzas extraídas por los países y las partes interesadas de los SFD acerca de las distintas medidas que se están aplicando. Los episodios siguientes de la serie de webinarios para el mes de julio tratarán de los siguientes temas:</w:t>
      </w:r>
    </w:p>
    <w:p w14:paraId="12B16C71" w14:textId="56D52C17" w:rsidR="00BC70F3" w:rsidRPr="00BC70F3" w:rsidRDefault="00BC70F3" w:rsidP="00BC70F3">
      <w:pPr>
        <w:pStyle w:val="enumlev1"/>
      </w:pPr>
      <w:bookmarkStart w:id="4" w:name="lt_pId057"/>
      <w:r w:rsidRPr="00BC70F3">
        <w:t>a)</w:t>
      </w:r>
      <w:bookmarkEnd w:id="4"/>
      <w:r w:rsidRPr="00BC70F3">
        <w:tab/>
      </w:r>
      <w:bookmarkStart w:id="5" w:name="lt_pId058"/>
      <w:r w:rsidRPr="00BC70F3">
        <w:t xml:space="preserve">Episodio 9: </w:t>
      </w:r>
      <w:r w:rsidRPr="00BC70F3">
        <w:rPr>
          <w:b/>
          <w:bCs/>
        </w:rPr>
        <w:t>Rastreo de los delitos y fraudes financieros digitales</w:t>
      </w:r>
      <w:r w:rsidRPr="00BC70F3">
        <w:t xml:space="preserve"> – el día 10 de julio de</w:t>
      </w:r>
      <w:r w:rsidR="003C68C3">
        <w:t> </w:t>
      </w:r>
      <w:r w:rsidRPr="00BC70F3">
        <w:t>2020 de las 15</w:t>
      </w:r>
      <w:bookmarkEnd w:id="5"/>
      <w:r w:rsidRPr="00BC70F3">
        <w:t>.00 a las 16</w:t>
      </w:r>
      <w:bookmarkStart w:id="6" w:name="lt_pId060"/>
      <w:r w:rsidRPr="00BC70F3">
        <w:t>.30 horas CEST</w:t>
      </w:r>
      <w:bookmarkEnd w:id="6"/>
      <w:r w:rsidRPr="00BC70F3">
        <w:t>.</w:t>
      </w:r>
    </w:p>
    <w:p w14:paraId="3B99DB9B" w14:textId="77777777" w:rsidR="00BC70F3" w:rsidRPr="00BC70F3" w:rsidRDefault="00BC70F3" w:rsidP="00BC70F3">
      <w:pPr>
        <w:pStyle w:val="enumlev1"/>
      </w:pPr>
      <w:bookmarkStart w:id="7" w:name="lt_pId061"/>
      <w:r w:rsidRPr="00BC70F3">
        <w:t>b)</w:t>
      </w:r>
      <w:bookmarkEnd w:id="7"/>
      <w:r w:rsidRPr="00BC70F3">
        <w:tab/>
      </w:r>
      <w:bookmarkStart w:id="8" w:name="lt_pId062"/>
      <w:r w:rsidRPr="00BC70F3">
        <w:t xml:space="preserve">Episodio 10: </w:t>
      </w:r>
      <w:r w:rsidRPr="00510A7A">
        <w:rPr>
          <w:b/>
          <w:bCs/>
        </w:rPr>
        <w:t>Requisitos de interoperabilidad y resiliencia de los sistemas de pago digitales</w:t>
      </w:r>
      <w:r w:rsidRPr="00BC70F3">
        <w:t xml:space="preserve"> – el día 27 de julio de 2020 de las </w:t>
      </w:r>
      <w:bookmarkStart w:id="9" w:name="lt_pId064"/>
      <w:bookmarkEnd w:id="8"/>
      <w:r w:rsidRPr="00BC70F3">
        <w:t>15.30 a las 17.00 horas CEST</w:t>
      </w:r>
      <w:bookmarkEnd w:id="9"/>
      <w:r w:rsidRPr="00BC70F3">
        <w:t>.</w:t>
      </w:r>
    </w:p>
    <w:p w14:paraId="188A97C3" w14:textId="6A4DE791" w:rsidR="00BC70F3" w:rsidRPr="00BC70F3" w:rsidRDefault="00BC70F3" w:rsidP="00BC70F3">
      <w:r w:rsidRPr="00BC70F3">
        <w:t>2</w:t>
      </w:r>
      <w:r w:rsidRPr="00BC70F3">
        <w:tab/>
        <w:t>En el noveno episodio sobre "</w:t>
      </w:r>
      <w:r w:rsidRPr="00BC70F3">
        <w:rPr>
          <w:b/>
          <w:bCs/>
        </w:rPr>
        <w:t>Rastreo de los delitos y fraudes financieros digitales</w:t>
      </w:r>
      <w:r w:rsidRPr="00BC70F3">
        <w:rPr>
          <w:bCs/>
        </w:rPr>
        <w:t>",</w:t>
      </w:r>
      <w:r w:rsidRPr="00BC70F3">
        <w:t xml:space="preserve"> se estudiará cómo los estafadores están aprovechando el aumento del miedo y la incertidumbre durante la pandemia de </w:t>
      </w:r>
      <w:r w:rsidR="00510A7A">
        <w:t xml:space="preserve">la </w:t>
      </w:r>
      <w:r w:rsidRPr="00BC70F3">
        <w:t xml:space="preserve">COVID-19 para robar dinero. Se sabe que los estafadores atraen a los clientes a partir de sitios de comercio electrónico de confianza ofreciendo productos que afirman evitar </w:t>
      </w:r>
      <w:r w:rsidR="00510A7A">
        <w:t>la</w:t>
      </w:r>
      <w:r w:rsidRPr="00BC70F3">
        <w:t xml:space="preserve"> COVID-19 llevándolos a sitios de mensajería no relacionados y no regulados para que acepten el pago en criptodivisas por productos que en realidad no existen. La sesión proporcionará una visión de las herramientas que pueden utilizarse para el seguimiento del fraude de los delitos financieros digitales.</w:t>
      </w:r>
    </w:p>
    <w:p w14:paraId="72ACD454" w14:textId="025424D1" w:rsidR="00BC70F3" w:rsidRPr="00BC70F3" w:rsidRDefault="00BC70F3" w:rsidP="003C68C3">
      <w:pPr>
        <w:keepNext/>
        <w:keepLines/>
      </w:pPr>
      <w:r w:rsidRPr="00BC70F3">
        <w:lastRenderedPageBreak/>
        <w:t>3</w:t>
      </w:r>
      <w:r w:rsidRPr="00BC70F3">
        <w:tab/>
        <w:t xml:space="preserve">En el décimo episodio se examinará el tema de los </w:t>
      </w:r>
      <w:r w:rsidRPr="00BC70F3">
        <w:rPr>
          <w:b/>
          <w:bCs/>
        </w:rPr>
        <w:t>Requisitos de interoperabilidad y resiliencia de los sistemas de pago digitales</w:t>
      </w:r>
      <w:r w:rsidRPr="00BC70F3">
        <w:t>. Lo más probable es que l</w:t>
      </w:r>
      <w:r w:rsidR="00510A7A">
        <w:t>a</w:t>
      </w:r>
      <w:r w:rsidRPr="00BC70F3">
        <w:t xml:space="preserve"> COVID-19 provoque una creciente demanda de pagos digitales en todo el mundo. Esto dará lugar, inadvertidamente, a importantes desafíos para los gobiernos y los proveedores de servicios financieros digitales de las economías emergentes. Durante la crisis del coronavirus, los pagos digitales han mantenido las economías en funcionamiento y han ayudado a las personas a reducir el contacto con el virus. Los pagos digitales sin contacto en el punto de venta, por ejemplo</w:t>
      </w:r>
      <w:r w:rsidR="00090CAC">
        <w:t>,</w:t>
      </w:r>
      <w:r w:rsidRPr="00BC70F3">
        <w:t xml:space="preserve"> mediante el reconocimiento facial, los códigos de respuesta rápida (QR) o las comunicaciones de campo cercano (NFC), han reducido el riesgo de que el virus se propague a través de los intercambios de dinero. Sin embargo, para lograr beneficios de escala, los gobiernos y los comerciantes tendrán que adoptar pagos digitales interoperables, gestionar los riesgos en el ecosistema de teléfonos móviles y pagos y poder integrar diferentes sistemas de pago para reducir la necesidad de intercambios de dinero en efectivo. A este respecto, es necesario que la infraestructura de pagos digitales sea interoperable y que incorpore resiliencia, a fin de responder al aumento de la demanda y a la diversidad de sistemas de pago. En esta sesión se examinarán las diferentes medidas relativas a la interoperabilidad, la resiliencia y la infraestructura que pueden aprovecharse para crear un sistema de pago digital sólido.</w:t>
      </w:r>
    </w:p>
    <w:p w14:paraId="6B5A7C85" w14:textId="19D0AEC4" w:rsidR="00BC70F3" w:rsidRPr="00BC70F3" w:rsidRDefault="00BC70F3" w:rsidP="00BC70F3">
      <w:r w:rsidRPr="00BC70F3">
        <w:t>4</w:t>
      </w:r>
      <w:r w:rsidRPr="00BC70F3">
        <w:tab/>
        <w:t>La participación en estos webinarios está abierta a los Estados Miembros, Miembros de Sector, Asociados e Instituciones Académicas de la UIT, y a cualquier persona de un país que sea miembro de la UIT y desee contribuir a los trabajos. Esto incluye a las personas que también sean miembros de organizaciones nacionales, regionales e internacionales.</w:t>
      </w:r>
    </w:p>
    <w:p w14:paraId="0967EAA3" w14:textId="77777777" w:rsidR="00BC70F3" w:rsidRPr="00BC70F3" w:rsidRDefault="00BC70F3" w:rsidP="00BC70F3">
      <w:r w:rsidRPr="00BC70F3">
        <w:t>5</w:t>
      </w:r>
      <w:r w:rsidRPr="00BC70F3">
        <w:tab/>
        <w:t xml:space="preserve">Toda la información pertinente relativa a los webinarios, (oradores, enlaces de inscripción, detalles de la conexión a distancia) estará disponible en la </w:t>
      </w:r>
      <w:hyperlink r:id="rId11" w:history="1">
        <w:r w:rsidRPr="00BC70F3">
          <w:rPr>
            <w:rStyle w:val="Hyperlink"/>
          </w:rPr>
          <w:t>página principal de acceso</w:t>
        </w:r>
      </w:hyperlink>
      <w:r w:rsidRPr="00BC70F3">
        <w:t xml:space="preserve"> y en los respectivos sitios web de los eventos que figuran más abajo. </w:t>
      </w:r>
      <w:hyperlink r:id="rId12" w:history="1"/>
      <w:r w:rsidRPr="00BC70F3">
        <w:t>Estos sitios web se pondrán periódicamente al día a medida que se disponga de información nueva o modificada. Se ruega a los participantes que comprueben regularmente las actualizaciones de las páginas web de los episodios.</w:t>
      </w:r>
    </w:p>
    <w:p w14:paraId="72A12D7A" w14:textId="77777777" w:rsidR="00BC70F3" w:rsidRPr="00BC70F3" w:rsidRDefault="00BC70F3" w:rsidP="003C68C3">
      <w:pPr>
        <w:pStyle w:val="enumlev1"/>
      </w:pPr>
      <w:r w:rsidRPr="00BC70F3">
        <w:t>•</w:t>
      </w:r>
      <w:r w:rsidRPr="00BC70F3">
        <w:tab/>
        <w:t xml:space="preserve">Episodio 9: </w:t>
      </w:r>
      <w:hyperlink r:id="rId13" w:history="1">
        <w:r w:rsidRPr="00BC70F3">
          <w:rPr>
            <w:rStyle w:val="Hyperlink"/>
            <w:lang w:val="en-GB"/>
          </w:rPr>
          <w:t>https://www.itu.int/en/ITU-T/webinars/20200710/Pages/default.aspx</w:t>
        </w:r>
      </w:hyperlink>
      <w:r w:rsidRPr="00BC70F3">
        <w:t>.</w:t>
      </w:r>
    </w:p>
    <w:p w14:paraId="2C5A9F5A" w14:textId="77777777" w:rsidR="00BC70F3" w:rsidRPr="00BC70F3" w:rsidRDefault="00BC70F3" w:rsidP="003C68C3">
      <w:pPr>
        <w:pStyle w:val="enumlev1"/>
      </w:pPr>
      <w:r w:rsidRPr="00BC70F3">
        <w:t>•</w:t>
      </w:r>
      <w:r w:rsidRPr="00BC70F3">
        <w:tab/>
        <w:t xml:space="preserve">Episodio 10: </w:t>
      </w:r>
      <w:hyperlink r:id="rId14" w:history="1">
        <w:r w:rsidRPr="00BC70F3">
          <w:rPr>
            <w:rStyle w:val="Hyperlink"/>
            <w:lang w:val="en-GB"/>
          </w:rPr>
          <w:t>https://www.itu.int/en/ITU-T/webinars/20200727/Pages/default.aspx</w:t>
        </w:r>
      </w:hyperlink>
      <w:r w:rsidRPr="00BC70F3">
        <w:t>.</w:t>
      </w:r>
    </w:p>
    <w:p w14:paraId="6E34F919" w14:textId="0CA1916B" w:rsidR="007B6316" w:rsidRPr="00081FE5" w:rsidRDefault="007B6316" w:rsidP="007B6316">
      <w:r w:rsidRPr="00081FE5">
        <w:t>Atentamente,</w:t>
      </w:r>
    </w:p>
    <w:p w14:paraId="54B4C021" w14:textId="2D546E4B" w:rsidR="007B6316" w:rsidRPr="00081FE5" w:rsidRDefault="00F920A9" w:rsidP="002F2402">
      <w:pPr>
        <w:spacing w:before="960"/>
      </w:pPr>
      <w:r>
        <w:rPr>
          <w:noProof/>
        </w:rPr>
        <w:drawing>
          <wp:anchor distT="0" distB="0" distL="114300" distR="114300" simplePos="0" relativeHeight="251658240" behindDoc="1" locked="0" layoutInCell="1" allowOverlap="1" wp14:anchorId="206A5BF9" wp14:editId="6DF1F859">
            <wp:simplePos x="0" y="0"/>
            <wp:positionH relativeFrom="column">
              <wp:posOffset>3810</wp:posOffset>
            </wp:positionH>
            <wp:positionV relativeFrom="paragraph">
              <wp:posOffset>145575</wp:posOffset>
            </wp:positionV>
            <wp:extent cx="828675" cy="373220"/>
            <wp:effectExtent l="0" t="0" r="0" b="8255"/>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5">
                      <a:extLst>
                        <a:ext uri="{28A0092B-C50C-407E-A947-70E740481C1C}">
                          <a14:useLocalDpi xmlns:a14="http://schemas.microsoft.com/office/drawing/2010/main" val="0"/>
                        </a:ext>
                      </a:extLst>
                    </a:blip>
                    <a:stretch>
                      <a:fillRect/>
                    </a:stretch>
                  </pic:blipFill>
                  <pic:spPr>
                    <a:xfrm>
                      <a:off x="0" y="0"/>
                      <a:ext cx="838415" cy="377607"/>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sectPr w:rsidR="007B6316" w:rsidRPr="00081FE5"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CF4CA" w14:textId="77777777" w:rsidR="00F603D1" w:rsidRDefault="00F603D1">
      <w:r>
        <w:separator/>
      </w:r>
    </w:p>
  </w:endnote>
  <w:endnote w:type="continuationSeparator" w:id="0">
    <w:p w14:paraId="5EE5F216" w14:textId="77777777" w:rsidR="00F603D1" w:rsidRDefault="00F6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054C" w14:textId="4ADA57D3"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BC70F3">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C532B" w14:textId="77777777" w:rsidR="00F603D1" w:rsidRDefault="00F603D1">
      <w:r>
        <w:t>____________________</w:t>
      </w:r>
    </w:p>
  </w:footnote>
  <w:footnote w:type="continuationSeparator" w:id="0">
    <w:p w14:paraId="061F755A" w14:textId="77777777" w:rsidR="00F603D1" w:rsidRDefault="00F6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8647B" w14:textId="3542483F"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BC70F3">
      <w:rPr>
        <w:rStyle w:val="PageNumber"/>
        <w:sz w:val="18"/>
        <w:szCs w:val="18"/>
      </w:rPr>
      <w:br/>
      <w:t>Circular TSB 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F3"/>
    <w:rsid w:val="00002529"/>
    <w:rsid w:val="00085662"/>
    <w:rsid w:val="00090CAC"/>
    <w:rsid w:val="000C382F"/>
    <w:rsid w:val="001173CC"/>
    <w:rsid w:val="0014464D"/>
    <w:rsid w:val="001A54CC"/>
    <w:rsid w:val="00257FB4"/>
    <w:rsid w:val="002E496E"/>
    <w:rsid w:val="002F2402"/>
    <w:rsid w:val="00303D62"/>
    <w:rsid w:val="00335367"/>
    <w:rsid w:val="00370C2D"/>
    <w:rsid w:val="003C68C3"/>
    <w:rsid w:val="003D1E8D"/>
    <w:rsid w:val="003D673B"/>
    <w:rsid w:val="003F2855"/>
    <w:rsid w:val="00401C20"/>
    <w:rsid w:val="004A7957"/>
    <w:rsid w:val="004C4144"/>
    <w:rsid w:val="00510A7A"/>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BC70F3"/>
    <w:rsid w:val="00C116FE"/>
    <w:rsid w:val="00C13920"/>
    <w:rsid w:val="00C17AC0"/>
    <w:rsid w:val="00C34772"/>
    <w:rsid w:val="00C5465A"/>
    <w:rsid w:val="00D54642"/>
    <w:rsid w:val="00DD77C9"/>
    <w:rsid w:val="00DF3538"/>
    <w:rsid w:val="00E839B0"/>
    <w:rsid w:val="00E92C09"/>
    <w:rsid w:val="00F14380"/>
    <w:rsid w:val="00F603D1"/>
    <w:rsid w:val="00F6461F"/>
    <w:rsid w:val="00F920A9"/>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D6F3C"/>
  <w15:docId w15:val="{7918358A-EAEA-46A3-9442-7CE6B96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BC7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710/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webinars/Pages/df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ebinars/20200727/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8A75-0E0E-4CAD-A281-3281FC06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37</TotalTime>
  <Pages>2</Pages>
  <Words>787</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5620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5</cp:revision>
  <cp:lastPrinted>2020-07-01T11:52:00Z</cp:lastPrinted>
  <dcterms:created xsi:type="dcterms:W3CDTF">2020-07-01T08:37:00Z</dcterms:created>
  <dcterms:modified xsi:type="dcterms:W3CDTF">2020-07-01T11:53:00Z</dcterms:modified>
</cp:coreProperties>
</file>