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8" w:type="dxa"/>
        <w:tblLayout w:type="fixed"/>
        <w:tblCellMar>
          <w:left w:w="0" w:type="dxa"/>
          <w:right w:w="0" w:type="dxa"/>
        </w:tblCellMar>
        <w:tblLook w:val="0000" w:firstRow="0" w:lastRow="0" w:firstColumn="0" w:lastColumn="0" w:noHBand="0" w:noVBand="0"/>
      </w:tblPr>
      <w:tblGrid>
        <w:gridCol w:w="8"/>
        <w:gridCol w:w="984"/>
        <w:gridCol w:w="591"/>
        <w:gridCol w:w="566"/>
        <w:gridCol w:w="2897"/>
        <w:gridCol w:w="2909"/>
        <w:gridCol w:w="2131"/>
        <w:gridCol w:w="12"/>
      </w:tblGrid>
      <w:tr w:rsidR="00036F4F" w:rsidRPr="00257102" w14:paraId="0DE2CA38" w14:textId="77777777" w:rsidTr="00B74995">
        <w:trPr>
          <w:gridAfter w:val="1"/>
          <w:wAfter w:w="12" w:type="dxa"/>
          <w:cantSplit/>
        </w:trPr>
        <w:tc>
          <w:tcPr>
            <w:tcW w:w="1583" w:type="dxa"/>
            <w:gridSpan w:val="3"/>
            <w:vAlign w:val="center"/>
          </w:tcPr>
          <w:p w14:paraId="672ADDD4" w14:textId="77777777" w:rsidR="00036F4F" w:rsidRPr="00257102" w:rsidRDefault="00036F4F" w:rsidP="00D14F31">
            <w:pPr>
              <w:tabs>
                <w:tab w:val="right" w:pos="8732"/>
              </w:tabs>
              <w:spacing w:before="0"/>
              <w:rPr>
                <w:b/>
                <w:bCs/>
                <w:iCs/>
                <w:color w:val="FFFFFF"/>
                <w:sz w:val="30"/>
                <w:szCs w:val="30"/>
              </w:rPr>
            </w:pPr>
            <w:r w:rsidRPr="00257102">
              <w:rPr>
                <w:noProof/>
                <w:lang w:eastAsia="zh-CN"/>
              </w:rPr>
              <w:drawing>
                <wp:inline distT="0" distB="0" distL="0" distR="0" wp14:anchorId="45F216C7" wp14:editId="7360ACE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2" w:type="dxa"/>
            <w:gridSpan w:val="3"/>
            <w:vAlign w:val="center"/>
          </w:tcPr>
          <w:p w14:paraId="728CFF4E" w14:textId="77777777" w:rsidR="00036F4F" w:rsidRPr="00257102" w:rsidRDefault="00036F4F" w:rsidP="00D14F31">
            <w:pPr>
              <w:spacing w:before="0"/>
              <w:rPr>
                <w:rFonts w:cs="Times New Roman Bold"/>
                <w:b/>
                <w:bCs/>
                <w:iCs/>
                <w:smallCaps/>
                <w:sz w:val="34"/>
                <w:szCs w:val="34"/>
              </w:rPr>
            </w:pPr>
            <w:r w:rsidRPr="00257102">
              <w:rPr>
                <w:rFonts w:cs="Times New Roman Bold"/>
                <w:b/>
                <w:bCs/>
                <w:iCs/>
                <w:smallCaps/>
                <w:sz w:val="34"/>
                <w:szCs w:val="34"/>
              </w:rPr>
              <w:t>Union internationale des télécommunications</w:t>
            </w:r>
          </w:p>
          <w:p w14:paraId="262B45C1" w14:textId="77777777" w:rsidR="00036F4F" w:rsidRPr="00257102" w:rsidRDefault="00036F4F" w:rsidP="00D14F31">
            <w:pPr>
              <w:tabs>
                <w:tab w:val="right" w:pos="8732"/>
              </w:tabs>
              <w:spacing w:before="0"/>
              <w:rPr>
                <w:b/>
                <w:bCs/>
                <w:iCs/>
                <w:color w:val="FFFFFF"/>
                <w:sz w:val="30"/>
                <w:szCs w:val="30"/>
              </w:rPr>
            </w:pPr>
            <w:r w:rsidRPr="00257102">
              <w:rPr>
                <w:rFonts w:cs="Times New Roman Bold"/>
                <w:b/>
                <w:bCs/>
                <w:iCs/>
                <w:smallCaps/>
                <w:sz w:val="28"/>
                <w:szCs w:val="28"/>
              </w:rPr>
              <w:t>B</w:t>
            </w:r>
            <w:r w:rsidRPr="00257102">
              <w:rPr>
                <w:b/>
                <w:bCs/>
                <w:iCs/>
                <w:smallCaps/>
                <w:sz w:val="28"/>
                <w:szCs w:val="28"/>
              </w:rPr>
              <w:t>ureau de la Normalisation des Télécommunications</w:t>
            </w:r>
          </w:p>
        </w:tc>
        <w:tc>
          <w:tcPr>
            <w:tcW w:w="2131" w:type="dxa"/>
            <w:vAlign w:val="center"/>
          </w:tcPr>
          <w:p w14:paraId="651FBEAC" w14:textId="77777777" w:rsidR="00036F4F" w:rsidRPr="00257102" w:rsidRDefault="00036F4F" w:rsidP="00D14F31">
            <w:pPr>
              <w:spacing w:before="0"/>
              <w:jc w:val="right"/>
              <w:rPr>
                <w:color w:val="FFFFFF"/>
                <w:sz w:val="26"/>
                <w:szCs w:val="26"/>
              </w:rPr>
            </w:pPr>
          </w:p>
        </w:tc>
      </w:tr>
      <w:tr w:rsidR="00036F4F" w:rsidRPr="00257102" w14:paraId="4A1C7735" w14:textId="77777777" w:rsidTr="00B74995">
        <w:trPr>
          <w:gridBefore w:val="1"/>
          <w:wBefore w:w="8" w:type="dxa"/>
          <w:cantSplit/>
        </w:trPr>
        <w:tc>
          <w:tcPr>
            <w:tcW w:w="2141" w:type="dxa"/>
            <w:gridSpan w:val="3"/>
          </w:tcPr>
          <w:p w14:paraId="507471E0" w14:textId="77777777" w:rsidR="00036F4F" w:rsidRPr="00257102" w:rsidRDefault="00036F4F" w:rsidP="00A5280F">
            <w:pPr>
              <w:tabs>
                <w:tab w:val="left" w:pos="4111"/>
              </w:tabs>
              <w:spacing w:before="10"/>
              <w:ind w:left="57"/>
            </w:pPr>
          </w:p>
        </w:tc>
        <w:tc>
          <w:tcPr>
            <w:tcW w:w="2897" w:type="dxa"/>
          </w:tcPr>
          <w:p w14:paraId="1E418CAC" w14:textId="77777777" w:rsidR="00036F4F" w:rsidRPr="00257102" w:rsidRDefault="00036F4F" w:rsidP="00A5280F">
            <w:pPr>
              <w:tabs>
                <w:tab w:val="left" w:pos="4111"/>
              </w:tabs>
              <w:spacing w:before="10"/>
              <w:ind w:left="57"/>
              <w:rPr>
                <w:b/>
              </w:rPr>
            </w:pPr>
          </w:p>
        </w:tc>
        <w:tc>
          <w:tcPr>
            <w:tcW w:w="5052" w:type="dxa"/>
            <w:gridSpan w:val="3"/>
          </w:tcPr>
          <w:p w14:paraId="53BE6458" w14:textId="47B27864" w:rsidR="00036F4F" w:rsidRPr="00257102" w:rsidRDefault="00036F4F" w:rsidP="00A5645A">
            <w:pPr>
              <w:tabs>
                <w:tab w:val="clear" w:pos="794"/>
                <w:tab w:val="clear" w:pos="1191"/>
                <w:tab w:val="clear" w:pos="1588"/>
                <w:tab w:val="clear" w:pos="1985"/>
                <w:tab w:val="left" w:pos="284"/>
              </w:tabs>
              <w:spacing w:after="120"/>
              <w:ind w:left="284" w:hanging="227"/>
            </w:pPr>
            <w:r w:rsidRPr="00257102">
              <w:t>Genève, le</w:t>
            </w:r>
            <w:r w:rsidR="00B74995" w:rsidRPr="00257102">
              <w:t xml:space="preserve"> 29 </w:t>
            </w:r>
            <w:r w:rsidR="00EE12A8" w:rsidRPr="00257102">
              <w:t xml:space="preserve">juin </w:t>
            </w:r>
            <w:r w:rsidR="00B74995" w:rsidRPr="00257102">
              <w:t>2020</w:t>
            </w:r>
          </w:p>
        </w:tc>
      </w:tr>
      <w:tr w:rsidR="00B74995" w:rsidRPr="00257102" w14:paraId="2378BD52" w14:textId="77777777" w:rsidTr="00B74995">
        <w:trPr>
          <w:gridBefore w:val="1"/>
          <w:gridAfter w:val="1"/>
          <w:wBefore w:w="8" w:type="dxa"/>
          <w:wAfter w:w="12" w:type="dxa"/>
          <w:cantSplit/>
          <w:trHeight w:val="340"/>
        </w:trPr>
        <w:tc>
          <w:tcPr>
            <w:tcW w:w="984" w:type="dxa"/>
          </w:tcPr>
          <w:p w14:paraId="41161408" w14:textId="77777777" w:rsidR="00B74995" w:rsidRPr="00257102" w:rsidRDefault="00B74995" w:rsidP="00A5280F">
            <w:pPr>
              <w:tabs>
                <w:tab w:val="left" w:pos="4111"/>
              </w:tabs>
              <w:spacing w:before="10"/>
              <w:ind w:left="57"/>
              <w:rPr>
                <w:b/>
                <w:bCs/>
              </w:rPr>
            </w:pPr>
            <w:proofErr w:type="gramStart"/>
            <w:r w:rsidRPr="00257102">
              <w:rPr>
                <w:b/>
                <w:bCs/>
              </w:rPr>
              <w:t>Réf.:</w:t>
            </w:r>
            <w:proofErr w:type="gramEnd"/>
          </w:p>
          <w:p w14:paraId="070B4057" w14:textId="77777777" w:rsidR="00B74995" w:rsidRPr="00257102" w:rsidRDefault="00B74995" w:rsidP="00036F4F">
            <w:pPr>
              <w:tabs>
                <w:tab w:val="left" w:pos="4111"/>
              </w:tabs>
              <w:spacing w:before="10"/>
              <w:ind w:left="57"/>
              <w:rPr>
                <w:b/>
                <w:bCs/>
              </w:rPr>
            </w:pPr>
          </w:p>
        </w:tc>
        <w:tc>
          <w:tcPr>
            <w:tcW w:w="4054" w:type="dxa"/>
            <w:gridSpan w:val="3"/>
          </w:tcPr>
          <w:p w14:paraId="55AFFD61" w14:textId="2DFC5EA7" w:rsidR="00B74995" w:rsidRPr="00257102" w:rsidRDefault="00B74995" w:rsidP="00A5280F">
            <w:pPr>
              <w:tabs>
                <w:tab w:val="left" w:pos="4111"/>
              </w:tabs>
              <w:spacing w:before="10"/>
              <w:ind w:left="57"/>
              <w:rPr>
                <w:b/>
              </w:rPr>
            </w:pPr>
            <w:r w:rsidRPr="00257102">
              <w:rPr>
                <w:b/>
              </w:rPr>
              <w:t>Circulaire TSB 25</w:t>
            </w:r>
            <w:r w:rsidR="00EE12A8" w:rsidRPr="00257102">
              <w:rPr>
                <w:b/>
              </w:rPr>
              <w:t>7</w:t>
            </w:r>
          </w:p>
          <w:p w14:paraId="5B985FC8" w14:textId="20F8F2C7" w:rsidR="00B74995" w:rsidRPr="00257102" w:rsidRDefault="00B74995" w:rsidP="00036F4F">
            <w:pPr>
              <w:tabs>
                <w:tab w:val="left" w:pos="4111"/>
              </w:tabs>
              <w:spacing w:before="10"/>
              <w:ind w:left="57"/>
              <w:rPr>
                <w:b/>
              </w:rPr>
            </w:pPr>
          </w:p>
        </w:tc>
        <w:tc>
          <w:tcPr>
            <w:tcW w:w="5040" w:type="dxa"/>
            <w:gridSpan w:val="2"/>
            <w:vMerge w:val="restart"/>
          </w:tcPr>
          <w:p w14:paraId="63B8D22A" w14:textId="77777777" w:rsidR="00B74995" w:rsidRPr="00257102" w:rsidRDefault="00B74995" w:rsidP="00B74995">
            <w:pPr>
              <w:tabs>
                <w:tab w:val="clear" w:pos="794"/>
                <w:tab w:val="clear" w:pos="1191"/>
                <w:tab w:val="clear" w:pos="1588"/>
                <w:tab w:val="clear" w:pos="1985"/>
              </w:tabs>
              <w:spacing w:before="40" w:after="40"/>
              <w:ind w:left="283" w:hanging="391"/>
              <w:rPr>
                <w:szCs w:val="24"/>
              </w:rPr>
            </w:pPr>
            <w:bookmarkStart w:id="0" w:name="Addressee_F"/>
            <w:bookmarkEnd w:id="0"/>
            <w:r w:rsidRPr="00257102">
              <w:t>-</w:t>
            </w:r>
            <w:r w:rsidRPr="00257102">
              <w:tab/>
            </w:r>
            <w:r w:rsidRPr="00257102">
              <w:rPr>
                <w:szCs w:val="24"/>
              </w:rPr>
              <w:t xml:space="preserve">Aux Administrations des États Membres de </w:t>
            </w:r>
            <w:proofErr w:type="gramStart"/>
            <w:r w:rsidRPr="00257102">
              <w:rPr>
                <w:szCs w:val="24"/>
              </w:rPr>
              <w:t>l'Union;</w:t>
            </w:r>
            <w:proofErr w:type="gramEnd"/>
          </w:p>
          <w:p w14:paraId="446379AA" w14:textId="77777777" w:rsidR="00B74995" w:rsidRPr="00257102" w:rsidRDefault="00B74995" w:rsidP="00B74995">
            <w:pPr>
              <w:tabs>
                <w:tab w:val="clear" w:pos="794"/>
                <w:tab w:val="clear" w:pos="1191"/>
                <w:tab w:val="clear" w:pos="1588"/>
                <w:tab w:val="clear" w:pos="1985"/>
              </w:tabs>
              <w:spacing w:before="40" w:after="40"/>
              <w:ind w:left="283" w:hanging="391"/>
              <w:rPr>
                <w:szCs w:val="24"/>
              </w:rPr>
            </w:pPr>
            <w:r w:rsidRPr="00257102">
              <w:rPr>
                <w:szCs w:val="24"/>
              </w:rPr>
              <w:t>-</w:t>
            </w:r>
            <w:r w:rsidRPr="00257102">
              <w:rPr>
                <w:szCs w:val="24"/>
              </w:rPr>
              <w:tab/>
              <w:t>Aux Membres du Secteur de l'UIT-</w:t>
            </w:r>
            <w:proofErr w:type="gramStart"/>
            <w:r w:rsidRPr="00257102">
              <w:rPr>
                <w:szCs w:val="24"/>
              </w:rPr>
              <w:t>T;</w:t>
            </w:r>
            <w:proofErr w:type="gramEnd"/>
          </w:p>
          <w:p w14:paraId="373F4886" w14:textId="77777777" w:rsidR="00B74995" w:rsidRPr="00257102" w:rsidRDefault="00B74995" w:rsidP="00B74995">
            <w:pPr>
              <w:tabs>
                <w:tab w:val="clear" w:pos="794"/>
                <w:tab w:val="clear" w:pos="1191"/>
                <w:tab w:val="clear" w:pos="1588"/>
                <w:tab w:val="clear" w:pos="1985"/>
              </w:tabs>
              <w:spacing w:before="40" w:after="40"/>
              <w:ind w:left="283" w:hanging="391"/>
              <w:rPr>
                <w:szCs w:val="24"/>
              </w:rPr>
            </w:pPr>
            <w:r w:rsidRPr="00257102">
              <w:rPr>
                <w:szCs w:val="24"/>
              </w:rPr>
              <w:t>-</w:t>
            </w:r>
            <w:r w:rsidRPr="00257102">
              <w:rPr>
                <w:szCs w:val="24"/>
              </w:rPr>
              <w:tab/>
              <w:t>Aux Associés de l'UIT-</w:t>
            </w:r>
            <w:proofErr w:type="gramStart"/>
            <w:r w:rsidRPr="00257102">
              <w:rPr>
                <w:szCs w:val="24"/>
              </w:rPr>
              <w:t>T;</w:t>
            </w:r>
            <w:proofErr w:type="gramEnd"/>
          </w:p>
          <w:p w14:paraId="21D5D5D3" w14:textId="6DC1BBF1" w:rsidR="00B74995" w:rsidRPr="00257102" w:rsidRDefault="00B74995" w:rsidP="00B74995">
            <w:pPr>
              <w:tabs>
                <w:tab w:val="clear" w:pos="794"/>
                <w:tab w:val="clear" w:pos="1191"/>
                <w:tab w:val="clear" w:pos="1588"/>
                <w:tab w:val="clear" w:pos="1985"/>
                <w:tab w:val="left" w:pos="284"/>
              </w:tabs>
              <w:spacing w:before="0" w:after="120"/>
              <w:ind w:left="284" w:hanging="227"/>
            </w:pPr>
            <w:r w:rsidRPr="00257102">
              <w:rPr>
                <w:szCs w:val="24"/>
              </w:rPr>
              <w:t>-</w:t>
            </w:r>
            <w:r w:rsidRPr="00257102">
              <w:rPr>
                <w:szCs w:val="24"/>
              </w:rPr>
              <w:tab/>
              <w:t>Aux établissements universitaires participant aux travaux de l'UIT</w:t>
            </w:r>
          </w:p>
        </w:tc>
      </w:tr>
      <w:tr w:rsidR="00B74995" w:rsidRPr="00257102" w14:paraId="38033DD3" w14:textId="77777777" w:rsidTr="00B74995">
        <w:trPr>
          <w:gridBefore w:val="1"/>
          <w:gridAfter w:val="1"/>
          <w:wBefore w:w="8" w:type="dxa"/>
          <w:wAfter w:w="12" w:type="dxa"/>
          <w:cantSplit/>
        </w:trPr>
        <w:tc>
          <w:tcPr>
            <w:tcW w:w="984" w:type="dxa"/>
          </w:tcPr>
          <w:p w14:paraId="6A03B912" w14:textId="57E4A033" w:rsidR="00B74995" w:rsidRPr="00257102" w:rsidRDefault="00B74995" w:rsidP="00B74995">
            <w:pPr>
              <w:tabs>
                <w:tab w:val="left" w:pos="4111"/>
              </w:tabs>
              <w:spacing w:before="10"/>
              <w:ind w:left="57"/>
              <w:rPr>
                <w:b/>
                <w:bCs/>
                <w:szCs w:val="24"/>
              </w:rPr>
            </w:pPr>
            <w:proofErr w:type="gramStart"/>
            <w:r w:rsidRPr="00257102">
              <w:rPr>
                <w:b/>
                <w:bCs/>
                <w:szCs w:val="24"/>
              </w:rPr>
              <w:t>Contact:</w:t>
            </w:r>
            <w:proofErr w:type="gramEnd"/>
          </w:p>
        </w:tc>
        <w:tc>
          <w:tcPr>
            <w:tcW w:w="4054" w:type="dxa"/>
            <w:gridSpan w:val="3"/>
          </w:tcPr>
          <w:p w14:paraId="2BDFCFEA" w14:textId="7F1F0034" w:rsidR="00B74995" w:rsidRPr="00257102" w:rsidRDefault="00B74995" w:rsidP="00B74995">
            <w:pPr>
              <w:tabs>
                <w:tab w:val="left" w:pos="4111"/>
              </w:tabs>
              <w:spacing w:before="0"/>
              <w:ind w:left="57"/>
              <w:rPr>
                <w:szCs w:val="24"/>
              </w:rPr>
            </w:pPr>
            <w:r w:rsidRPr="00257102">
              <w:rPr>
                <w:szCs w:val="24"/>
              </w:rPr>
              <w:t>Vijay Mauree</w:t>
            </w:r>
          </w:p>
        </w:tc>
        <w:tc>
          <w:tcPr>
            <w:tcW w:w="5040" w:type="dxa"/>
            <w:gridSpan w:val="2"/>
            <w:vMerge/>
          </w:tcPr>
          <w:p w14:paraId="44381ED2" w14:textId="77777777" w:rsidR="00B74995" w:rsidRPr="00257102" w:rsidRDefault="00B74995" w:rsidP="00B74995">
            <w:pPr>
              <w:tabs>
                <w:tab w:val="left" w:pos="4111"/>
              </w:tabs>
              <w:spacing w:before="0"/>
              <w:rPr>
                <w:b/>
              </w:rPr>
            </w:pPr>
          </w:p>
        </w:tc>
      </w:tr>
      <w:tr w:rsidR="00B74995" w:rsidRPr="00257102" w14:paraId="4AED38A1" w14:textId="77777777" w:rsidTr="00B74995">
        <w:trPr>
          <w:gridBefore w:val="1"/>
          <w:gridAfter w:val="1"/>
          <w:wBefore w:w="8" w:type="dxa"/>
          <w:wAfter w:w="12" w:type="dxa"/>
          <w:cantSplit/>
          <w:trHeight w:val="426"/>
        </w:trPr>
        <w:tc>
          <w:tcPr>
            <w:tcW w:w="984" w:type="dxa"/>
          </w:tcPr>
          <w:p w14:paraId="6F6791D4" w14:textId="4B110A66" w:rsidR="00B74995" w:rsidRPr="00257102" w:rsidRDefault="00B74995" w:rsidP="00B74995">
            <w:pPr>
              <w:tabs>
                <w:tab w:val="left" w:pos="4111"/>
              </w:tabs>
              <w:spacing w:before="10"/>
              <w:ind w:left="57"/>
              <w:rPr>
                <w:b/>
                <w:bCs/>
                <w:szCs w:val="24"/>
              </w:rPr>
            </w:pPr>
            <w:proofErr w:type="gramStart"/>
            <w:r w:rsidRPr="00257102">
              <w:rPr>
                <w:b/>
                <w:bCs/>
                <w:szCs w:val="24"/>
              </w:rPr>
              <w:t>Tél.:</w:t>
            </w:r>
            <w:proofErr w:type="gramEnd"/>
          </w:p>
        </w:tc>
        <w:tc>
          <w:tcPr>
            <w:tcW w:w="4054" w:type="dxa"/>
            <w:gridSpan w:val="3"/>
          </w:tcPr>
          <w:p w14:paraId="73526B79" w14:textId="3BDD5508" w:rsidR="00B74995" w:rsidRPr="00257102" w:rsidRDefault="00B74995" w:rsidP="00B74995">
            <w:pPr>
              <w:tabs>
                <w:tab w:val="left" w:pos="4111"/>
              </w:tabs>
              <w:spacing w:before="0"/>
              <w:ind w:left="57"/>
              <w:rPr>
                <w:szCs w:val="24"/>
              </w:rPr>
            </w:pPr>
            <w:r w:rsidRPr="00257102">
              <w:rPr>
                <w:szCs w:val="24"/>
              </w:rPr>
              <w:t>+41 22 730 5591</w:t>
            </w:r>
          </w:p>
        </w:tc>
        <w:tc>
          <w:tcPr>
            <w:tcW w:w="5040" w:type="dxa"/>
            <w:gridSpan w:val="2"/>
            <w:vMerge/>
          </w:tcPr>
          <w:p w14:paraId="3BF1EBBB" w14:textId="77777777" w:rsidR="00B74995" w:rsidRPr="00257102" w:rsidRDefault="00B74995" w:rsidP="00B74995">
            <w:pPr>
              <w:tabs>
                <w:tab w:val="left" w:pos="4111"/>
              </w:tabs>
              <w:spacing w:before="0"/>
              <w:rPr>
                <w:b/>
              </w:rPr>
            </w:pPr>
          </w:p>
        </w:tc>
      </w:tr>
      <w:tr w:rsidR="00B74995" w:rsidRPr="00257102" w14:paraId="2844B084" w14:textId="77777777" w:rsidTr="00B74995">
        <w:trPr>
          <w:gridBefore w:val="1"/>
          <w:gridAfter w:val="1"/>
          <w:wBefore w:w="8" w:type="dxa"/>
          <w:wAfter w:w="12" w:type="dxa"/>
          <w:cantSplit/>
          <w:trHeight w:val="701"/>
        </w:trPr>
        <w:tc>
          <w:tcPr>
            <w:tcW w:w="984" w:type="dxa"/>
          </w:tcPr>
          <w:p w14:paraId="3F53AEDF" w14:textId="1F47138F" w:rsidR="00B74995" w:rsidRPr="00257102" w:rsidRDefault="00B74995" w:rsidP="00B74995">
            <w:pPr>
              <w:tabs>
                <w:tab w:val="left" w:pos="4111"/>
              </w:tabs>
              <w:spacing w:before="10"/>
              <w:ind w:left="57"/>
              <w:rPr>
                <w:b/>
                <w:bCs/>
              </w:rPr>
            </w:pPr>
            <w:proofErr w:type="gramStart"/>
            <w:r w:rsidRPr="00257102">
              <w:rPr>
                <w:b/>
                <w:bCs/>
              </w:rPr>
              <w:t>Fax:</w:t>
            </w:r>
            <w:proofErr w:type="gramEnd"/>
          </w:p>
        </w:tc>
        <w:tc>
          <w:tcPr>
            <w:tcW w:w="4054" w:type="dxa"/>
            <w:gridSpan w:val="3"/>
          </w:tcPr>
          <w:p w14:paraId="0868857F" w14:textId="04C621D4" w:rsidR="00B74995" w:rsidRPr="00257102" w:rsidRDefault="00B74995" w:rsidP="00B74995">
            <w:pPr>
              <w:tabs>
                <w:tab w:val="left" w:pos="4111"/>
              </w:tabs>
              <w:spacing w:before="10"/>
              <w:ind w:left="57"/>
            </w:pPr>
            <w:r w:rsidRPr="00257102">
              <w:t>+41 22 730 5853</w:t>
            </w:r>
          </w:p>
        </w:tc>
        <w:tc>
          <w:tcPr>
            <w:tcW w:w="5040" w:type="dxa"/>
            <w:gridSpan w:val="2"/>
            <w:vMerge/>
          </w:tcPr>
          <w:p w14:paraId="2CD5FC81" w14:textId="77777777" w:rsidR="00B74995" w:rsidRPr="00257102" w:rsidRDefault="00B74995" w:rsidP="00B74995">
            <w:pPr>
              <w:tabs>
                <w:tab w:val="left" w:pos="4111"/>
              </w:tabs>
              <w:spacing w:before="0"/>
              <w:rPr>
                <w:b/>
              </w:rPr>
            </w:pPr>
          </w:p>
        </w:tc>
      </w:tr>
      <w:tr w:rsidR="00517A03" w:rsidRPr="00257102" w14:paraId="0BA5798C" w14:textId="77777777" w:rsidTr="00B74995">
        <w:trPr>
          <w:gridBefore w:val="1"/>
          <w:gridAfter w:val="1"/>
          <w:wBefore w:w="8" w:type="dxa"/>
          <w:wAfter w:w="12" w:type="dxa"/>
          <w:cantSplit/>
        </w:trPr>
        <w:tc>
          <w:tcPr>
            <w:tcW w:w="984" w:type="dxa"/>
          </w:tcPr>
          <w:p w14:paraId="09A24E36" w14:textId="77777777" w:rsidR="00517A03" w:rsidRPr="00257102" w:rsidRDefault="00036F4F" w:rsidP="00A5280F">
            <w:pPr>
              <w:tabs>
                <w:tab w:val="left" w:pos="4111"/>
              </w:tabs>
              <w:spacing w:before="10"/>
              <w:ind w:left="57"/>
              <w:rPr>
                <w:b/>
                <w:bCs/>
                <w:sz w:val="20"/>
              </w:rPr>
            </w:pPr>
            <w:proofErr w:type="gramStart"/>
            <w:r w:rsidRPr="00257102">
              <w:rPr>
                <w:b/>
                <w:bCs/>
              </w:rPr>
              <w:t>E-mail:</w:t>
            </w:r>
            <w:proofErr w:type="gramEnd"/>
          </w:p>
        </w:tc>
        <w:tc>
          <w:tcPr>
            <w:tcW w:w="4054" w:type="dxa"/>
            <w:gridSpan w:val="3"/>
          </w:tcPr>
          <w:p w14:paraId="329F194D" w14:textId="361C4604" w:rsidR="00517A03" w:rsidRPr="00257102" w:rsidRDefault="009A3876" w:rsidP="00A5280F">
            <w:pPr>
              <w:tabs>
                <w:tab w:val="left" w:pos="4111"/>
              </w:tabs>
              <w:spacing w:before="0"/>
              <w:ind w:left="57"/>
            </w:pPr>
            <w:hyperlink r:id="rId9" w:history="1">
              <w:r w:rsidR="00B74995" w:rsidRPr="00257102">
                <w:rPr>
                  <w:rStyle w:val="Hyperlink"/>
                </w:rPr>
                <w:t>tsbevents@itu.int</w:t>
              </w:r>
            </w:hyperlink>
          </w:p>
        </w:tc>
        <w:tc>
          <w:tcPr>
            <w:tcW w:w="5040" w:type="dxa"/>
            <w:gridSpan w:val="2"/>
          </w:tcPr>
          <w:p w14:paraId="1C9A74D8" w14:textId="77777777" w:rsidR="00517A03" w:rsidRPr="00257102" w:rsidRDefault="00517A03" w:rsidP="00A5280F">
            <w:pPr>
              <w:tabs>
                <w:tab w:val="left" w:pos="4111"/>
              </w:tabs>
              <w:spacing w:before="0"/>
            </w:pPr>
            <w:proofErr w:type="gramStart"/>
            <w:r w:rsidRPr="00257102">
              <w:rPr>
                <w:b/>
              </w:rPr>
              <w:t>Copie</w:t>
            </w:r>
            <w:r w:rsidRPr="00257102">
              <w:t>:</w:t>
            </w:r>
            <w:proofErr w:type="gramEnd"/>
          </w:p>
          <w:p w14:paraId="4B5C26B4" w14:textId="77777777" w:rsidR="00B74995" w:rsidRPr="00257102" w:rsidRDefault="00517A03" w:rsidP="00B74995">
            <w:pPr>
              <w:tabs>
                <w:tab w:val="clear" w:pos="1985"/>
              </w:tabs>
              <w:spacing w:before="0"/>
              <w:ind w:left="283" w:hanging="283"/>
            </w:pPr>
            <w:r w:rsidRPr="00257102">
              <w:t>-</w:t>
            </w:r>
            <w:r w:rsidRPr="00257102">
              <w:tab/>
            </w:r>
            <w:r w:rsidR="00B74995" w:rsidRPr="00257102">
              <w:t xml:space="preserve">Aux Présidents et Vice-Présidents des Commissions </w:t>
            </w:r>
            <w:proofErr w:type="gramStart"/>
            <w:r w:rsidR="00B74995" w:rsidRPr="00257102">
              <w:t>d'études;</w:t>
            </w:r>
            <w:proofErr w:type="gramEnd"/>
          </w:p>
          <w:p w14:paraId="2945A5CD" w14:textId="77777777" w:rsidR="00B74995" w:rsidRPr="00257102" w:rsidRDefault="00B74995" w:rsidP="00B74995">
            <w:pPr>
              <w:tabs>
                <w:tab w:val="clear" w:pos="794"/>
                <w:tab w:val="clear" w:pos="1191"/>
                <w:tab w:val="clear" w:pos="1588"/>
                <w:tab w:val="clear" w:pos="1985"/>
              </w:tabs>
              <w:spacing w:before="40" w:after="40"/>
              <w:ind w:left="283" w:hanging="283"/>
            </w:pPr>
            <w:r w:rsidRPr="00257102">
              <w:t>-</w:t>
            </w:r>
            <w:r w:rsidRPr="00257102">
              <w:tab/>
              <w:t>À la Directrice du Bureau de développement des </w:t>
            </w:r>
            <w:proofErr w:type="gramStart"/>
            <w:r w:rsidRPr="00257102">
              <w:t>télécommunications;</w:t>
            </w:r>
            <w:proofErr w:type="gramEnd"/>
          </w:p>
          <w:p w14:paraId="6FF67E37" w14:textId="77777777" w:rsidR="00B74995" w:rsidRPr="00257102" w:rsidRDefault="00B74995" w:rsidP="00B7499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pPr>
            <w:r w:rsidRPr="00257102">
              <w:t>-</w:t>
            </w:r>
            <w:r w:rsidRPr="00257102">
              <w:tab/>
              <w:t>Au Directeur du Bureau des radiocommunications ;</w:t>
            </w:r>
          </w:p>
          <w:p w14:paraId="01D60C60" w14:textId="5E54EE87" w:rsidR="00517A03" w:rsidRPr="00257102" w:rsidRDefault="00B74995" w:rsidP="00B74995">
            <w:pPr>
              <w:tabs>
                <w:tab w:val="clear" w:pos="794"/>
                <w:tab w:val="left" w:pos="226"/>
                <w:tab w:val="left" w:pos="4111"/>
              </w:tabs>
              <w:spacing w:before="0"/>
              <w:ind w:left="226" w:hanging="226"/>
            </w:pPr>
            <w:r w:rsidRPr="00257102">
              <w:t>-</w:t>
            </w:r>
            <w:r w:rsidRPr="00257102">
              <w:tab/>
              <w:t>Aux Directeurs des Bureaux régionaux de l'UIT</w:t>
            </w:r>
          </w:p>
        </w:tc>
      </w:tr>
      <w:tr w:rsidR="00517A03" w:rsidRPr="00257102" w14:paraId="09FCF71D" w14:textId="77777777" w:rsidTr="00B74995">
        <w:trPr>
          <w:gridBefore w:val="1"/>
          <w:gridAfter w:val="1"/>
          <w:wBefore w:w="8" w:type="dxa"/>
          <w:wAfter w:w="12" w:type="dxa"/>
          <w:cantSplit/>
          <w:trHeight w:val="680"/>
        </w:trPr>
        <w:tc>
          <w:tcPr>
            <w:tcW w:w="984" w:type="dxa"/>
          </w:tcPr>
          <w:p w14:paraId="6634ABF4" w14:textId="77777777" w:rsidR="00517A03" w:rsidRPr="00257102" w:rsidRDefault="00517A03" w:rsidP="00B74995">
            <w:pPr>
              <w:tabs>
                <w:tab w:val="left" w:pos="4111"/>
              </w:tabs>
              <w:ind w:left="57"/>
              <w:rPr>
                <w:b/>
                <w:bCs/>
                <w:szCs w:val="22"/>
              </w:rPr>
            </w:pPr>
            <w:proofErr w:type="gramStart"/>
            <w:r w:rsidRPr="00257102">
              <w:rPr>
                <w:b/>
                <w:bCs/>
                <w:szCs w:val="22"/>
              </w:rPr>
              <w:t>Objet:</w:t>
            </w:r>
            <w:proofErr w:type="gramEnd"/>
          </w:p>
        </w:tc>
        <w:tc>
          <w:tcPr>
            <w:tcW w:w="9094" w:type="dxa"/>
            <w:gridSpan w:val="5"/>
          </w:tcPr>
          <w:p w14:paraId="35DC3EDE" w14:textId="40682D29" w:rsidR="00B74995" w:rsidRPr="00257102" w:rsidRDefault="00B74995" w:rsidP="00051446">
            <w:pPr>
              <w:tabs>
                <w:tab w:val="left" w:pos="4111"/>
              </w:tabs>
              <w:ind w:left="57"/>
              <w:rPr>
                <w:b/>
                <w:bCs/>
                <w:szCs w:val="22"/>
              </w:rPr>
            </w:pPr>
            <w:r w:rsidRPr="00257102">
              <w:rPr>
                <w:b/>
                <w:bCs/>
                <w:szCs w:val="22"/>
              </w:rPr>
              <w:t xml:space="preserve">Série de webinaires consacrés aux services financiers numériques pendant </w:t>
            </w:r>
            <w:r w:rsidR="00051446" w:rsidRPr="00257102">
              <w:rPr>
                <w:b/>
                <w:bCs/>
                <w:szCs w:val="22"/>
              </w:rPr>
              <w:br/>
            </w:r>
            <w:r w:rsidRPr="00257102">
              <w:rPr>
                <w:b/>
                <w:bCs/>
                <w:szCs w:val="22"/>
              </w:rPr>
              <w:t>l'épidémie de COVID-19</w:t>
            </w:r>
          </w:p>
          <w:p w14:paraId="0DB5940A" w14:textId="49031CE1" w:rsidR="00517A03" w:rsidRPr="00257102" w:rsidRDefault="00B74995" w:rsidP="00B74995">
            <w:pPr>
              <w:tabs>
                <w:tab w:val="left" w:pos="4111"/>
              </w:tabs>
              <w:spacing w:before="0"/>
              <w:ind w:left="57"/>
              <w:rPr>
                <w:b/>
                <w:bCs/>
                <w:szCs w:val="22"/>
              </w:rPr>
            </w:pPr>
            <w:r w:rsidRPr="00257102">
              <w:rPr>
                <w:b/>
                <w:bCs/>
                <w:szCs w:val="22"/>
              </w:rPr>
              <w:t>(</w:t>
            </w:r>
            <w:r w:rsidR="009C2B12">
              <w:rPr>
                <w:b/>
                <w:bCs/>
                <w:szCs w:val="22"/>
              </w:rPr>
              <w:t>R</w:t>
            </w:r>
            <w:r w:rsidRPr="00257102">
              <w:rPr>
                <w:b/>
                <w:bCs/>
                <w:szCs w:val="22"/>
              </w:rPr>
              <w:t>éunions entièrement virtuelles</w:t>
            </w:r>
            <w:r w:rsidR="00EE12A8" w:rsidRPr="00257102">
              <w:rPr>
                <w:b/>
                <w:bCs/>
                <w:szCs w:val="22"/>
              </w:rPr>
              <w:t>,</w:t>
            </w:r>
            <w:r w:rsidRPr="00257102">
              <w:rPr>
                <w:b/>
                <w:bCs/>
                <w:szCs w:val="22"/>
              </w:rPr>
              <w:t xml:space="preserve"> </w:t>
            </w:r>
            <w:r w:rsidR="00EE12A8" w:rsidRPr="00257102">
              <w:rPr>
                <w:b/>
                <w:bCs/>
                <w:szCs w:val="22"/>
              </w:rPr>
              <w:t xml:space="preserve">10 et 27 juillet </w:t>
            </w:r>
            <w:r w:rsidRPr="00257102">
              <w:rPr>
                <w:b/>
                <w:bCs/>
                <w:szCs w:val="22"/>
              </w:rPr>
              <w:t>2020)</w:t>
            </w:r>
          </w:p>
        </w:tc>
      </w:tr>
    </w:tbl>
    <w:p w14:paraId="48A0BED8" w14:textId="77777777" w:rsidR="00517A03" w:rsidRPr="00257102" w:rsidRDefault="00517A03" w:rsidP="00A5280F">
      <w:bookmarkStart w:id="1" w:name="StartTyping_F"/>
      <w:bookmarkEnd w:id="1"/>
      <w:r w:rsidRPr="00257102">
        <w:t>Madame, Monsieur,</w:t>
      </w:r>
    </w:p>
    <w:p w14:paraId="28A6A313" w14:textId="0E41D78C" w:rsidR="00B74995" w:rsidRPr="00257102" w:rsidRDefault="00B74995" w:rsidP="00B74995">
      <w:pPr>
        <w:rPr>
          <w:bCs/>
        </w:rPr>
      </w:pPr>
      <w:r w:rsidRPr="00257102">
        <w:rPr>
          <w:bCs/>
        </w:rPr>
        <w:t>1</w:t>
      </w:r>
      <w:r w:rsidRPr="00257102">
        <w:rPr>
          <w:bCs/>
        </w:rPr>
        <w:tab/>
      </w:r>
      <w:bookmarkStart w:id="2" w:name="_Hlk38880448"/>
      <w:r w:rsidRPr="00257102">
        <w:rPr>
          <w:bCs/>
        </w:rPr>
        <w:t xml:space="preserve">L'Union internationale des télécommunications (UIT) </w:t>
      </w:r>
      <w:r w:rsidR="00EE12A8" w:rsidRPr="00257102">
        <w:rPr>
          <w:bCs/>
        </w:rPr>
        <w:t xml:space="preserve">poursuit la </w:t>
      </w:r>
      <w:r w:rsidRPr="00257102">
        <w:rPr>
          <w:bCs/>
        </w:rPr>
        <w:t xml:space="preserve">série de webinaires consacrés aux </w:t>
      </w:r>
      <w:hyperlink r:id="rId10" w:history="1">
        <w:r w:rsidRPr="00257102">
          <w:rPr>
            <w:rStyle w:val="Hyperlink"/>
            <w:bCs/>
          </w:rPr>
          <w:t>Services financiers numériques (DFS) pendant l'épidémie de COVID-19</w:t>
        </w:r>
      </w:hyperlink>
      <w:r w:rsidRPr="00257102">
        <w:rPr>
          <w:bCs/>
        </w:rPr>
        <w:t xml:space="preserve">. L'objectif est de se pencher sur les applications innovantes des services de télécommunication, les paiements numériques et les technologies financières, propres à permettre de relever les défis liés à la distanciation sociale, dont l'épidémie de COVID-19 est à l'origine. Ces webinaires permettront de partager les enseignements tirés par les pays et les acteurs dans le domaine des services financiers numériques concernant les diverses mesures mises en œuvre. Les prochains épisodes </w:t>
      </w:r>
      <w:r w:rsidR="00EE12A8" w:rsidRPr="00257102">
        <w:rPr>
          <w:bCs/>
        </w:rPr>
        <w:t xml:space="preserve">du mois de juillet </w:t>
      </w:r>
      <w:r w:rsidRPr="00257102">
        <w:rPr>
          <w:bCs/>
        </w:rPr>
        <w:t xml:space="preserve">porteront sur les sujets </w:t>
      </w:r>
      <w:proofErr w:type="gramStart"/>
      <w:r w:rsidRPr="00257102">
        <w:rPr>
          <w:bCs/>
        </w:rPr>
        <w:t>suivants:</w:t>
      </w:r>
      <w:proofErr w:type="gramEnd"/>
    </w:p>
    <w:p w14:paraId="1BCAD630" w14:textId="44E90EDB" w:rsidR="00B74995" w:rsidRPr="00257102" w:rsidRDefault="00B74995" w:rsidP="00B74995">
      <w:pPr>
        <w:pStyle w:val="enumlev1"/>
      </w:pPr>
      <w:r w:rsidRPr="00257102">
        <w:t>a)</w:t>
      </w:r>
      <w:r w:rsidRPr="00257102">
        <w:tab/>
        <w:t xml:space="preserve">Épisode </w:t>
      </w:r>
      <w:proofErr w:type="gramStart"/>
      <w:r w:rsidR="00EE12A8" w:rsidRPr="00257102">
        <w:t>9</w:t>
      </w:r>
      <w:r w:rsidRPr="00257102">
        <w:t>:</w:t>
      </w:r>
      <w:proofErr w:type="gramEnd"/>
      <w:r w:rsidRPr="00257102">
        <w:t xml:space="preserve"> </w:t>
      </w:r>
      <w:r w:rsidR="007D2204" w:rsidRPr="00257102">
        <w:rPr>
          <w:b/>
          <w:bCs/>
        </w:rPr>
        <w:t>Lutte contre les délits et la fraude dans les services financiers numériques</w:t>
      </w:r>
      <w:r w:rsidRPr="00257102">
        <w:t>, le 1</w:t>
      </w:r>
      <w:r w:rsidR="0072749B" w:rsidRPr="00257102">
        <w:t xml:space="preserve">0 juillet </w:t>
      </w:r>
      <w:r w:rsidRPr="00257102">
        <w:t>2020 de 15 h 00 à 16 h 30 CEST.</w:t>
      </w:r>
    </w:p>
    <w:p w14:paraId="4F87B173" w14:textId="0E61B954" w:rsidR="00B74995" w:rsidRPr="00257102" w:rsidRDefault="00B74995" w:rsidP="00B74995">
      <w:pPr>
        <w:pStyle w:val="enumlev1"/>
      </w:pPr>
      <w:r w:rsidRPr="00257102">
        <w:t>b)</w:t>
      </w:r>
      <w:r w:rsidRPr="00257102">
        <w:tab/>
        <w:t xml:space="preserve">Épisode </w:t>
      </w:r>
      <w:proofErr w:type="gramStart"/>
      <w:r w:rsidR="00EE12A8" w:rsidRPr="00257102">
        <w:t>10</w:t>
      </w:r>
      <w:r w:rsidRPr="00257102">
        <w:t>:</w:t>
      </w:r>
      <w:proofErr w:type="gramEnd"/>
      <w:r w:rsidRPr="00257102">
        <w:t xml:space="preserve"> </w:t>
      </w:r>
      <w:r w:rsidR="00D50253" w:rsidRPr="00257102">
        <w:rPr>
          <w:rFonts w:cs="Calibri"/>
          <w:b/>
          <w:bCs/>
          <w:szCs w:val="24"/>
          <w:shd w:val="clear" w:color="auto" w:fill="FFFFFF"/>
        </w:rPr>
        <w:t>Exigences en matière d'interopérabilité et de résilience pour les systèmes de paiements numériques</w:t>
      </w:r>
      <w:r w:rsidRPr="00257102">
        <w:t>, le 2</w:t>
      </w:r>
      <w:r w:rsidR="0072749B" w:rsidRPr="00257102">
        <w:t>7</w:t>
      </w:r>
      <w:r w:rsidRPr="00257102">
        <w:t xml:space="preserve"> </w:t>
      </w:r>
      <w:r w:rsidR="0072749B" w:rsidRPr="00257102">
        <w:t xml:space="preserve">juillet </w:t>
      </w:r>
      <w:r w:rsidRPr="00257102">
        <w:t>2020 de 15 h </w:t>
      </w:r>
      <w:r w:rsidR="0072749B" w:rsidRPr="00257102">
        <w:t>3</w:t>
      </w:r>
      <w:r w:rsidRPr="00257102">
        <w:t>0 à 1</w:t>
      </w:r>
      <w:r w:rsidR="0072749B" w:rsidRPr="00257102">
        <w:t>7</w:t>
      </w:r>
      <w:r w:rsidRPr="00257102">
        <w:t> h </w:t>
      </w:r>
      <w:r w:rsidR="0072749B" w:rsidRPr="00257102">
        <w:t>0</w:t>
      </w:r>
      <w:r w:rsidRPr="00257102">
        <w:t>0 CEST.</w:t>
      </w:r>
    </w:p>
    <w:bookmarkEnd w:id="2"/>
    <w:p w14:paraId="33BDC505" w14:textId="6BE93E12" w:rsidR="0072749B" w:rsidRPr="00257102" w:rsidRDefault="0072749B" w:rsidP="00257102">
      <w:r w:rsidRPr="00257102">
        <w:t>2</w:t>
      </w:r>
      <w:r w:rsidRPr="00257102">
        <w:tab/>
        <w:t>Le neuvième épisode, "</w:t>
      </w:r>
      <w:r w:rsidR="00316B3B" w:rsidRPr="00257102">
        <w:rPr>
          <w:b/>
          <w:bCs/>
        </w:rPr>
        <w:t>Lutte contre l</w:t>
      </w:r>
      <w:r w:rsidRPr="00257102">
        <w:rPr>
          <w:b/>
          <w:bCs/>
        </w:rPr>
        <w:t xml:space="preserve">es délits et </w:t>
      </w:r>
      <w:r w:rsidR="007D2204" w:rsidRPr="00257102">
        <w:rPr>
          <w:b/>
          <w:bCs/>
        </w:rPr>
        <w:t xml:space="preserve">la fraude </w:t>
      </w:r>
      <w:r w:rsidR="00316B3B" w:rsidRPr="00257102">
        <w:rPr>
          <w:b/>
          <w:bCs/>
        </w:rPr>
        <w:t xml:space="preserve">dans les services </w:t>
      </w:r>
      <w:r w:rsidRPr="00257102">
        <w:rPr>
          <w:b/>
          <w:bCs/>
        </w:rPr>
        <w:t>financi</w:t>
      </w:r>
      <w:r w:rsidR="00316B3B" w:rsidRPr="00257102">
        <w:rPr>
          <w:b/>
          <w:bCs/>
        </w:rPr>
        <w:t>e</w:t>
      </w:r>
      <w:r w:rsidRPr="00257102">
        <w:rPr>
          <w:b/>
          <w:bCs/>
        </w:rPr>
        <w:t>rs numériques</w:t>
      </w:r>
      <w:r w:rsidRPr="00257102">
        <w:t xml:space="preserve">", portera sur la manière dont les arnaqueurs tirent parti </w:t>
      </w:r>
      <w:r w:rsidR="00D50253" w:rsidRPr="00257102">
        <w:t xml:space="preserve">du renforcement de la peur </w:t>
      </w:r>
      <w:r w:rsidRPr="00257102">
        <w:t xml:space="preserve">et de l'incertitude pendant la pandémie </w:t>
      </w:r>
      <w:r w:rsidR="00DD3A61" w:rsidRPr="00257102">
        <w:t xml:space="preserve">de </w:t>
      </w:r>
      <w:r w:rsidRPr="00257102">
        <w:t xml:space="preserve">COVID-19 pour voler de l'argent. Les escrocs sont connus pour </w:t>
      </w:r>
      <w:r w:rsidR="007519F7" w:rsidRPr="00257102">
        <w:t xml:space="preserve">attirer </w:t>
      </w:r>
      <w:r w:rsidRPr="00257102">
        <w:t xml:space="preserve">les clients de sites de commerce électronique de confiance proposant des produits </w:t>
      </w:r>
      <w:r w:rsidR="00DD3A61" w:rsidRPr="00257102">
        <w:t xml:space="preserve">censés </w:t>
      </w:r>
      <w:r w:rsidR="007519F7" w:rsidRPr="00257102">
        <w:t xml:space="preserve">lutter contre le </w:t>
      </w:r>
      <w:r w:rsidRPr="00257102">
        <w:t xml:space="preserve">COVID-19 </w:t>
      </w:r>
      <w:r w:rsidR="007519F7" w:rsidRPr="00257102">
        <w:t xml:space="preserve">vers </w:t>
      </w:r>
      <w:r w:rsidRPr="00257102">
        <w:t xml:space="preserve">des sites de messagerie </w:t>
      </w:r>
      <w:r w:rsidR="007519F7" w:rsidRPr="00257102">
        <w:t xml:space="preserve">indépendants </w:t>
      </w:r>
      <w:r w:rsidRPr="00257102">
        <w:t>et non réglementés afin d'accepter le paiement en crypto</w:t>
      </w:r>
      <w:r w:rsidR="007519F7" w:rsidRPr="00257102">
        <w:t xml:space="preserve">monnaie </w:t>
      </w:r>
      <w:r w:rsidRPr="00257102">
        <w:t xml:space="preserve">de produits qui n'existent pas en réalité. La </w:t>
      </w:r>
      <w:r w:rsidR="007519F7" w:rsidRPr="00257102">
        <w:t xml:space="preserve">séance </w:t>
      </w:r>
      <w:r w:rsidRPr="00257102">
        <w:t xml:space="preserve">donnera un aperçu des outils qui peuvent être utilisés pour </w:t>
      </w:r>
      <w:r w:rsidR="007D2204" w:rsidRPr="00257102">
        <w:t xml:space="preserve">lutter contre les délits et la </w:t>
      </w:r>
      <w:r w:rsidRPr="00257102">
        <w:t xml:space="preserve">fraude </w:t>
      </w:r>
      <w:r w:rsidR="007D2204" w:rsidRPr="00257102">
        <w:t xml:space="preserve">dans les services </w:t>
      </w:r>
      <w:r w:rsidRPr="00257102">
        <w:t xml:space="preserve">financiers numériques. </w:t>
      </w:r>
    </w:p>
    <w:p w14:paraId="4C73876A" w14:textId="7408A591" w:rsidR="00316B3B" w:rsidRPr="00257102" w:rsidRDefault="0072749B" w:rsidP="00257102">
      <w:pPr>
        <w:rPr>
          <w:rFonts w:cs="Calibri"/>
          <w:szCs w:val="24"/>
          <w:shd w:val="clear" w:color="auto" w:fill="FFFFFF"/>
        </w:rPr>
      </w:pPr>
      <w:r w:rsidRPr="00257102">
        <w:rPr>
          <w:rFonts w:cs="Calibri"/>
          <w:szCs w:val="24"/>
          <w:shd w:val="clear" w:color="auto" w:fill="FFFFFF"/>
        </w:rPr>
        <w:lastRenderedPageBreak/>
        <w:t>3</w:t>
      </w:r>
      <w:r w:rsidRPr="00257102">
        <w:rPr>
          <w:rFonts w:cs="Calibri"/>
          <w:szCs w:val="24"/>
          <w:shd w:val="clear" w:color="auto" w:fill="FFFFFF"/>
        </w:rPr>
        <w:tab/>
      </w:r>
      <w:r w:rsidR="00316B3B" w:rsidRPr="00257102">
        <w:rPr>
          <w:rFonts w:cs="Calibri"/>
          <w:szCs w:val="24"/>
          <w:shd w:val="clear" w:color="auto" w:fill="FFFFFF"/>
        </w:rPr>
        <w:t xml:space="preserve">Le thème du dixième épisode sera le </w:t>
      </w:r>
      <w:proofErr w:type="gramStart"/>
      <w:r w:rsidR="00316B3B" w:rsidRPr="00257102">
        <w:rPr>
          <w:rFonts w:cs="Calibri"/>
          <w:szCs w:val="24"/>
          <w:shd w:val="clear" w:color="auto" w:fill="FFFFFF"/>
        </w:rPr>
        <w:t>suivant:</w:t>
      </w:r>
      <w:proofErr w:type="gramEnd"/>
      <w:r w:rsidR="00316B3B" w:rsidRPr="00257102">
        <w:rPr>
          <w:rFonts w:cs="Calibri"/>
          <w:szCs w:val="24"/>
          <w:shd w:val="clear" w:color="auto" w:fill="FFFFFF"/>
        </w:rPr>
        <w:t xml:space="preserve"> "</w:t>
      </w:r>
      <w:r w:rsidR="00316B3B" w:rsidRPr="00257102">
        <w:rPr>
          <w:rFonts w:cs="Calibri"/>
          <w:b/>
          <w:bCs/>
          <w:szCs w:val="24"/>
          <w:shd w:val="clear" w:color="auto" w:fill="FFFFFF"/>
        </w:rPr>
        <w:t xml:space="preserve">Exigences </w:t>
      </w:r>
      <w:r w:rsidR="007D2204" w:rsidRPr="00257102">
        <w:rPr>
          <w:rFonts w:cs="Calibri"/>
          <w:b/>
          <w:bCs/>
          <w:szCs w:val="24"/>
          <w:shd w:val="clear" w:color="auto" w:fill="FFFFFF"/>
        </w:rPr>
        <w:t xml:space="preserve">en matière </w:t>
      </w:r>
      <w:r w:rsidR="00316B3B" w:rsidRPr="00257102">
        <w:rPr>
          <w:rFonts w:cs="Calibri"/>
          <w:b/>
          <w:bCs/>
          <w:szCs w:val="24"/>
          <w:shd w:val="clear" w:color="auto" w:fill="FFFFFF"/>
        </w:rPr>
        <w:t xml:space="preserve">d'interopérabilité et de résilience </w:t>
      </w:r>
      <w:r w:rsidR="007D2204" w:rsidRPr="00257102">
        <w:rPr>
          <w:rFonts w:cs="Calibri"/>
          <w:b/>
          <w:bCs/>
          <w:szCs w:val="24"/>
          <w:shd w:val="clear" w:color="auto" w:fill="FFFFFF"/>
        </w:rPr>
        <w:t xml:space="preserve">pour les </w:t>
      </w:r>
      <w:r w:rsidR="00D50253" w:rsidRPr="00257102">
        <w:rPr>
          <w:rFonts w:cs="Calibri"/>
          <w:b/>
          <w:bCs/>
          <w:szCs w:val="24"/>
          <w:shd w:val="clear" w:color="auto" w:fill="FFFFFF"/>
        </w:rPr>
        <w:t xml:space="preserve">systèmes de </w:t>
      </w:r>
      <w:r w:rsidR="00316B3B" w:rsidRPr="00257102">
        <w:rPr>
          <w:rFonts w:cs="Calibri"/>
          <w:b/>
          <w:bCs/>
          <w:szCs w:val="24"/>
          <w:shd w:val="clear" w:color="auto" w:fill="FFFFFF"/>
        </w:rPr>
        <w:t>paiement</w:t>
      </w:r>
      <w:r w:rsidR="007D2204" w:rsidRPr="00257102">
        <w:rPr>
          <w:rFonts w:cs="Calibri"/>
          <w:b/>
          <w:bCs/>
          <w:szCs w:val="24"/>
          <w:shd w:val="clear" w:color="auto" w:fill="FFFFFF"/>
        </w:rPr>
        <w:t>s</w:t>
      </w:r>
      <w:r w:rsidR="00316B3B" w:rsidRPr="00257102">
        <w:rPr>
          <w:rFonts w:cs="Calibri"/>
          <w:b/>
          <w:bCs/>
          <w:szCs w:val="24"/>
          <w:shd w:val="clear" w:color="auto" w:fill="FFFFFF"/>
        </w:rPr>
        <w:t xml:space="preserve"> numérique</w:t>
      </w:r>
      <w:r w:rsidR="007D2204" w:rsidRPr="00257102">
        <w:rPr>
          <w:rFonts w:cs="Calibri"/>
          <w:b/>
          <w:bCs/>
          <w:szCs w:val="24"/>
          <w:shd w:val="clear" w:color="auto" w:fill="FFFFFF"/>
        </w:rPr>
        <w:t>s</w:t>
      </w:r>
      <w:r w:rsidR="00316B3B" w:rsidRPr="00257102">
        <w:rPr>
          <w:rFonts w:cs="Calibri"/>
          <w:szCs w:val="24"/>
          <w:shd w:val="clear" w:color="auto" w:fill="FFFFFF"/>
        </w:rPr>
        <w:t xml:space="preserve">". </w:t>
      </w:r>
      <w:r w:rsidR="007519F7" w:rsidRPr="00257102">
        <w:rPr>
          <w:rFonts w:cs="Calibri"/>
          <w:szCs w:val="24"/>
          <w:shd w:val="clear" w:color="auto" w:fill="FFFFFF"/>
        </w:rPr>
        <w:t xml:space="preserve">La crise du </w:t>
      </w:r>
      <w:r w:rsidR="00316B3B" w:rsidRPr="00257102">
        <w:rPr>
          <w:rFonts w:cs="Calibri"/>
          <w:szCs w:val="24"/>
          <w:shd w:val="clear" w:color="auto" w:fill="FFFFFF"/>
        </w:rPr>
        <w:t xml:space="preserve">COVID-19 </w:t>
      </w:r>
      <w:r w:rsidR="007519F7" w:rsidRPr="00257102">
        <w:rPr>
          <w:rFonts w:cs="Calibri"/>
          <w:szCs w:val="24"/>
          <w:shd w:val="clear" w:color="auto" w:fill="FFFFFF"/>
        </w:rPr>
        <w:t xml:space="preserve">va </w:t>
      </w:r>
      <w:r w:rsidR="00316B3B" w:rsidRPr="00257102">
        <w:rPr>
          <w:rFonts w:cs="Calibri"/>
          <w:szCs w:val="24"/>
          <w:shd w:val="clear" w:color="auto" w:fill="FFFFFF"/>
        </w:rPr>
        <w:t xml:space="preserve">très probablement </w:t>
      </w:r>
      <w:r w:rsidR="00DD3A61" w:rsidRPr="00257102">
        <w:rPr>
          <w:rFonts w:cs="Calibri"/>
          <w:szCs w:val="24"/>
          <w:shd w:val="clear" w:color="auto" w:fill="FFFFFF"/>
        </w:rPr>
        <w:t xml:space="preserve">entraîner </w:t>
      </w:r>
      <w:r w:rsidR="00316B3B" w:rsidRPr="00257102">
        <w:rPr>
          <w:rFonts w:cs="Calibri"/>
          <w:szCs w:val="24"/>
          <w:shd w:val="clear" w:color="auto" w:fill="FFFFFF"/>
        </w:rPr>
        <w:t>un</w:t>
      </w:r>
      <w:r w:rsidR="007519F7" w:rsidRPr="00257102">
        <w:rPr>
          <w:rFonts w:cs="Calibri"/>
          <w:szCs w:val="24"/>
          <w:shd w:val="clear" w:color="auto" w:fill="FFFFFF"/>
        </w:rPr>
        <w:t xml:space="preserve"> accroissement de la</w:t>
      </w:r>
      <w:r w:rsidR="00316B3B" w:rsidRPr="00257102">
        <w:rPr>
          <w:rFonts w:cs="Calibri"/>
          <w:szCs w:val="24"/>
          <w:shd w:val="clear" w:color="auto" w:fill="FFFFFF"/>
        </w:rPr>
        <w:t xml:space="preserve"> demande de paiements numériques dans le monde entier</w:t>
      </w:r>
      <w:r w:rsidR="007519F7" w:rsidRPr="00257102">
        <w:rPr>
          <w:rFonts w:cs="Calibri"/>
          <w:szCs w:val="24"/>
          <w:shd w:val="clear" w:color="auto" w:fill="FFFFFF"/>
        </w:rPr>
        <w:t xml:space="preserve">, ce qui ne manquera pas de poser </w:t>
      </w:r>
      <w:r w:rsidR="00316B3B" w:rsidRPr="00257102">
        <w:rPr>
          <w:rFonts w:cs="Calibri"/>
          <w:szCs w:val="24"/>
          <w:shd w:val="clear" w:color="auto" w:fill="FFFFFF"/>
        </w:rPr>
        <w:t xml:space="preserve">des défis importants </w:t>
      </w:r>
      <w:r w:rsidR="007519F7" w:rsidRPr="00257102">
        <w:rPr>
          <w:rFonts w:cs="Calibri"/>
          <w:szCs w:val="24"/>
          <w:shd w:val="clear" w:color="auto" w:fill="FFFFFF"/>
        </w:rPr>
        <w:t xml:space="preserve">aux </w:t>
      </w:r>
      <w:r w:rsidR="00316B3B" w:rsidRPr="00257102">
        <w:rPr>
          <w:rFonts w:cs="Calibri"/>
          <w:szCs w:val="24"/>
          <w:shd w:val="clear" w:color="auto" w:fill="FFFFFF"/>
        </w:rPr>
        <w:t xml:space="preserve">gouvernements et </w:t>
      </w:r>
      <w:r w:rsidR="007519F7" w:rsidRPr="00257102">
        <w:rPr>
          <w:rFonts w:cs="Calibri"/>
          <w:szCs w:val="24"/>
          <w:shd w:val="clear" w:color="auto" w:fill="FFFFFF"/>
        </w:rPr>
        <w:t xml:space="preserve">aux </w:t>
      </w:r>
      <w:r w:rsidR="00316B3B" w:rsidRPr="00257102">
        <w:rPr>
          <w:rFonts w:cs="Calibri"/>
          <w:szCs w:val="24"/>
          <w:shd w:val="clear" w:color="auto" w:fill="FFFFFF"/>
        </w:rPr>
        <w:t xml:space="preserve">fournisseurs de services financiers numériques dans les économies émergentes. Pendant la crise du coronavirus, les paiements numériques ont permis aux économies de continuer à fonctionner et ont aidé les </w:t>
      </w:r>
      <w:r w:rsidR="007C591D" w:rsidRPr="00257102">
        <w:rPr>
          <w:rFonts w:cs="Calibri"/>
          <w:szCs w:val="24"/>
          <w:shd w:val="clear" w:color="auto" w:fill="FFFFFF"/>
        </w:rPr>
        <w:t xml:space="preserve">personnes </w:t>
      </w:r>
      <w:r w:rsidR="00316B3B" w:rsidRPr="00257102">
        <w:rPr>
          <w:rFonts w:cs="Calibri"/>
          <w:szCs w:val="24"/>
          <w:shd w:val="clear" w:color="auto" w:fill="FFFFFF"/>
        </w:rPr>
        <w:t xml:space="preserve">à réduire le contact avec le virus. Les paiements numériques sans contact au point de vente, </w:t>
      </w:r>
      <w:r w:rsidR="007C591D" w:rsidRPr="00257102">
        <w:rPr>
          <w:rFonts w:cs="Calibri"/>
          <w:szCs w:val="24"/>
          <w:shd w:val="clear" w:color="auto" w:fill="FFFFFF"/>
        </w:rPr>
        <w:t xml:space="preserve">par exemple par </w:t>
      </w:r>
      <w:r w:rsidR="00316B3B" w:rsidRPr="00257102">
        <w:rPr>
          <w:rFonts w:cs="Calibri"/>
          <w:szCs w:val="24"/>
          <w:shd w:val="clear" w:color="auto" w:fill="FFFFFF"/>
        </w:rPr>
        <w:t xml:space="preserve">reconnaissance faciale, codes </w:t>
      </w:r>
      <w:r w:rsidR="006476C4" w:rsidRPr="00257102">
        <w:rPr>
          <w:rFonts w:cs="Calibri"/>
          <w:szCs w:val="24"/>
          <w:shd w:val="clear" w:color="auto" w:fill="FFFFFF"/>
        </w:rPr>
        <w:t xml:space="preserve">à réponse rapide </w:t>
      </w:r>
      <w:r w:rsidR="00316B3B" w:rsidRPr="00257102">
        <w:rPr>
          <w:rFonts w:cs="Calibri"/>
          <w:szCs w:val="24"/>
          <w:shd w:val="clear" w:color="auto" w:fill="FFFFFF"/>
        </w:rPr>
        <w:t>(</w:t>
      </w:r>
      <w:r w:rsidR="006476C4" w:rsidRPr="00257102">
        <w:rPr>
          <w:rFonts w:cs="Calibri"/>
          <w:szCs w:val="24"/>
          <w:shd w:val="clear" w:color="auto" w:fill="FFFFFF"/>
        </w:rPr>
        <w:t xml:space="preserve">codes </w:t>
      </w:r>
      <w:r w:rsidR="00316B3B" w:rsidRPr="00257102">
        <w:rPr>
          <w:rFonts w:cs="Calibri"/>
          <w:szCs w:val="24"/>
          <w:shd w:val="clear" w:color="auto" w:fill="FFFFFF"/>
        </w:rPr>
        <w:t xml:space="preserve">QR) ou communications en champ proche (NFC), ont réduit le risque de propagation du virus </w:t>
      </w:r>
      <w:r w:rsidR="006476C4" w:rsidRPr="00257102">
        <w:rPr>
          <w:rFonts w:cs="Calibri"/>
          <w:szCs w:val="24"/>
          <w:shd w:val="clear" w:color="auto" w:fill="FFFFFF"/>
        </w:rPr>
        <w:t>lié aux paiements en espèces</w:t>
      </w:r>
      <w:r w:rsidR="00316B3B" w:rsidRPr="00257102">
        <w:rPr>
          <w:rFonts w:cs="Calibri"/>
          <w:szCs w:val="24"/>
          <w:shd w:val="clear" w:color="auto" w:fill="FFFFFF"/>
        </w:rPr>
        <w:t xml:space="preserve">. Toutefois, </w:t>
      </w:r>
      <w:r w:rsidR="006476C4" w:rsidRPr="00257102">
        <w:rPr>
          <w:rFonts w:cs="Calibri"/>
          <w:szCs w:val="24"/>
          <w:shd w:val="clear" w:color="auto" w:fill="FFFFFF"/>
        </w:rPr>
        <w:t xml:space="preserve">à grande </w:t>
      </w:r>
      <w:r w:rsidR="00316B3B" w:rsidRPr="00257102">
        <w:rPr>
          <w:rFonts w:cs="Calibri"/>
          <w:szCs w:val="24"/>
          <w:shd w:val="clear" w:color="auto" w:fill="FFFFFF"/>
        </w:rPr>
        <w:t xml:space="preserve">échelle, les gouvernements et les commerçants devront </w:t>
      </w:r>
      <w:r w:rsidR="006476C4" w:rsidRPr="00257102">
        <w:rPr>
          <w:rFonts w:cs="Calibri"/>
          <w:szCs w:val="24"/>
          <w:shd w:val="clear" w:color="auto" w:fill="FFFFFF"/>
        </w:rPr>
        <w:t xml:space="preserve">prévoir des systèmes de </w:t>
      </w:r>
      <w:r w:rsidR="00316B3B" w:rsidRPr="00257102">
        <w:rPr>
          <w:rFonts w:cs="Calibri"/>
          <w:szCs w:val="24"/>
          <w:shd w:val="clear" w:color="auto" w:fill="FFFFFF"/>
        </w:rPr>
        <w:t xml:space="preserve">paiements numériques interopérables, gérer les risques dans l'écosystème des paiements </w:t>
      </w:r>
      <w:r w:rsidR="006476C4" w:rsidRPr="00257102">
        <w:rPr>
          <w:rFonts w:cs="Calibri"/>
          <w:szCs w:val="24"/>
          <w:shd w:val="clear" w:color="auto" w:fill="FFFFFF"/>
        </w:rPr>
        <w:t xml:space="preserve">sur mobile </w:t>
      </w:r>
      <w:r w:rsidR="00316B3B" w:rsidRPr="00257102">
        <w:rPr>
          <w:rFonts w:cs="Calibri"/>
          <w:szCs w:val="24"/>
          <w:shd w:val="clear" w:color="auto" w:fill="FFFFFF"/>
        </w:rPr>
        <w:t xml:space="preserve">et être en mesure d'intégrer différents systèmes de paiement pour réduire le besoin </w:t>
      </w:r>
      <w:r w:rsidR="006476C4" w:rsidRPr="00257102">
        <w:rPr>
          <w:rFonts w:cs="Calibri"/>
          <w:szCs w:val="24"/>
          <w:shd w:val="clear" w:color="auto" w:fill="FFFFFF"/>
        </w:rPr>
        <w:t>de dépôt et de retrait d'espèces</w:t>
      </w:r>
      <w:r w:rsidR="00316B3B" w:rsidRPr="00257102">
        <w:rPr>
          <w:rFonts w:cs="Calibri"/>
          <w:szCs w:val="24"/>
          <w:shd w:val="clear" w:color="auto" w:fill="FFFFFF"/>
        </w:rPr>
        <w:t>. À cet égard, l</w:t>
      </w:r>
      <w:r w:rsidR="00DD3A61" w:rsidRPr="00257102">
        <w:rPr>
          <w:rFonts w:cs="Calibri"/>
          <w:szCs w:val="24"/>
          <w:shd w:val="clear" w:color="auto" w:fill="FFFFFF"/>
        </w:rPr>
        <w:t xml:space="preserve">es </w:t>
      </w:r>
      <w:r w:rsidR="00316B3B" w:rsidRPr="00257102">
        <w:rPr>
          <w:rFonts w:cs="Calibri"/>
          <w:szCs w:val="24"/>
          <w:shd w:val="clear" w:color="auto" w:fill="FFFFFF"/>
        </w:rPr>
        <w:t>infrastructure</w:t>
      </w:r>
      <w:r w:rsidR="00DD3A61" w:rsidRPr="00257102">
        <w:rPr>
          <w:rFonts w:cs="Calibri"/>
          <w:szCs w:val="24"/>
          <w:shd w:val="clear" w:color="auto" w:fill="FFFFFF"/>
        </w:rPr>
        <w:t>s</w:t>
      </w:r>
      <w:r w:rsidR="00316B3B" w:rsidRPr="00257102">
        <w:rPr>
          <w:rFonts w:cs="Calibri"/>
          <w:szCs w:val="24"/>
          <w:shd w:val="clear" w:color="auto" w:fill="FFFFFF"/>
        </w:rPr>
        <w:t xml:space="preserve"> de paiements numériques doi</w:t>
      </w:r>
      <w:r w:rsidR="00DD3A61" w:rsidRPr="00257102">
        <w:rPr>
          <w:rFonts w:cs="Calibri"/>
          <w:szCs w:val="24"/>
          <w:shd w:val="clear" w:color="auto" w:fill="FFFFFF"/>
        </w:rPr>
        <w:t>ven</w:t>
      </w:r>
      <w:r w:rsidR="00316B3B" w:rsidRPr="00257102">
        <w:rPr>
          <w:rFonts w:cs="Calibri"/>
          <w:szCs w:val="24"/>
          <w:shd w:val="clear" w:color="auto" w:fill="FFFFFF"/>
        </w:rPr>
        <w:t>t être interopérable</w:t>
      </w:r>
      <w:r w:rsidR="00DD3A61" w:rsidRPr="00257102">
        <w:rPr>
          <w:rFonts w:cs="Calibri"/>
          <w:szCs w:val="24"/>
          <w:shd w:val="clear" w:color="auto" w:fill="FFFFFF"/>
        </w:rPr>
        <w:t>s</w:t>
      </w:r>
      <w:r w:rsidR="00316B3B" w:rsidRPr="00257102">
        <w:rPr>
          <w:rFonts w:cs="Calibri"/>
          <w:szCs w:val="24"/>
          <w:shd w:val="clear" w:color="auto" w:fill="FFFFFF"/>
        </w:rPr>
        <w:t xml:space="preserve"> et </w:t>
      </w:r>
      <w:r w:rsidR="006476C4" w:rsidRPr="00257102">
        <w:rPr>
          <w:rFonts w:cs="Calibri"/>
          <w:szCs w:val="24"/>
          <w:shd w:val="clear" w:color="auto" w:fill="FFFFFF"/>
        </w:rPr>
        <w:t>résiliente</w:t>
      </w:r>
      <w:r w:rsidR="00DD3A61" w:rsidRPr="00257102">
        <w:rPr>
          <w:rFonts w:cs="Calibri"/>
          <w:szCs w:val="24"/>
          <w:shd w:val="clear" w:color="auto" w:fill="FFFFFF"/>
        </w:rPr>
        <w:t>s</w:t>
      </w:r>
      <w:r w:rsidR="00316B3B" w:rsidRPr="00257102">
        <w:rPr>
          <w:rFonts w:cs="Calibri"/>
          <w:szCs w:val="24"/>
          <w:shd w:val="clear" w:color="auto" w:fill="FFFFFF"/>
        </w:rPr>
        <w:t xml:space="preserve"> </w:t>
      </w:r>
      <w:r w:rsidR="006476C4" w:rsidRPr="00257102">
        <w:rPr>
          <w:rFonts w:cs="Calibri"/>
          <w:szCs w:val="24"/>
          <w:shd w:val="clear" w:color="auto" w:fill="FFFFFF"/>
        </w:rPr>
        <w:t xml:space="preserve">pour faire face à </w:t>
      </w:r>
      <w:r w:rsidR="00316B3B" w:rsidRPr="00257102">
        <w:rPr>
          <w:rFonts w:cs="Calibri"/>
          <w:szCs w:val="24"/>
          <w:shd w:val="clear" w:color="auto" w:fill="FFFFFF"/>
        </w:rPr>
        <w:t xml:space="preserve">l'augmentation de la demande et </w:t>
      </w:r>
      <w:r w:rsidR="00DD3A61" w:rsidRPr="00257102">
        <w:rPr>
          <w:rFonts w:cs="Calibri"/>
          <w:szCs w:val="24"/>
          <w:shd w:val="clear" w:color="auto" w:fill="FFFFFF"/>
        </w:rPr>
        <w:t xml:space="preserve">à </w:t>
      </w:r>
      <w:r w:rsidR="00316B3B" w:rsidRPr="00257102">
        <w:rPr>
          <w:rFonts w:cs="Calibri"/>
          <w:szCs w:val="24"/>
          <w:shd w:val="clear" w:color="auto" w:fill="FFFFFF"/>
        </w:rPr>
        <w:t xml:space="preserve">la diversité des systèmes de paiement. Cette </w:t>
      </w:r>
      <w:r w:rsidR="006476C4" w:rsidRPr="00257102">
        <w:rPr>
          <w:rFonts w:cs="Calibri"/>
          <w:szCs w:val="24"/>
          <w:shd w:val="clear" w:color="auto" w:fill="FFFFFF"/>
        </w:rPr>
        <w:t xml:space="preserve">séance sera consacrée </w:t>
      </w:r>
      <w:r w:rsidR="00F71B4F" w:rsidRPr="00257102">
        <w:rPr>
          <w:rFonts w:cs="Calibri"/>
          <w:szCs w:val="24"/>
          <w:shd w:val="clear" w:color="auto" w:fill="FFFFFF"/>
        </w:rPr>
        <w:t xml:space="preserve">aux </w:t>
      </w:r>
      <w:r w:rsidR="00316B3B" w:rsidRPr="00257102">
        <w:rPr>
          <w:rFonts w:cs="Calibri"/>
          <w:szCs w:val="24"/>
          <w:shd w:val="clear" w:color="auto" w:fill="FFFFFF"/>
        </w:rPr>
        <w:t>différentes mesures concernant l'interopérabilité, la résilience et l</w:t>
      </w:r>
      <w:r w:rsidR="00DD3A61" w:rsidRPr="00257102">
        <w:rPr>
          <w:rFonts w:cs="Calibri"/>
          <w:szCs w:val="24"/>
          <w:shd w:val="clear" w:color="auto" w:fill="FFFFFF"/>
        </w:rPr>
        <w:t xml:space="preserve">es </w:t>
      </w:r>
      <w:r w:rsidR="00316B3B" w:rsidRPr="00257102">
        <w:rPr>
          <w:rFonts w:cs="Calibri"/>
          <w:szCs w:val="24"/>
          <w:shd w:val="clear" w:color="auto" w:fill="FFFFFF"/>
        </w:rPr>
        <w:t>infrastructure</w:t>
      </w:r>
      <w:r w:rsidR="00DD3A61" w:rsidRPr="00257102">
        <w:rPr>
          <w:rFonts w:cs="Calibri"/>
          <w:szCs w:val="24"/>
          <w:shd w:val="clear" w:color="auto" w:fill="FFFFFF"/>
        </w:rPr>
        <w:t>s</w:t>
      </w:r>
      <w:r w:rsidR="00316B3B" w:rsidRPr="00257102">
        <w:rPr>
          <w:rFonts w:cs="Calibri"/>
          <w:szCs w:val="24"/>
          <w:shd w:val="clear" w:color="auto" w:fill="FFFFFF"/>
        </w:rPr>
        <w:t xml:space="preserve"> qui peuvent être </w:t>
      </w:r>
      <w:r w:rsidR="006476C4" w:rsidRPr="00257102">
        <w:rPr>
          <w:rFonts w:cs="Calibri"/>
          <w:szCs w:val="24"/>
          <w:shd w:val="clear" w:color="auto" w:fill="FFFFFF"/>
        </w:rPr>
        <w:t xml:space="preserve">utilisées </w:t>
      </w:r>
      <w:r w:rsidR="00316B3B" w:rsidRPr="00257102">
        <w:rPr>
          <w:rFonts w:cs="Calibri"/>
          <w:szCs w:val="24"/>
          <w:shd w:val="clear" w:color="auto" w:fill="FFFFFF"/>
        </w:rPr>
        <w:t xml:space="preserve">pour créer </w:t>
      </w:r>
      <w:r w:rsidR="00DD3A61" w:rsidRPr="00257102">
        <w:rPr>
          <w:rFonts w:cs="Calibri"/>
          <w:szCs w:val="24"/>
          <w:shd w:val="clear" w:color="auto" w:fill="FFFFFF"/>
        </w:rPr>
        <w:t xml:space="preserve">des </w:t>
      </w:r>
      <w:r w:rsidR="00316B3B" w:rsidRPr="00257102">
        <w:rPr>
          <w:rFonts w:cs="Calibri"/>
          <w:szCs w:val="24"/>
          <w:shd w:val="clear" w:color="auto" w:fill="FFFFFF"/>
        </w:rPr>
        <w:t>système</w:t>
      </w:r>
      <w:r w:rsidR="00DD3A61" w:rsidRPr="00257102">
        <w:rPr>
          <w:rFonts w:cs="Calibri"/>
          <w:szCs w:val="24"/>
          <w:shd w:val="clear" w:color="auto" w:fill="FFFFFF"/>
        </w:rPr>
        <w:t>s</w:t>
      </w:r>
      <w:r w:rsidR="00316B3B" w:rsidRPr="00257102">
        <w:rPr>
          <w:rFonts w:cs="Calibri"/>
          <w:szCs w:val="24"/>
          <w:shd w:val="clear" w:color="auto" w:fill="FFFFFF"/>
        </w:rPr>
        <w:t xml:space="preserve"> de paiement</w:t>
      </w:r>
      <w:r w:rsidR="00DD3A61" w:rsidRPr="00257102">
        <w:rPr>
          <w:rFonts w:cs="Calibri"/>
          <w:szCs w:val="24"/>
          <w:shd w:val="clear" w:color="auto" w:fill="FFFFFF"/>
        </w:rPr>
        <w:t>s</w:t>
      </w:r>
      <w:r w:rsidR="00316B3B" w:rsidRPr="00257102">
        <w:rPr>
          <w:rFonts w:cs="Calibri"/>
          <w:szCs w:val="24"/>
          <w:shd w:val="clear" w:color="auto" w:fill="FFFFFF"/>
        </w:rPr>
        <w:t xml:space="preserve"> numérique</w:t>
      </w:r>
      <w:r w:rsidR="00DD3A61" w:rsidRPr="00257102">
        <w:rPr>
          <w:rFonts w:cs="Calibri"/>
          <w:szCs w:val="24"/>
          <w:shd w:val="clear" w:color="auto" w:fill="FFFFFF"/>
        </w:rPr>
        <w:t>s</w:t>
      </w:r>
      <w:r w:rsidR="00316B3B" w:rsidRPr="00257102">
        <w:rPr>
          <w:rFonts w:cs="Calibri"/>
          <w:szCs w:val="24"/>
          <w:shd w:val="clear" w:color="auto" w:fill="FFFFFF"/>
        </w:rPr>
        <w:t xml:space="preserve"> robuste</w:t>
      </w:r>
      <w:r w:rsidR="00DD3A61" w:rsidRPr="00257102">
        <w:rPr>
          <w:rFonts w:cs="Calibri"/>
          <w:szCs w:val="24"/>
          <w:shd w:val="clear" w:color="auto" w:fill="FFFFFF"/>
        </w:rPr>
        <w:t>s</w:t>
      </w:r>
      <w:r w:rsidR="00316B3B" w:rsidRPr="00257102">
        <w:rPr>
          <w:rFonts w:cs="Calibri"/>
          <w:szCs w:val="24"/>
          <w:shd w:val="clear" w:color="auto" w:fill="FFFFFF"/>
        </w:rPr>
        <w:t>.</w:t>
      </w:r>
    </w:p>
    <w:p w14:paraId="0232C52B" w14:textId="5F6FD6E7" w:rsidR="00B74995" w:rsidRPr="00257102" w:rsidRDefault="0072749B" w:rsidP="00257102">
      <w:pPr>
        <w:rPr>
          <w:bCs/>
        </w:rPr>
      </w:pPr>
      <w:r w:rsidRPr="00257102">
        <w:rPr>
          <w:bCs/>
        </w:rPr>
        <w:t>4</w:t>
      </w:r>
      <w:r w:rsidR="00B74995" w:rsidRPr="00257102">
        <w:rPr>
          <w:bCs/>
        </w:rPr>
        <w:tab/>
        <w:t xml:space="preserve">La participation à ces webinaires est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w:t>
      </w:r>
    </w:p>
    <w:p w14:paraId="70C2AE00" w14:textId="30C54650" w:rsidR="00B74995" w:rsidRPr="00257102" w:rsidRDefault="0072749B" w:rsidP="00257102">
      <w:pPr>
        <w:rPr>
          <w:bCs/>
        </w:rPr>
      </w:pPr>
      <w:r w:rsidRPr="00257102">
        <w:rPr>
          <w:bCs/>
        </w:rPr>
        <w:t>5</w:t>
      </w:r>
      <w:r w:rsidR="00B74995" w:rsidRPr="00257102">
        <w:rPr>
          <w:bCs/>
        </w:rPr>
        <w:tab/>
        <w:t xml:space="preserve">Toutes les informations utiles concernant les webinaires (intervenants, liens pour l'inscription, modalités de connexion à distance) seront disponibles sur la </w:t>
      </w:r>
      <w:hyperlink r:id="rId11" w:history="1">
        <w:r w:rsidR="00B74995" w:rsidRPr="00257102">
          <w:rPr>
            <w:rStyle w:val="Hyperlink"/>
            <w:bCs/>
          </w:rPr>
          <w:t>page d'accueil principale</w:t>
        </w:r>
      </w:hyperlink>
      <w:r w:rsidR="00B74995" w:rsidRPr="00257102">
        <w:rPr>
          <w:bCs/>
        </w:rPr>
        <w:t xml:space="preserve"> et sur les sites web des différentes manifestations aux adresses indiquées ci-après. Ces sites web seront régulièrement actualisés à mesure que parviendront des informations nouvelles ou modifiées. Les participants sont priés de consulter régulièrement les pages web des épisodes pour prendre connaissance des dernières informations.</w:t>
      </w:r>
    </w:p>
    <w:p w14:paraId="779A3CB8" w14:textId="094C2572" w:rsidR="00B74995" w:rsidRPr="00AC5C4B" w:rsidRDefault="00B74995" w:rsidP="00257102">
      <w:pPr>
        <w:pStyle w:val="enumlev1"/>
        <w:rPr>
          <w:lang w:val="en-US"/>
        </w:rPr>
      </w:pPr>
      <w:r w:rsidRPr="00AC5C4B">
        <w:rPr>
          <w:rFonts w:ascii="Times New Roman" w:hAnsi="Times New Roman"/>
          <w:lang w:val="en-US"/>
        </w:rPr>
        <w:t>•</w:t>
      </w:r>
      <w:r w:rsidRPr="00AC5C4B">
        <w:rPr>
          <w:rFonts w:ascii="Segoe UI" w:hAnsi="Segoe UI" w:cs="Segoe UI"/>
          <w:color w:val="000000"/>
          <w:sz w:val="20"/>
          <w:lang w:val="en-US"/>
        </w:rPr>
        <w:tab/>
      </w:r>
      <w:proofErr w:type="spellStart"/>
      <w:r w:rsidRPr="00AC5C4B">
        <w:rPr>
          <w:lang w:val="en-US"/>
        </w:rPr>
        <w:t>Épisode</w:t>
      </w:r>
      <w:proofErr w:type="spellEnd"/>
      <w:r w:rsidRPr="00AC5C4B">
        <w:rPr>
          <w:lang w:val="en-US"/>
        </w:rPr>
        <w:t xml:space="preserve"> </w:t>
      </w:r>
      <w:r w:rsidR="0072749B" w:rsidRPr="00AC5C4B">
        <w:rPr>
          <w:lang w:val="en-US"/>
        </w:rPr>
        <w:t>9</w:t>
      </w:r>
      <w:r w:rsidRPr="00AC5C4B">
        <w:rPr>
          <w:lang w:val="en-US"/>
        </w:rPr>
        <w:t xml:space="preserve">: </w:t>
      </w:r>
      <w:hyperlink r:id="rId12" w:history="1">
        <w:r w:rsidR="0072749B" w:rsidRPr="00AC5C4B">
          <w:rPr>
            <w:rStyle w:val="Hyperlink"/>
            <w:lang w:val="en-US"/>
          </w:rPr>
          <w:t>https://www.itu.int/en/ITU-T/webinars/20200710/Pages/default.aspx</w:t>
        </w:r>
      </w:hyperlink>
      <w:r w:rsidR="00257102" w:rsidRPr="00AC5C4B">
        <w:rPr>
          <w:lang w:val="en-US"/>
        </w:rPr>
        <w:t>.</w:t>
      </w:r>
    </w:p>
    <w:p w14:paraId="73186663" w14:textId="01A7DC09" w:rsidR="00B74995" w:rsidRPr="00AC5C4B" w:rsidRDefault="00B74995" w:rsidP="00257102">
      <w:pPr>
        <w:pStyle w:val="enumlev1"/>
        <w:rPr>
          <w:lang w:val="en-US"/>
        </w:rPr>
      </w:pPr>
      <w:r w:rsidRPr="00AC5C4B">
        <w:rPr>
          <w:rFonts w:ascii="Times New Roman" w:hAnsi="Times New Roman"/>
          <w:lang w:val="en-US"/>
        </w:rPr>
        <w:t>•</w:t>
      </w:r>
      <w:r w:rsidRPr="00AC5C4B">
        <w:rPr>
          <w:rFonts w:ascii="Segoe UI" w:hAnsi="Segoe UI" w:cs="Segoe UI"/>
          <w:color w:val="000000"/>
          <w:sz w:val="20"/>
          <w:lang w:val="en-US"/>
        </w:rPr>
        <w:tab/>
      </w:r>
      <w:proofErr w:type="spellStart"/>
      <w:r w:rsidRPr="00AC5C4B">
        <w:rPr>
          <w:lang w:val="en-US"/>
        </w:rPr>
        <w:t>Épisode</w:t>
      </w:r>
      <w:proofErr w:type="spellEnd"/>
      <w:r w:rsidRPr="00AC5C4B">
        <w:rPr>
          <w:lang w:val="en-US"/>
        </w:rPr>
        <w:t xml:space="preserve"> </w:t>
      </w:r>
      <w:r w:rsidR="0072749B" w:rsidRPr="00AC5C4B">
        <w:rPr>
          <w:lang w:val="en-US"/>
        </w:rPr>
        <w:t>10</w:t>
      </w:r>
      <w:r w:rsidR="0018210B" w:rsidRPr="00AC5C4B">
        <w:rPr>
          <w:lang w:val="en-US"/>
        </w:rPr>
        <w:t>:</w:t>
      </w:r>
      <w:r w:rsidRPr="00AC5C4B">
        <w:rPr>
          <w:lang w:val="en-US"/>
        </w:rPr>
        <w:t xml:space="preserve"> </w:t>
      </w:r>
      <w:hyperlink r:id="rId13" w:history="1">
        <w:r w:rsidR="0072749B" w:rsidRPr="00AC5C4B">
          <w:rPr>
            <w:rStyle w:val="Hyperlink"/>
            <w:lang w:val="en-US"/>
          </w:rPr>
          <w:t>https://www.itu.int/en/ITU-T/webinars/20200727/Pages/default.aspx</w:t>
        </w:r>
      </w:hyperlink>
      <w:r w:rsidR="00257102" w:rsidRPr="00AC5C4B">
        <w:rPr>
          <w:lang w:val="en-US"/>
        </w:rPr>
        <w:t>.</w:t>
      </w:r>
    </w:p>
    <w:p w14:paraId="37F0BD39" w14:textId="2FF3EFF1" w:rsidR="00257102" w:rsidRPr="00257102" w:rsidRDefault="00517A03" w:rsidP="00257102">
      <w:r w:rsidRPr="00257102">
        <w:t>Veuillez agréer, Madame, Monsieur, l</w:t>
      </w:r>
      <w:r w:rsidR="00167472" w:rsidRPr="00257102">
        <w:t>'</w:t>
      </w:r>
      <w:r w:rsidRPr="00257102">
        <w:t>assurance de ma haute considération.</w:t>
      </w:r>
    </w:p>
    <w:p w14:paraId="5FD9E9FA" w14:textId="3C48B5EF" w:rsidR="00517A03" w:rsidRPr="00257102" w:rsidRDefault="009A3876" w:rsidP="00AC5C4B">
      <w:pPr>
        <w:spacing w:before="960"/>
      </w:pPr>
      <w:r>
        <w:rPr>
          <w:noProof/>
        </w:rPr>
        <w:drawing>
          <wp:anchor distT="0" distB="0" distL="114300" distR="114300" simplePos="0" relativeHeight="251658240" behindDoc="1" locked="0" layoutInCell="1" allowOverlap="1" wp14:anchorId="594ADA1E" wp14:editId="2DE8FE3A">
            <wp:simplePos x="0" y="0"/>
            <wp:positionH relativeFrom="column">
              <wp:posOffset>3810</wp:posOffset>
            </wp:positionH>
            <wp:positionV relativeFrom="paragraph">
              <wp:posOffset>131445</wp:posOffset>
            </wp:positionV>
            <wp:extent cx="558799" cy="419100"/>
            <wp:effectExtent l="0" t="0" r="0" b="0"/>
            <wp:wrapNone/>
            <wp:docPr id="3" name="Picture 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FR.PNG"/>
                    <pic:cNvPicPr/>
                  </pic:nvPicPr>
                  <pic:blipFill>
                    <a:blip r:embed="rId14">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257102" w:rsidRPr="00257102">
        <w:t>Ch</w:t>
      </w:r>
      <w:r w:rsidR="00036F4F" w:rsidRPr="00257102">
        <w:t>aesub Lee</w:t>
      </w:r>
      <w:r w:rsidR="00036F4F" w:rsidRPr="00257102">
        <w:br/>
        <w:t xml:space="preserve">Directeur du Bureau de la normalisation </w:t>
      </w:r>
      <w:r w:rsidR="00036F4F" w:rsidRPr="00257102">
        <w:br/>
        <w:t>des télécommunications</w:t>
      </w:r>
      <w:r w:rsidR="00036F4F" w:rsidRPr="00257102">
        <w:rPr>
          <w:b/>
        </w:rPr>
        <w:t xml:space="preserve"> </w:t>
      </w:r>
    </w:p>
    <w:sectPr w:rsidR="00517A03" w:rsidRPr="00257102" w:rsidSect="00A15179">
      <w:headerReference w:type="default" r:id="rId15"/>
      <w:foot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B1CEF" w14:textId="77777777" w:rsidR="006D2D59" w:rsidRDefault="006D2D59">
      <w:r>
        <w:separator/>
      </w:r>
    </w:p>
  </w:endnote>
  <w:endnote w:type="continuationSeparator" w:id="0">
    <w:p w14:paraId="0BC77D7B" w14:textId="77777777" w:rsidR="006D2D59" w:rsidRDefault="006D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50A4" w14:textId="1E132903" w:rsidR="00257102" w:rsidRPr="00257102" w:rsidRDefault="00257102" w:rsidP="009C2B12">
    <w:pPr>
      <w:pStyle w:val="Footer"/>
      <w:tabs>
        <w:tab w:val="clear" w:pos="5954"/>
        <w:tab w:val="clear" w:pos="9639"/>
        <w:tab w:val="left" w:pos="4030"/>
      </w:tabs>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7E7CD"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r>
    <w:proofErr w:type="gramStart"/>
    <w:r w:rsidRPr="00F632E9">
      <w:rPr>
        <w:sz w:val="18"/>
        <w:szCs w:val="18"/>
        <w:lang w:val="fr-CH"/>
      </w:rPr>
      <w:t>Tél</w:t>
    </w:r>
    <w:r w:rsidR="00085F5A">
      <w:rPr>
        <w:sz w:val="18"/>
        <w:szCs w:val="18"/>
        <w:lang w:val="fr-CH"/>
      </w:rPr>
      <w:t>.</w:t>
    </w:r>
    <w:r w:rsidRPr="00F632E9">
      <w:rPr>
        <w:sz w:val="18"/>
        <w:szCs w:val="18"/>
        <w:lang w:val="fr-CH"/>
      </w:rPr>
      <w:t>:</w:t>
    </w:r>
    <w:proofErr w:type="gramEnd"/>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DC55F" w14:textId="77777777" w:rsidR="006D2D59" w:rsidRDefault="006D2D59">
      <w:r>
        <w:t>____________________</w:t>
      </w:r>
    </w:p>
  </w:footnote>
  <w:footnote w:type="continuationSeparator" w:id="0">
    <w:p w14:paraId="562DEB17" w14:textId="77777777" w:rsidR="006D2D59" w:rsidRDefault="006D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9D7B" w14:textId="4DF0B978" w:rsidR="00697BC1" w:rsidRPr="00697BC1" w:rsidRDefault="009A3876"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ED5B23">
      <w:rPr>
        <w:noProof/>
        <w:sz w:val="18"/>
        <w:szCs w:val="16"/>
      </w:rPr>
      <w:br/>
      <w:t>Circulaire TSB 25</w:t>
    </w:r>
    <w:r w:rsidR="00257102">
      <w:rPr>
        <w:noProof/>
        <w:sz w:val="18"/>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E996526"/>
    <w:multiLevelType w:val="hybridMultilevel"/>
    <w:tmpl w:val="827EB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A1"/>
    <w:rsid w:val="000039EE"/>
    <w:rsid w:val="00005622"/>
    <w:rsid w:val="0002519E"/>
    <w:rsid w:val="00035B43"/>
    <w:rsid w:val="00036F4F"/>
    <w:rsid w:val="00051446"/>
    <w:rsid w:val="000758B3"/>
    <w:rsid w:val="00085F5A"/>
    <w:rsid w:val="000B0D96"/>
    <w:rsid w:val="000B4245"/>
    <w:rsid w:val="000B59D8"/>
    <w:rsid w:val="000C1F6B"/>
    <w:rsid w:val="000C25CC"/>
    <w:rsid w:val="000C56BE"/>
    <w:rsid w:val="001026FD"/>
    <w:rsid w:val="001077FD"/>
    <w:rsid w:val="00115DD7"/>
    <w:rsid w:val="00167472"/>
    <w:rsid w:val="00167F92"/>
    <w:rsid w:val="00173738"/>
    <w:rsid w:val="0018210B"/>
    <w:rsid w:val="001B79A3"/>
    <w:rsid w:val="002152A3"/>
    <w:rsid w:val="00257102"/>
    <w:rsid w:val="002E395D"/>
    <w:rsid w:val="003131F0"/>
    <w:rsid w:val="00316B3B"/>
    <w:rsid w:val="00333A80"/>
    <w:rsid w:val="00341117"/>
    <w:rsid w:val="00364E95"/>
    <w:rsid w:val="00372875"/>
    <w:rsid w:val="003B1E80"/>
    <w:rsid w:val="003B66E8"/>
    <w:rsid w:val="004033F1"/>
    <w:rsid w:val="00414B0C"/>
    <w:rsid w:val="00423C21"/>
    <w:rsid w:val="0042426D"/>
    <w:rsid w:val="004257AC"/>
    <w:rsid w:val="0043711B"/>
    <w:rsid w:val="004435A1"/>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476C4"/>
    <w:rsid w:val="00697BC1"/>
    <w:rsid w:val="006A6FFE"/>
    <w:rsid w:val="006C5A91"/>
    <w:rsid w:val="006C6357"/>
    <w:rsid w:val="006D2D59"/>
    <w:rsid w:val="00716BBC"/>
    <w:rsid w:val="0072749B"/>
    <w:rsid w:val="007321BC"/>
    <w:rsid w:val="007519F7"/>
    <w:rsid w:val="00760063"/>
    <w:rsid w:val="00775E4B"/>
    <w:rsid w:val="0079553B"/>
    <w:rsid w:val="00795679"/>
    <w:rsid w:val="007A40FE"/>
    <w:rsid w:val="007C591D"/>
    <w:rsid w:val="007D2204"/>
    <w:rsid w:val="00810105"/>
    <w:rsid w:val="008157E0"/>
    <w:rsid w:val="00850477"/>
    <w:rsid w:val="00854E1D"/>
    <w:rsid w:val="0085661F"/>
    <w:rsid w:val="00887FA6"/>
    <w:rsid w:val="008C4397"/>
    <w:rsid w:val="008C465A"/>
    <w:rsid w:val="008F2C9B"/>
    <w:rsid w:val="00923CD6"/>
    <w:rsid w:val="00935AA8"/>
    <w:rsid w:val="00970744"/>
    <w:rsid w:val="00971C9A"/>
    <w:rsid w:val="009A3876"/>
    <w:rsid w:val="009C2B12"/>
    <w:rsid w:val="009D51FA"/>
    <w:rsid w:val="009F1E23"/>
    <w:rsid w:val="00A15179"/>
    <w:rsid w:val="00A51537"/>
    <w:rsid w:val="00A5280F"/>
    <w:rsid w:val="00A5645A"/>
    <w:rsid w:val="00A60FC1"/>
    <w:rsid w:val="00A97C37"/>
    <w:rsid w:val="00AA131B"/>
    <w:rsid w:val="00AC37B5"/>
    <w:rsid w:val="00AC5C4B"/>
    <w:rsid w:val="00AD752F"/>
    <w:rsid w:val="00AF08A4"/>
    <w:rsid w:val="00B27B41"/>
    <w:rsid w:val="00B42659"/>
    <w:rsid w:val="00B74995"/>
    <w:rsid w:val="00B8573E"/>
    <w:rsid w:val="00BB24C0"/>
    <w:rsid w:val="00BD6ECF"/>
    <w:rsid w:val="00C26F2E"/>
    <w:rsid w:val="00C302E3"/>
    <w:rsid w:val="00C45376"/>
    <w:rsid w:val="00C9028F"/>
    <w:rsid w:val="00CA0416"/>
    <w:rsid w:val="00CB1125"/>
    <w:rsid w:val="00CD042E"/>
    <w:rsid w:val="00CF2560"/>
    <w:rsid w:val="00CF443C"/>
    <w:rsid w:val="00CF5B46"/>
    <w:rsid w:val="00D123D0"/>
    <w:rsid w:val="00D46B68"/>
    <w:rsid w:val="00D50253"/>
    <w:rsid w:val="00D542A5"/>
    <w:rsid w:val="00DC3D47"/>
    <w:rsid w:val="00DD3A61"/>
    <w:rsid w:val="00DD77DA"/>
    <w:rsid w:val="00E06C61"/>
    <w:rsid w:val="00E13DB3"/>
    <w:rsid w:val="00E2408B"/>
    <w:rsid w:val="00E62CEA"/>
    <w:rsid w:val="00E72AE1"/>
    <w:rsid w:val="00ED5B23"/>
    <w:rsid w:val="00ED6A7A"/>
    <w:rsid w:val="00EE12A8"/>
    <w:rsid w:val="00EE4C36"/>
    <w:rsid w:val="00F346CE"/>
    <w:rsid w:val="00F34F98"/>
    <w:rsid w:val="00F40540"/>
    <w:rsid w:val="00F67402"/>
    <w:rsid w:val="00F71B4F"/>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BF791"/>
  <w15:docId w15:val="{5211F8D6-C369-4D9F-8F81-5B49EC8D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B74995"/>
    <w:rPr>
      <w:color w:val="605E5C"/>
      <w:shd w:val="clear" w:color="auto" w:fill="E1DFDD"/>
    </w:rPr>
  </w:style>
  <w:style w:type="character" w:styleId="FollowedHyperlink">
    <w:name w:val="FollowedHyperlink"/>
    <w:basedOn w:val="DefaultParagraphFont"/>
    <w:semiHidden/>
    <w:unhideWhenUsed/>
    <w:rsid w:val="00ED5B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20200727/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20200710/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Pages/df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Pages/df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9C11-7076-4BB7-A7FE-8E42B617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TotalTime>
  <Pages>2</Pages>
  <Words>772</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5693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6</cp:revision>
  <cp:lastPrinted>2020-07-01T11:48:00Z</cp:lastPrinted>
  <dcterms:created xsi:type="dcterms:W3CDTF">2020-06-30T11:46:00Z</dcterms:created>
  <dcterms:modified xsi:type="dcterms:W3CDTF">2020-07-01T11:49:00Z</dcterms:modified>
</cp:coreProperties>
</file>