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961" w:type="dxa"/>
        <w:tblLayout w:type="fixed"/>
        <w:tblLook w:val="0000" w:firstRow="0" w:lastRow="0" w:firstColumn="0" w:lastColumn="0" w:noHBand="0" w:noVBand="0"/>
      </w:tblPr>
      <w:tblGrid>
        <w:gridCol w:w="90"/>
        <w:gridCol w:w="90"/>
        <w:gridCol w:w="1134"/>
        <w:gridCol w:w="142"/>
        <w:gridCol w:w="3402"/>
        <w:gridCol w:w="3119"/>
        <w:gridCol w:w="850"/>
        <w:gridCol w:w="1134"/>
      </w:tblGrid>
      <w:tr w:rsidR="00FA46A0" w14:paraId="17DDD473" w14:textId="77777777" w:rsidTr="00777BDB">
        <w:trPr>
          <w:gridBefore w:val="2"/>
          <w:wBefore w:w="180" w:type="dxa"/>
          <w:trHeight w:val="80"/>
        </w:trPr>
        <w:tc>
          <w:tcPr>
            <w:tcW w:w="1276" w:type="dxa"/>
            <w:gridSpan w:val="2"/>
            <w:shd w:val="clear" w:color="auto" w:fill="auto"/>
            <w:tcMar>
              <w:left w:w="0" w:type="dxa"/>
              <w:right w:w="0" w:type="dxa"/>
            </w:tcMar>
            <w:vAlign w:val="center"/>
          </w:tcPr>
          <w:p w14:paraId="37E946B7" w14:textId="77777777" w:rsidR="00FA46A0" w:rsidRDefault="009747C5">
            <w:pPr>
              <w:pStyle w:val="Tabletext"/>
              <w:jc w:val="center"/>
            </w:pPr>
            <w:r>
              <w:rPr>
                <w:noProof/>
                <w:lang w:eastAsia="en-GB"/>
              </w:rPr>
              <w:drawing>
                <wp:inline distT="0" distB="0" distL="0" distR="0" wp14:anchorId="782E31DE" wp14:editId="1F3C096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B4AB586"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C227D64"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gridSpan w:val="2"/>
            <w:shd w:val="clear" w:color="auto" w:fill="auto"/>
            <w:vAlign w:val="center"/>
          </w:tcPr>
          <w:p w14:paraId="62314981" w14:textId="77777777" w:rsidR="00FA46A0" w:rsidRDefault="00FA46A0">
            <w:pPr>
              <w:spacing w:before="0"/>
              <w:jc w:val="right"/>
              <w:rPr>
                <w:rFonts w:ascii="Verdana" w:hAnsi="Verdana"/>
                <w:color w:val="FFFFFF"/>
                <w:sz w:val="26"/>
                <w:szCs w:val="26"/>
              </w:rPr>
            </w:pPr>
          </w:p>
        </w:tc>
      </w:tr>
      <w:tr w:rsidR="00FA46A0" w14:paraId="308746BA" w14:textId="77777777" w:rsidTr="003A2D53">
        <w:trPr>
          <w:gridBefore w:val="2"/>
          <w:wBefore w:w="180" w:type="dxa"/>
          <w:cantSplit/>
          <w:trHeight w:val="807"/>
        </w:trPr>
        <w:tc>
          <w:tcPr>
            <w:tcW w:w="4678" w:type="dxa"/>
            <w:gridSpan w:val="3"/>
            <w:vAlign w:val="center"/>
          </w:tcPr>
          <w:p w14:paraId="342BF98C" w14:textId="77777777" w:rsidR="00FA46A0" w:rsidRDefault="00FA46A0">
            <w:pPr>
              <w:pStyle w:val="Tabletext"/>
              <w:jc w:val="right"/>
            </w:pPr>
          </w:p>
        </w:tc>
        <w:tc>
          <w:tcPr>
            <w:tcW w:w="5103" w:type="dxa"/>
            <w:gridSpan w:val="3"/>
            <w:vAlign w:val="center"/>
          </w:tcPr>
          <w:p w14:paraId="16114B6D" w14:textId="63389441" w:rsidR="00FA46A0" w:rsidRDefault="00B61012" w:rsidP="00734AAB">
            <w:pPr>
              <w:pStyle w:val="Tabletext"/>
              <w:spacing w:before="240" w:after="240"/>
              <w:ind w:left="-115"/>
            </w:pPr>
            <w:r>
              <w:t xml:space="preserve">Geneva, </w:t>
            </w:r>
            <w:r w:rsidR="000854BD">
              <w:t>2</w:t>
            </w:r>
            <w:r w:rsidR="00256169">
              <w:t>9</w:t>
            </w:r>
            <w:r w:rsidR="00D96B84">
              <w:t xml:space="preserve"> </w:t>
            </w:r>
            <w:r w:rsidR="00215315">
              <w:t>June</w:t>
            </w:r>
            <w:r w:rsidR="004449A1">
              <w:t xml:space="preserve"> </w:t>
            </w:r>
            <w:r w:rsidR="00564751" w:rsidRPr="00564751">
              <w:t>20</w:t>
            </w:r>
            <w:r w:rsidR="003A457D">
              <w:t>20</w:t>
            </w:r>
          </w:p>
        </w:tc>
      </w:tr>
      <w:tr w:rsidR="00FA46A0" w14:paraId="3D01F803" w14:textId="77777777" w:rsidTr="00777BDB">
        <w:trPr>
          <w:cantSplit/>
          <w:trHeight w:val="746"/>
        </w:trPr>
        <w:tc>
          <w:tcPr>
            <w:tcW w:w="1314" w:type="dxa"/>
            <w:gridSpan w:val="3"/>
          </w:tcPr>
          <w:p w14:paraId="50B114E7" w14:textId="77777777" w:rsidR="00FA46A0" w:rsidRPr="00B74D2C" w:rsidRDefault="00B61012" w:rsidP="00777BDB">
            <w:pPr>
              <w:pStyle w:val="Tabletext"/>
              <w:ind w:left="-15"/>
              <w:rPr>
                <w:sz w:val="22"/>
                <w:szCs w:val="18"/>
              </w:rPr>
            </w:pPr>
            <w:r w:rsidRPr="00B74D2C">
              <w:rPr>
                <w:b/>
                <w:sz w:val="22"/>
                <w:szCs w:val="18"/>
              </w:rPr>
              <w:t>Ref:</w:t>
            </w:r>
          </w:p>
        </w:tc>
        <w:tc>
          <w:tcPr>
            <w:tcW w:w="3544" w:type="dxa"/>
            <w:gridSpan w:val="2"/>
          </w:tcPr>
          <w:p w14:paraId="347BB8C3" w14:textId="11564B16" w:rsidR="00FA46A0" w:rsidRPr="00B74D2C" w:rsidRDefault="00B61012" w:rsidP="00A13DFF">
            <w:pPr>
              <w:pStyle w:val="Tabletext"/>
              <w:rPr>
                <w:b/>
                <w:bCs/>
                <w:sz w:val="22"/>
                <w:szCs w:val="18"/>
              </w:rPr>
            </w:pPr>
            <w:r w:rsidRPr="00B74D2C">
              <w:rPr>
                <w:b/>
                <w:bCs/>
                <w:sz w:val="22"/>
                <w:szCs w:val="18"/>
              </w:rPr>
              <w:t>TSB Circular</w:t>
            </w:r>
            <w:r w:rsidR="006B75D2" w:rsidRPr="00B74D2C">
              <w:rPr>
                <w:b/>
                <w:bCs/>
                <w:sz w:val="22"/>
                <w:szCs w:val="18"/>
              </w:rPr>
              <w:t xml:space="preserve"> </w:t>
            </w:r>
            <w:r w:rsidR="0081453F">
              <w:rPr>
                <w:b/>
                <w:bCs/>
                <w:sz w:val="22"/>
                <w:szCs w:val="18"/>
              </w:rPr>
              <w:t>25</w:t>
            </w:r>
            <w:r w:rsidR="00215315">
              <w:rPr>
                <w:b/>
                <w:bCs/>
                <w:sz w:val="22"/>
                <w:szCs w:val="18"/>
              </w:rPr>
              <w:t>7</w:t>
            </w:r>
          </w:p>
        </w:tc>
        <w:tc>
          <w:tcPr>
            <w:tcW w:w="5103" w:type="dxa"/>
            <w:gridSpan w:val="3"/>
            <w:vMerge w:val="restart"/>
          </w:tcPr>
          <w:p w14:paraId="096BD853"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0956A692" w14:textId="22E8393A"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w:t>
            </w:r>
            <w:r w:rsidR="00A97013">
              <w:rPr>
                <w:szCs w:val="24"/>
              </w:rPr>
              <w:br/>
            </w:r>
            <w:r w:rsidRPr="00FF5729">
              <w:rPr>
                <w:szCs w:val="24"/>
              </w:rPr>
              <w:t>the Union</w:t>
            </w:r>
            <w:r w:rsidR="00A72C30">
              <w:rPr>
                <w:szCs w:val="24"/>
              </w:rPr>
              <w:t>;</w:t>
            </w:r>
          </w:p>
          <w:p w14:paraId="5C40EE47" w14:textId="41E82E9A"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proofErr w:type="gramStart"/>
            <w:r w:rsidRPr="00FF5729">
              <w:rPr>
                <w:szCs w:val="24"/>
                <w:lang w:val="fr-CH"/>
              </w:rPr>
              <w:t>Members</w:t>
            </w:r>
            <w:proofErr w:type="spellEnd"/>
            <w:r w:rsidR="00A72C30">
              <w:rPr>
                <w:szCs w:val="24"/>
                <w:lang w:val="fr-CH"/>
              </w:rPr>
              <w:t>;</w:t>
            </w:r>
            <w:proofErr w:type="gramEnd"/>
          </w:p>
          <w:p w14:paraId="4201FF52" w14:textId="03509D32"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r w:rsidR="00A672CE">
              <w:rPr>
                <w:szCs w:val="24"/>
                <w:lang w:val="fr-CH"/>
              </w:rPr>
              <w:t xml:space="preserve"> </w:t>
            </w:r>
          </w:p>
          <w:p w14:paraId="1BE71F93" w14:textId="77777777" w:rsidR="00FA46A0"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p w14:paraId="0CB31CAD" w14:textId="77777777" w:rsidR="00777BDB" w:rsidRPr="00963900" w:rsidRDefault="00777BDB" w:rsidP="00777BDB">
            <w:pPr>
              <w:pStyle w:val="Tabletext"/>
              <w:ind w:left="283" w:hanging="391"/>
            </w:pPr>
            <w:r w:rsidRPr="00963900">
              <w:rPr>
                <w:b/>
              </w:rPr>
              <w:t>Copy to:</w:t>
            </w:r>
          </w:p>
          <w:p w14:paraId="4E5FDD42" w14:textId="30D32451" w:rsidR="00777BDB" w:rsidRPr="00963900" w:rsidRDefault="00777BDB" w:rsidP="00777BDB">
            <w:pPr>
              <w:pStyle w:val="Tabletext"/>
              <w:tabs>
                <w:tab w:val="clear" w:pos="284"/>
              </w:tabs>
              <w:ind w:left="283" w:hanging="391"/>
            </w:pPr>
            <w:r w:rsidRPr="00963900">
              <w:t>-</w:t>
            </w:r>
            <w:r w:rsidRPr="00963900">
              <w:tab/>
              <w:t>The Chairm</w:t>
            </w:r>
            <w:r>
              <w:t>e</w:t>
            </w:r>
            <w:r w:rsidRPr="00963900">
              <w:t>n and Vice-Chairmen of</w:t>
            </w:r>
            <w:r w:rsidR="00A97013">
              <w:br/>
            </w:r>
            <w:r w:rsidRPr="00963900">
              <w:t>Study Groups;</w:t>
            </w:r>
          </w:p>
          <w:p w14:paraId="4EB80099" w14:textId="77777777" w:rsidR="00777BDB" w:rsidRPr="00963900" w:rsidRDefault="00777BDB" w:rsidP="00777BDB">
            <w:pPr>
              <w:pStyle w:val="Tabletext"/>
              <w:tabs>
                <w:tab w:val="clear" w:pos="284"/>
              </w:tabs>
              <w:ind w:left="283" w:hanging="391"/>
            </w:pPr>
            <w:r w:rsidRPr="00963900">
              <w:t>-</w:t>
            </w:r>
            <w:r w:rsidRPr="00963900">
              <w:tab/>
              <w:t>The Director of the Telecommunication Development Bureau;</w:t>
            </w:r>
          </w:p>
          <w:p w14:paraId="351F0107" w14:textId="43E5DF94" w:rsidR="00777BDB" w:rsidRDefault="00777BDB"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rsidRPr="00963900">
              <w:t>-</w:t>
            </w:r>
            <w:r w:rsidRPr="00963900">
              <w:tab/>
              <w:t>The Director of the Radiocommunication Bureau</w:t>
            </w:r>
            <w:r w:rsidR="00792C3D">
              <w:t>;</w:t>
            </w:r>
          </w:p>
          <w:p w14:paraId="64BEFFD0" w14:textId="21809F9C" w:rsidR="00792C3D" w:rsidRDefault="00792C3D"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t>-</w:t>
            </w:r>
            <w:r w:rsidR="003A2D53">
              <w:tab/>
            </w:r>
            <w:r>
              <w:t>The Directors of ITU Regional Offices</w:t>
            </w:r>
          </w:p>
          <w:p w14:paraId="61ACCB59" w14:textId="438DE1DF" w:rsidR="00792C3D" w:rsidRPr="00FF5729" w:rsidRDefault="00792C3D"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DB073F" w14:paraId="5FC68B29" w14:textId="77777777" w:rsidTr="00777BDB">
        <w:trPr>
          <w:cantSplit/>
          <w:trHeight w:val="221"/>
        </w:trPr>
        <w:tc>
          <w:tcPr>
            <w:tcW w:w="1314" w:type="dxa"/>
            <w:gridSpan w:val="3"/>
          </w:tcPr>
          <w:p w14:paraId="0F946D66" w14:textId="1A48E66E" w:rsidR="00DB073F" w:rsidRPr="00B74D2C" w:rsidRDefault="00DB073F" w:rsidP="00777BDB">
            <w:pPr>
              <w:pStyle w:val="Tabletext"/>
              <w:ind w:left="-15"/>
              <w:rPr>
                <w:b/>
                <w:sz w:val="22"/>
                <w:szCs w:val="18"/>
              </w:rPr>
            </w:pPr>
            <w:r w:rsidRPr="00B74D2C">
              <w:rPr>
                <w:b/>
                <w:sz w:val="22"/>
                <w:szCs w:val="18"/>
              </w:rPr>
              <w:t>Contact:</w:t>
            </w:r>
          </w:p>
        </w:tc>
        <w:tc>
          <w:tcPr>
            <w:tcW w:w="3544" w:type="dxa"/>
            <w:gridSpan w:val="2"/>
          </w:tcPr>
          <w:p w14:paraId="4C35A185" w14:textId="757495AE" w:rsidR="00DB073F" w:rsidRPr="00B74D2C" w:rsidRDefault="006B75D2" w:rsidP="00564751">
            <w:pPr>
              <w:pStyle w:val="Tabletext"/>
              <w:rPr>
                <w:sz w:val="22"/>
                <w:szCs w:val="18"/>
              </w:rPr>
            </w:pPr>
            <w:r w:rsidRPr="00B74D2C">
              <w:rPr>
                <w:sz w:val="22"/>
                <w:szCs w:val="18"/>
              </w:rPr>
              <w:t>Vijay Mauree</w:t>
            </w:r>
          </w:p>
        </w:tc>
        <w:tc>
          <w:tcPr>
            <w:tcW w:w="5103" w:type="dxa"/>
            <w:gridSpan w:val="3"/>
            <w:vMerge/>
          </w:tcPr>
          <w:p w14:paraId="40823F63" w14:textId="77777777" w:rsidR="00DB073F" w:rsidRDefault="00DB073F" w:rsidP="00FF5729">
            <w:pPr>
              <w:pStyle w:val="Tabletext"/>
              <w:ind w:left="142" w:hanging="391"/>
            </w:pPr>
          </w:p>
        </w:tc>
      </w:tr>
      <w:tr w:rsidR="00FA46A0" w14:paraId="232D3B3E" w14:textId="77777777" w:rsidTr="00777BDB">
        <w:trPr>
          <w:cantSplit/>
          <w:trHeight w:val="221"/>
        </w:trPr>
        <w:tc>
          <w:tcPr>
            <w:tcW w:w="1314" w:type="dxa"/>
            <w:gridSpan w:val="3"/>
          </w:tcPr>
          <w:p w14:paraId="5ED587B3" w14:textId="77777777" w:rsidR="00FA46A0" w:rsidRPr="00B74D2C" w:rsidRDefault="00B61012" w:rsidP="00777BDB">
            <w:pPr>
              <w:pStyle w:val="Tabletext"/>
              <w:ind w:left="-15"/>
              <w:rPr>
                <w:sz w:val="22"/>
                <w:szCs w:val="18"/>
              </w:rPr>
            </w:pPr>
            <w:r w:rsidRPr="00B74D2C">
              <w:rPr>
                <w:b/>
                <w:sz w:val="22"/>
                <w:szCs w:val="18"/>
              </w:rPr>
              <w:t>Tel:</w:t>
            </w:r>
          </w:p>
        </w:tc>
        <w:tc>
          <w:tcPr>
            <w:tcW w:w="3544" w:type="dxa"/>
            <w:gridSpan w:val="2"/>
          </w:tcPr>
          <w:p w14:paraId="40C3B5C5" w14:textId="7D364723" w:rsidR="00FA46A0" w:rsidRPr="00B74D2C" w:rsidRDefault="00C95BF6" w:rsidP="00564751">
            <w:pPr>
              <w:pStyle w:val="Tabletext"/>
              <w:rPr>
                <w:b/>
                <w:sz w:val="22"/>
                <w:szCs w:val="18"/>
              </w:rPr>
            </w:pPr>
            <w:r w:rsidRPr="00B74D2C">
              <w:rPr>
                <w:sz w:val="22"/>
                <w:szCs w:val="18"/>
              </w:rPr>
              <w:t xml:space="preserve">+41 22 730 </w:t>
            </w:r>
            <w:r w:rsidR="006B75D2" w:rsidRPr="00B74D2C">
              <w:rPr>
                <w:sz w:val="22"/>
                <w:szCs w:val="18"/>
              </w:rPr>
              <w:t>5591</w:t>
            </w:r>
          </w:p>
        </w:tc>
        <w:tc>
          <w:tcPr>
            <w:tcW w:w="5103" w:type="dxa"/>
            <w:gridSpan w:val="3"/>
            <w:vMerge/>
          </w:tcPr>
          <w:p w14:paraId="2F2114F1" w14:textId="77777777" w:rsidR="00FA46A0" w:rsidRDefault="00FA46A0" w:rsidP="00FF5729">
            <w:pPr>
              <w:pStyle w:val="Tabletext"/>
              <w:ind w:left="142" w:hanging="391"/>
            </w:pPr>
          </w:p>
        </w:tc>
      </w:tr>
      <w:tr w:rsidR="00FA46A0" w14:paraId="7C655899" w14:textId="77777777" w:rsidTr="00777BDB">
        <w:trPr>
          <w:cantSplit/>
          <w:trHeight w:val="2868"/>
        </w:trPr>
        <w:tc>
          <w:tcPr>
            <w:tcW w:w="1314" w:type="dxa"/>
            <w:gridSpan w:val="3"/>
          </w:tcPr>
          <w:p w14:paraId="5AEED92B" w14:textId="77777777" w:rsidR="00FA46A0" w:rsidRPr="00B74D2C" w:rsidRDefault="00B61012" w:rsidP="00777BDB">
            <w:pPr>
              <w:pStyle w:val="Tabletext"/>
              <w:ind w:left="-15"/>
              <w:rPr>
                <w:b/>
                <w:sz w:val="22"/>
                <w:szCs w:val="18"/>
              </w:rPr>
            </w:pPr>
            <w:r w:rsidRPr="00B74D2C">
              <w:rPr>
                <w:b/>
                <w:sz w:val="22"/>
                <w:szCs w:val="18"/>
              </w:rPr>
              <w:t>Fax:</w:t>
            </w:r>
          </w:p>
          <w:p w14:paraId="19467D43" w14:textId="180E1A52" w:rsidR="00777BDB" w:rsidRPr="00B74D2C" w:rsidRDefault="00777BDB" w:rsidP="00777BDB">
            <w:pPr>
              <w:pStyle w:val="Tabletext"/>
              <w:ind w:left="-15"/>
              <w:rPr>
                <w:sz w:val="22"/>
                <w:szCs w:val="18"/>
              </w:rPr>
            </w:pPr>
            <w:r w:rsidRPr="00B74D2C">
              <w:rPr>
                <w:b/>
                <w:sz w:val="22"/>
                <w:szCs w:val="18"/>
              </w:rPr>
              <w:t>E-mail:</w:t>
            </w:r>
          </w:p>
        </w:tc>
        <w:tc>
          <w:tcPr>
            <w:tcW w:w="3544" w:type="dxa"/>
            <w:gridSpan w:val="2"/>
          </w:tcPr>
          <w:p w14:paraId="2D2A2CA6" w14:textId="77777777" w:rsidR="00FA46A0" w:rsidRPr="00B74D2C" w:rsidRDefault="00B61012">
            <w:pPr>
              <w:pStyle w:val="Tabletext"/>
              <w:rPr>
                <w:sz w:val="22"/>
                <w:szCs w:val="18"/>
              </w:rPr>
            </w:pPr>
            <w:r w:rsidRPr="00B74D2C">
              <w:rPr>
                <w:sz w:val="22"/>
                <w:szCs w:val="18"/>
              </w:rPr>
              <w:t>+41 22 730 5853</w:t>
            </w:r>
          </w:p>
          <w:p w14:paraId="45FFA5CF" w14:textId="77777777" w:rsidR="00777BDB" w:rsidRPr="00B74D2C" w:rsidRDefault="00AB7EB7" w:rsidP="00777BDB">
            <w:pPr>
              <w:pStyle w:val="Tabletext"/>
              <w:rPr>
                <w:sz w:val="22"/>
                <w:szCs w:val="18"/>
              </w:rPr>
            </w:pPr>
            <w:hyperlink r:id="rId12" w:history="1">
              <w:r w:rsidR="00777BDB" w:rsidRPr="00B74D2C">
                <w:rPr>
                  <w:rStyle w:val="Hyperlink"/>
                  <w:sz w:val="22"/>
                  <w:szCs w:val="18"/>
                </w:rPr>
                <w:t>tsbevents@itu.int</w:t>
              </w:r>
            </w:hyperlink>
          </w:p>
          <w:p w14:paraId="40402E9C" w14:textId="12A05D5B" w:rsidR="00777BDB" w:rsidRPr="00B74D2C" w:rsidRDefault="00777BDB">
            <w:pPr>
              <w:pStyle w:val="Tabletext"/>
              <w:rPr>
                <w:b/>
                <w:sz w:val="22"/>
                <w:szCs w:val="18"/>
              </w:rPr>
            </w:pPr>
          </w:p>
        </w:tc>
        <w:tc>
          <w:tcPr>
            <w:tcW w:w="5103" w:type="dxa"/>
            <w:gridSpan w:val="3"/>
            <w:vMerge/>
          </w:tcPr>
          <w:p w14:paraId="7948E425" w14:textId="77777777" w:rsidR="00FA46A0" w:rsidRDefault="00FA46A0" w:rsidP="00FF5729">
            <w:pPr>
              <w:pStyle w:val="Tabletext"/>
              <w:ind w:left="142" w:hanging="391"/>
            </w:pPr>
          </w:p>
        </w:tc>
      </w:tr>
      <w:tr w:rsidR="0046092C" w:rsidRPr="002053CA" w14:paraId="30572836" w14:textId="77777777" w:rsidTr="00777BDB">
        <w:trPr>
          <w:gridBefore w:val="1"/>
          <w:gridAfter w:val="1"/>
          <w:wBefore w:w="90" w:type="dxa"/>
          <w:wAfter w:w="1134" w:type="dxa"/>
          <w:cantSplit/>
          <w:trHeight w:val="870"/>
        </w:trPr>
        <w:tc>
          <w:tcPr>
            <w:tcW w:w="8737" w:type="dxa"/>
            <w:gridSpan w:val="6"/>
          </w:tcPr>
          <w:p w14:paraId="7624E509" w14:textId="0A8C51C5" w:rsidR="0046092C" w:rsidRDefault="0046092C" w:rsidP="00777BDB">
            <w:pPr>
              <w:ind w:left="-105"/>
              <w:rPr>
                <w:b/>
                <w:color w:val="000000" w:themeColor="text1"/>
              </w:rPr>
            </w:pPr>
            <w:r>
              <w:rPr>
                <w:b/>
              </w:rPr>
              <w:t>Subject:</w:t>
            </w:r>
            <w:r>
              <w:rPr>
                <w:b/>
              </w:rPr>
              <w:tab/>
            </w:r>
            <w:r w:rsidRPr="009C7EA3">
              <w:rPr>
                <w:b/>
                <w:bCs/>
              </w:rPr>
              <w:t xml:space="preserve">Insights on Digital Financial Services </w:t>
            </w:r>
            <w:r>
              <w:rPr>
                <w:b/>
                <w:bCs/>
              </w:rPr>
              <w:t>during</w:t>
            </w:r>
            <w:r w:rsidRPr="009C7EA3">
              <w:rPr>
                <w:b/>
                <w:bCs/>
              </w:rPr>
              <w:t xml:space="preserve"> COVID-19 </w:t>
            </w:r>
            <w:r>
              <w:rPr>
                <w:b/>
                <w:bCs/>
              </w:rPr>
              <w:t xml:space="preserve">Webinar Series </w:t>
            </w:r>
            <w:r>
              <w:rPr>
                <w:rFonts w:cs="Calibri"/>
                <w:b/>
                <w:bCs/>
                <w:szCs w:val="24"/>
                <w:lang w:val="en-US"/>
              </w:rPr>
              <w:br/>
            </w:r>
            <w:r>
              <w:rPr>
                <w:b/>
                <w:color w:val="FF0000"/>
              </w:rPr>
              <w:tab/>
            </w:r>
            <w:r w:rsidRPr="00263EC2">
              <w:rPr>
                <w:b/>
                <w:color w:val="000000" w:themeColor="text1"/>
              </w:rPr>
              <w:t>(Fully Virtual Meetings</w:t>
            </w:r>
            <w:r w:rsidR="00215315">
              <w:rPr>
                <w:b/>
                <w:color w:val="000000" w:themeColor="text1"/>
              </w:rPr>
              <w:t>,</w:t>
            </w:r>
            <w:r w:rsidR="000854BD">
              <w:rPr>
                <w:bCs/>
                <w:color w:val="000000" w:themeColor="text1"/>
              </w:rPr>
              <w:t xml:space="preserve"> </w:t>
            </w:r>
            <w:r w:rsidR="000854BD" w:rsidRPr="00166F11">
              <w:rPr>
                <w:b/>
                <w:color w:val="000000" w:themeColor="text1"/>
              </w:rPr>
              <w:t>1</w:t>
            </w:r>
            <w:r w:rsidR="00215315">
              <w:rPr>
                <w:b/>
                <w:color w:val="000000" w:themeColor="text1"/>
              </w:rPr>
              <w:t xml:space="preserve">0 &amp; 27 July </w:t>
            </w:r>
            <w:r w:rsidR="008155B1" w:rsidRPr="00263EC2">
              <w:rPr>
                <w:b/>
                <w:color w:val="000000" w:themeColor="text1"/>
              </w:rPr>
              <w:t>2020</w:t>
            </w:r>
            <w:r w:rsidRPr="00263EC2">
              <w:rPr>
                <w:b/>
                <w:color w:val="000000" w:themeColor="text1"/>
              </w:rPr>
              <w:t>)</w:t>
            </w:r>
          </w:p>
          <w:p w14:paraId="69F67E46" w14:textId="4D9C097D" w:rsidR="008867DE" w:rsidRPr="00614B80" w:rsidRDefault="008867DE" w:rsidP="00777BDB">
            <w:pPr>
              <w:ind w:left="-105"/>
              <w:rPr>
                <w:rFonts w:cs="Calibri"/>
                <w:szCs w:val="24"/>
                <w:lang w:val="en-US"/>
              </w:rPr>
            </w:pPr>
          </w:p>
        </w:tc>
      </w:tr>
    </w:tbl>
    <w:p w14:paraId="2E79DD16" w14:textId="0C09F92A" w:rsidR="00FA46A0" w:rsidRDefault="00B61012">
      <w:r>
        <w:t>Dear Sir/Madam,</w:t>
      </w:r>
    </w:p>
    <w:p w14:paraId="4A02256B" w14:textId="7B7A215E" w:rsidR="00B6249D" w:rsidRDefault="00DB073F" w:rsidP="00777BDB">
      <w:pPr>
        <w:jc w:val="both"/>
      </w:pPr>
      <w:bookmarkStart w:id="0" w:name="suitetext"/>
      <w:bookmarkStart w:id="1" w:name="text"/>
      <w:bookmarkEnd w:id="0"/>
      <w:bookmarkEnd w:id="1"/>
      <w:r w:rsidRPr="00DB073F">
        <w:rPr>
          <w:bCs/>
        </w:rPr>
        <w:t>1</w:t>
      </w:r>
      <w:r w:rsidRPr="00DB073F">
        <w:tab/>
      </w:r>
      <w:bookmarkStart w:id="2" w:name="_Hlk38880448"/>
      <w:r w:rsidRPr="00DB073F">
        <w:t xml:space="preserve">The International Telecommunication (ITU) </w:t>
      </w:r>
      <w:r w:rsidR="00215315">
        <w:t>continues in the</w:t>
      </w:r>
      <w:r w:rsidR="00614B80">
        <w:t xml:space="preserve"> series of webinars</w:t>
      </w:r>
      <w:r w:rsidR="00EE5435">
        <w:t xml:space="preserve"> on</w:t>
      </w:r>
      <w:r w:rsidR="00911C5C">
        <w:t xml:space="preserve"> </w:t>
      </w:r>
      <w:hyperlink r:id="rId13" w:history="1">
        <w:r w:rsidR="00911C5C" w:rsidRPr="00A97013">
          <w:rPr>
            <w:rStyle w:val="Hyperlink"/>
          </w:rPr>
          <w:t>Insights on Digital Financial Services</w:t>
        </w:r>
        <w:r w:rsidR="00E95209" w:rsidRPr="00A97013">
          <w:rPr>
            <w:rStyle w:val="Hyperlink"/>
          </w:rPr>
          <w:t xml:space="preserve"> (DFS)</w:t>
        </w:r>
        <w:r w:rsidR="00911C5C" w:rsidRPr="00A97013">
          <w:rPr>
            <w:rStyle w:val="Hyperlink"/>
          </w:rPr>
          <w:t xml:space="preserve"> during COVID-19</w:t>
        </w:r>
      </w:hyperlink>
      <w:r w:rsidR="00911C5C" w:rsidRPr="00A97013">
        <w:t xml:space="preserve"> </w:t>
      </w:r>
      <w:r w:rsidR="00911C5C">
        <w:t xml:space="preserve">with </w:t>
      </w:r>
      <w:r w:rsidR="00911C5C" w:rsidRPr="00777BDB">
        <w:t xml:space="preserve">the </w:t>
      </w:r>
      <w:r w:rsidR="00897A7A" w:rsidRPr="00777BDB">
        <w:rPr>
          <w:shd w:val="clear" w:color="auto" w:fill="FFFFFF"/>
        </w:rPr>
        <w:t xml:space="preserve">objectives of discussing the </w:t>
      </w:r>
      <w:r w:rsidR="00897A7A" w:rsidRPr="00777BDB">
        <w:rPr>
          <w:rStyle w:val="Strong"/>
          <w:b w:val="0"/>
          <w:bCs w:val="0"/>
        </w:rPr>
        <w:t>innovative applications of telecommunications services, digital payments and fintech</w:t>
      </w:r>
      <w:r w:rsidR="00132E69" w:rsidRPr="00777BDB">
        <w:rPr>
          <w:rStyle w:val="Strong"/>
          <w:b w:val="0"/>
          <w:bCs w:val="0"/>
        </w:rPr>
        <w:t>,</w:t>
      </w:r>
      <w:r w:rsidR="00897A7A" w:rsidRPr="00777BDB">
        <w:rPr>
          <w:rStyle w:val="Strong"/>
          <w:b w:val="0"/>
          <w:bCs w:val="0"/>
        </w:rPr>
        <w:t xml:space="preserve"> in addressing </w:t>
      </w:r>
      <w:r w:rsidR="00A00764" w:rsidRPr="00777BDB">
        <w:rPr>
          <w:rStyle w:val="Strong"/>
          <w:b w:val="0"/>
          <w:bCs w:val="0"/>
        </w:rPr>
        <w:t xml:space="preserve">the social distancing related challenges, triggered by </w:t>
      </w:r>
      <w:r w:rsidR="00897A7A" w:rsidRPr="00777BDB">
        <w:rPr>
          <w:shd w:val="clear" w:color="auto" w:fill="FFFFFF"/>
        </w:rPr>
        <w:t>COVID-19</w:t>
      </w:r>
      <w:r w:rsidR="00132E69" w:rsidRPr="00777BDB">
        <w:rPr>
          <w:shd w:val="clear" w:color="auto" w:fill="FFFFFF"/>
        </w:rPr>
        <w:t>.</w:t>
      </w:r>
      <w:r w:rsidR="00FD50EA" w:rsidRPr="00777BDB">
        <w:rPr>
          <w:shd w:val="clear" w:color="auto" w:fill="FFFFFF"/>
        </w:rPr>
        <w:t xml:space="preserve"> </w:t>
      </w:r>
      <w:r w:rsidR="00132E69" w:rsidRPr="00777BDB">
        <w:rPr>
          <w:shd w:val="clear" w:color="auto" w:fill="FFFFFF"/>
        </w:rPr>
        <w:t>The webinar</w:t>
      </w:r>
      <w:r w:rsidR="009C0CE4">
        <w:rPr>
          <w:shd w:val="clear" w:color="auto" w:fill="FFFFFF"/>
        </w:rPr>
        <w:t>s</w:t>
      </w:r>
      <w:r w:rsidR="00132E69" w:rsidRPr="00777BDB">
        <w:rPr>
          <w:shd w:val="clear" w:color="auto" w:fill="FFFFFF"/>
        </w:rPr>
        <w:t xml:space="preserve"> will</w:t>
      </w:r>
      <w:r w:rsidR="00897A7A" w:rsidRPr="00777BDB">
        <w:rPr>
          <w:shd w:val="clear" w:color="auto" w:fill="FFFFFF"/>
        </w:rPr>
        <w:t xml:space="preserve"> share lessons learned from countries and DFS stakeholders on the </w:t>
      </w:r>
      <w:r w:rsidR="00132E69" w:rsidRPr="00777BDB">
        <w:rPr>
          <w:shd w:val="clear" w:color="auto" w:fill="FFFFFF"/>
        </w:rPr>
        <w:t xml:space="preserve">diverse </w:t>
      </w:r>
      <w:r w:rsidR="00897A7A" w:rsidRPr="00777BDB">
        <w:rPr>
          <w:shd w:val="clear" w:color="auto" w:fill="FFFFFF"/>
        </w:rPr>
        <w:t xml:space="preserve">measures </w:t>
      </w:r>
      <w:r w:rsidR="00375A8A" w:rsidRPr="00777BDB">
        <w:rPr>
          <w:shd w:val="clear" w:color="auto" w:fill="FFFFFF"/>
        </w:rPr>
        <w:t>being implemented</w:t>
      </w:r>
      <w:r w:rsidR="00911C5C" w:rsidRPr="00777BDB">
        <w:t>. The</w:t>
      </w:r>
      <w:r w:rsidR="006507DB">
        <w:t xml:space="preserve"> </w:t>
      </w:r>
      <w:r w:rsidR="00147578">
        <w:t>subsequent</w:t>
      </w:r>
      <w:r w:rsidR="00911C5C" w:rsidRPr="00777BDB">
        <w:t xml:space="preserve"> </w:t>
      </w:r>
      <w:r w:rsidR="00E43161" w:rsidRPr="00777BDB">
        <w:t xml:space="preserve">episodes </w:t>
      </w:r>
      <w:r w:rsidR="00215315">
        <w:t xml:space="preserve">for the month of </w:t>
      </w:r>
      <w:r w:rsidR="003C6C1A">
        <w:t>Ju</w:t>
      </w:r>
      <w:r w:rsidR="00215315">
        <w:t>ly</w:t>
      </w:r>
      <w:r w:rsidR="00911C5C" w:rsidRPr="00777BDB">
        <w:t xml:space="preserve"> will </w:t>
      </w:r>
      <w:r w:rsidR="00215315">
        <w:t>explore the following topics</w:t>
      </w:r>
      <w:r w:rsidR="00911C5C" w:rsidRPr="00777BDB">
        <w:t xml:space="preserve"> below:</w:t>
      </w:r>
    </w:p>
    <w:p w14:paraId="37C377C1" w14:textId="59E1762B" w:rsidR="006C3E27" w:rsidRDefault="00B6249D" w:rsidP="00B6249D">
      <w:pPr>
        <w:ind w:left="720" w:right="895" w:hanging="436"/>
        <w:jc w:val="both"/>
      </w:pPr>
      <w:r>
        <w:t>a)</w:t>
      </w:r>
      <w:r w:rsidR="0040033A">
        <w:tab/>
      </w:r>
      <w:r w:rsidR="006C3E27">
        <w:t xml:space="preserve">Episode </w:t>
      </w:r>
      <w:r>
        <w:t>9</w:t>
      </w:r>
      <w:r w:rsidR="006C3E27">
        <w:t>:</w:t>
      </w:r>
      <w:r w:rsidRPr="00B6249D">
        <w:t xml:space="preserve"> </w:t>
      </w:r>
      <w:r w:rsidRPr="00B6249D">
        <w:rPr>
          <w:b/>
          <w:bCs/>
        </w:rPr>
        <w:t>Tracking</w:t>
      </w:r>
      <w:r w:rsidRPr="00B6249D">
        <w:t xml:space="preserve"> </w:t>
      </w:r>
      <w:r w:rsidRPr="00B6249D">
        <w:rPr>
          <w:b/>
          <w:bCs/>
        </w:rPr>
        <w:t>Digital Financial Crimes and Fraud</w:t>
      </w:r>
      <w:r>
        <w:t xml:space="preserve"> </w:t>
      </w:r>
      <w:r w:rsidRPr="00B6249D">
        <w:t>on 10 July 2020</w:t>
      </w:r>
      <w:r>
        <w:t xml:space="preserve"> at</w:t>
      </w:r>
      <w:r w:rsidRPr="00B6249D">
        <w:t xml:space="preserve"> 3:00 – 4:30</w:t>
      </w:r>
      <w:r>
        <w:t xml:space="preserve"> </w:t>
      </w:r>
      <w:r w:rsidRPr="00B6249D">
        <w:t>pm CEST.</w:t>
      </w:r>
    </w:p>
    <w:p w14:paraId="7165E7D7" w14:textId="397F2AA9" w:rsidR="00B6249D" w:rsidRPr="00B6249D" w:rsidRDefault="006C3E27" w:rsidP="00B6249D">
      <w:pPr>
        <w:ind w:left="720" w:right="895" w:hanging="436"/>
        <w:jc w:val="both"/>
        <w:rPr>
          <w:bCs/>
          <w:szCs w:val="24"/>
        </w:rPr>
      </w:pPr>
      <w:r>
        <w:t>b</w:t>
      </w:r>
      <w:r w:rsidR="00777BDB">
        <w:t>)</w:t>
      </w:r>
      <w:r w:rsidR="0040033A">
        <w:tab/>
      </w:r>
      <w:r w:rsidR="003C6C1A">
        <w:t>Episode</w:t>
      </w:r>
      <w:r w:rsidR="00B6249D">
        <w:t xml:space="preserve"> 10</w:t>
      </w:r>
      <w:r w:rsidR="003C6C1A">
        <w:t>:</w:t>
      </w:r>
      <w:bookmarkStart w:id="3" w:name="_Hlk43882934"/>
      <w:bookmarkStart w:id="4" w:name="_Hlk43802841"/>
      <w:r w:rsidR="00B6249D">
        <w:rPr>
          <w:b/>
          <w:bCs/>
          <w:szCs w:val="24"/>
        </w:rPr>
        <w:t xml:space="preserve"> </w:t>
      </w:r>
      <w:r w:rsidR="00B6249D" w:rsidRPr="00B6249D">
        <w:rPr>
          <w:b/>
          <w:szCs w:val="24"/>
          <w:lang w:val="en-US"/>
        </w:rPr>
        <w:t>Interoperability and resiliency requirements of Digital Payments System</w:t>
      </w:r>
      <w:r w:rsidR="00B6249D" w:rsidRPr="00B6249D">
        <w:rPr>
          <w:b/>
          <w:szCs w:val="24"/>
        </w:rPr>
        <w:t xml:space="preserve">, </w:t>
      </w:r>
      <w:r w:rsidR="00B6249D" w:rsidRPr="00B6249D">
        <w:rPr>
          <w:bCs/>
          <w:szCs w:val="24"/>
        </w:rPr>
        <w:t xml:space="preserve">27 July </w:t>
      </w:r>
      <w:bookmarkEnd w:id="3"/>
      <w:bookmarkEnd w:id="4"/>
      <w:r w:rsidR="00B6249D" w:rsidRPr="00B6249D">
        <w:rPr>
          <w:bCs/>
          <w:szCs w:val="24"/>
        </w:rPr>
        <w:t>2020 at 3:30 -</w:t>
      </w:r>
      <w:r w:rsidR="00B6249D">
        <w:rPr>
          <w:bCs/>
          <w:szCs w:val="24"/>
        </w:rPr>
        <w:t xml:space="preserve"> </w:t>
      </w:r>
      <w:r w:rsidR="00B6249D" w:rsidRPr="00B6249D">
        <w:rPr>
          <w:bCs/>
          <w:szCs w:val="24"/>
        </w:rPr>
        <w:t>5:00 pm CEST</w:t>
      </w:r>
      <w:r w:rsidR="0040033A">
        <w:rPr>
          <w:bCs/>
          <w:szCs w:val="24"/>
        </w:rPr>
        <w:t>.</w:t>
      </w:r>
    </w:p>
    <w:bookmarkEnd w:id="2"/>
    <w:p w14:paraId="44BDA0A8" w14:textId="14459770" w:rsidR="0040033A" w:rsidRDefault="00263EC2" w:rsidP="00147578">
      <w:pPr>
        <w:jc w:val="both"/>
        <w:rPr>
          <w:rFonts w:cs="Calibri"/>
          <w:szCs w:val="24"/>
          <w:shd w:val="clear" w:color="auto" w:fill="FFFFFF"/>
        </w:rPr>
      </w:pPr>
      <w:r>
        <w:t>2</w:t>
      </w:r>
      <w:r w:rsidR="00734AAB" w:rsidRPr="00777BDB">
        <w:tab/>
      </w:r>
      <w:r w:rsidR="00B6249D" w:rsidRPr="00B6249D">
        <w:rPr>
          <w:rFonts w:cs="Calibri"/>
          <w:szCs w:val="24"/>
          <w:shd w:val="clear" w:color="auto" w:fill="FFFFFF"/>
        </w:rPr>
        <w:t>The ninth episode</w:t>
      </w:r>
      <w:bookmarkStart w:id="5" w:name="_Hlk43914654"/>
      <w:r w:rsidR="00215315">
        <w:rPr>
          <w:rFonts w:cs="Calibri"/>
          <w:szCs w:val="24"/>
          <w:shd w:val="clear" w:color="auto" w:fill="FFFFFF"/>
        </w:rPr>
        <w:t xml:space="preserve"> </w:t>
      </w:r>
      <w:r w:rsidR="00B6249D" w:rsidRPr="00B6249D">
        <w:rPr>
          <w:rFonts w:cs="Calibri"/>
          <w:szCs w:val="24"/>
          <w:shd w:val="clear" w:color="auto" w:fill="FFFFFF"/>
        </w:rPr>
        <w:t xml:space="preserve">on </w:t>
      </w:r>
      <w:r w:rsidR="00B6249D" w:rsidRPr="00B6249D">
        <w:rPr>
          <w:rFonts w:cs="Calibri"/>
          <w:b/>
          <w:bCs/>
          <w:szCs w:val="24"/>
          <w:shd w:val="clear" w:color="auto" w:fill="FFFFFF"/>
        </w:rPr>
        <w:t>Tracking Digital Financial Crimes and Fraud</w:t>
      </w:r>
      <w:r w:rsidR="00B6249D" w:rsidRPr="00B6249D">
        <w:rPr>
          <w:rFonts w:cs="Calibri"/>
          <w:szCs w:val="24"/>
          <w:shd w:val="clear" w:color="auto" w:fill="FFFFFF"/>
        </w:rPr>
        <w:t xml:space="preserve"> </w:t>
      </w:r>
      <w:bookmarkEnd w:id="5"/>
      <w:r w:rsidR="00B6249D" w:rsidRPr="00B6249D">
        <w:rPr>
          <w:rFonts w:cs="Calibri"/>
          <w:szCs w:val="24"/>
          <w:shd w:val="clear" w:color="auto" w:fill="FFFFFF"/>
        </w:rPr>
        <w:t>will explore</w:t>
      </w:r>
      <w:r w:rsidR="00B6249D">
        <w:rPr>
          <w:rFonts w:cs="Calibri"/>
          <w:szCs w:val="24"/>
          <w:shd w:val="clear" w:color="auto" w:fill="FFFFFF"/>
        </w:rPr>
        <w:t xml:space="preserve"> </w:t>
      </w:r>
      <w:r w:rsidR="00B6249D" w:rsidRPr="00B6249D">
        <w:rPr>
          <w:rFonts w:cs="Calibri"/>
          <w:szCs w:val="24"/>
          <w:shd w:val="clear" w:color="auto" w:fill="FFFFFF"/>
        </w:rPr>
        <w:t xml:space="preserve">how fraudsters are leveraging increased fear and uncertainty during the COVID-19 pandemic to steal money. Scammers have been known to lure customers from trusted e-commerce sites offering products that claim to prevent COVID-19 onto unrelated and unregulated messaging sites to accept payment in cryptocurrencies for products that do not actually exist. The session will provide an insight on tools that can be used for tracking digital financial crimes fraud. </w:t>
      </w:r>
    </w:p>
    <w:p w14:paraId="6112409C" w14:textId="48BD1E86" w:rsidR="003C6C1A" w:rsidRDefault="0040033A" w:rsidP="0040033A">
      <w:pPr>
        <w:tabs>
          <w:tab w:val="clear" w:pos="794"/>
          <w:tab w:val="clear" w:pos="1191"/>
          <w:tab w:val="clear" w:pos="1588"/>
          <w:tab w:val="clear" w:pos="1985"/>
        </w:tabs>
        <w:overflowPunct/>
        <w:autoSpaceDE/>
        <w:autoSpaceDN/>
        <w:adjustRightInd/>
        <w:spacing w:before="0"/>
        <w:textAlignment w:val="auto"/>
        <w:rPr>
          <w:rFonts w:cs="Calibri"/>
          <w:szCs w:val="24"/>
          <w:shd w:val="clear" w:color="auto" w:fill="FFFFFF"/>
        </w:rPr>
      </w:pPr>
      <w:r>
        <w:rPr>
          <w:rFonts w:cs="Calibri"/>
          <w:szCs w:val="24"/>
          <w:shd w:val="clear" w:color="auto" w:fill="FFFFFF"/>
        </w:rPr>
        <w:br w:type="page"/>
      </w:r>
    </w:p>
    <w:p w14:paraId="3B4F9953" w14:textId="37143E26" w:rsidR="0050647F" w:rsidRDefault="00263EC2" w:rsidP="00777BDB">
      <w:pPr>
        <w:jc w:val="both"/>
        <w:rPr>
          <w:rFonts w:cs="Calibri"/>
          <w:szCs w:val="24"/>
          <w:shd w:val="clear" w:color="auto" w:fill="FFFFFF"/>
        </w:rPr>
      </w:pPr>
      <w:r>
        <w:rPr>
          <w:rFonts w:cs="Calibri"/>
          <w:szCs w:val="24"/>
          <w:shd w:val="clear" w:color="auto" w:fill="FFFFFF"/>
        </w:rPr>
        <w:lastRenderedPageBreak/>
        <w:t>3</w:t>
      </w:r>
      <w:r w:rsidR="00923099" w:rsidRPr="00777BDB">
        <w:rPr>
          <w:rFonts w:cs="Calibri"/>
          <w:szCs w:val="24"/>
          <w:shd w:val="clear" w:color="auto" w:fill="FFFFFF"/>
        </w:rPr>
        <w:tab/>
      </w:r>
      <w:r w:rsidR="00B6249D" w:rsidRPr="00B6249D">
        <w:rPr>
          <w:rFonts w:cs="Calibri"/>
          <w:szCs w:val="24"/>
          <w:shd w:val="clear" w:color="auto" w:fill="FFFFFF"/>
        </w:rPr>
        <w:t xml:space="preserve">The tenth </w:t>
      </w:r>
      <w:r w:rsidR="00B6249D">
        <w:rPr>
          <w:rFonts w:cs="Calibri"/>
          <w:szCs w:val="24"/>
          <w:shd w:val="clear" w:color="auto" w:fill="FFFFFF"/>
        </w:rPr>
        <w:t xml:space="preserve">episode will </w:t>
      </w:r>
      <w:r w:rsidR="00215315">
        <w:rPr>
          <w:rFonts w:cs="Calibri"/>
          <w:szCs w:val="24"/>
          <w:shd w:val="clear" w:color="auto" w:fill="FFFFFF"/>
        </w:rPr>
        <w:t xml:space="preserve">explore the subject of </w:t>
      </w:r>
      <w:r w:rsidR="00B6249D" w:rsidRPr="00B6249D">
        <w:rPr>
          <w:rFonts w:cs="Calibri"/>
          <w:b/>
          <w:bCs/>
          <w:szCs w:val="24"/>
          <w:shd w:val="clear" w:color="auto" w:fill="FFFFFF"/>
        </w:rPr>
        <w:t>“</w:t>
      </w:r>
      <w:r w:rsidR="00B6249D" w:rsidRPr="00B6249D">
        <w:rPr>
          <w:rFonts w:cs="Calibri"/>
          <w:b/>
          <w:szCs w:val="24"/>
          <w:shd w:val="clear" w:color="auto" w:fill="FFFFFF"/>
          <w:lang w:val="en-US"/>
        </w:rPr>
        <w:t>Interoperability and resiliency requirements of Digital Payments System”</w:t>
      </w:r>
      <w:r w:rsidR="00215315">
        <w:rPr>
          <w:rFonts w:cs="Calibri"/>
          <w:b/>
          <w:szCs w:val="24"/>
          <w:shd w:val="clear" w:color="auto" w:fill="FFFFFF"/>
        </w:rPr>
        <w:t>.</w:t>
      </w:r>
      <w:r w:rsidR="00215315">
        <w:rPr>
          <w:rFonts w:cs="Calibri"/>
          <w:szCs w:val="24"/>
          <w:shd w:val="clear" w:color="auto" w:fill="FFFFFF"/>
        </w:rPr>
        <w:t xml:space="preserve">  </w:t>
      </w:r>
      <w:r w:rsidR="00B6249D" w:rsidRPr="00B6249D">
        <w:rPr>
          <w:rFonts w:cs="Calibri"/>
          <w:szCs w:val="24"/>
          <w:shd w:val="clear" w:color="auto" w:fill="FFFFFF"/>
        </w:rPr>
        <w:t>COVID-19 will most probably lead to an increasing demand for digital payments across the world. This will inadvertently result in significant challenges for governments and digital financial services providers in emerging economies. During the coronavirus crisis, digital payments have kept the economies running and helped people reduce contact with virus. Contactless digital payments at the point of sale, such as facial recognition, Quick Response (QR) codes or near-field communications (NFC), have reduced the risk of the virus spreading through cash exchanges. However, in order to achieve scale, governments and merchants will need to embrace interoperable digital payments, manage risks in the mobile and payments ecosystem and be able to integrate different payment systems to reduce the need for cash in cash out. In this respect, the digital payments infrastructure needs to be interoperable and resiliency built in, in order to support the increase in demand and diverse payment system. This session will discuss the different measures regarding interoperability, resiliency and infrastructure that can be leveraged to create a robust digital payment system.</w:t>
      </w:r>
    </w:p>
    <w:p w14:paraId="3629B0D6" w14:textId="43554301" w:rsidR="00215315" w:rsidRDefault="00215315" w:rsidP="00777BDB">
      <w:pPr>
        <w:jc w:val="both"/>
      </w:pPr>
      <w:r>
        <w:rPr>
          <w:bCs/>
        </w:rPr>
        <w:t>4</w:t>
      </w:r>
      <w:r w:rsidR="004B4C11" w:rsidRPr="00777BDB">
        <w:tab/>
        <w:t>Participation in these webinars are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4B4C11" w:rsidRPr="00C56D9B">
        <w:t xml:space="preserve">. </w:t>
      </w:r>
    </w:p>
    <w:p w14:paraId="5108E31C" w14:textId="1A03E98C" w:rsidR="008849B8" w:rsidRDefault="00215315" w:rsidP="00777BDB">
      <w:pPr>
        <w:jc w:val="both"/>
      </w:pPr>
      <w:r>
        <w:t>5</w:t>
      </w:r>
      <w:r w:rsidR="00DB073F" w:rsidRPr="00C56D9B">
        <w:tab/>
      </w:r>
      <w:r w:rsidR="003A457D">
        <w:t>All relevant i</w:t>
      </w:r>
      <w:r w:rsidR="00DB073F" w:rsidRPr="00C56D9B">
        <w:t xml:space="preserve">nformation </w:t>
      </w:r>
      <w:r w:rsidR="002053CA">
        <w:t>pertaining</w:t>
      </w:r>
      <w:r w:rsidR="00DB073F" w:rsidRPr="00C56D9B">
        <w:t xml:space="preserve"> to the </w:t>
      </w:r>
      <w:r w:rsidR="003A457D">
        <w:t>webinar</w:t>
      </w:r>
      <w:r w:rsidR="00D61259">
        <w:t>s</w:t>
      </w:r>
      <w:r w:rsidR="00A00764">
        <w:t xml:space="preserve"> </w:t>
      </w:r>
      <w:r w:rsidR="0006441C">
        <w:t>(speakers, registration</w:t>
      </w:r>
      <w:r w:rsidR="00A00764">
        <w:t xml:space="preserve"> links</w:t>
      </w:r>
      <w:r w:rsidR="0006441C">
        <w:t>, remote connection details)</w:t>
      </w:r>
      <w:r w:rsidR="00DB073F" w:rsidRPr="00C56D9B">
        <w:t xml:space="preserve"> will be </w:t>
      </w:r>
      <w:r w:rsidR="004B4C11">
        <w:t xml:space="preserve">made </w:t>
      </w:r>
      <w:r w:rsidR="00DB073F" w:rsidRPr="00C56D9B">
        <w:t>available on the</w:t>
      </w:r>
      <w:r w:rsidR="00D61259">
        <w:t xml:space="preserve"> </w:t>
      </w:r>
      <w:hyperlink r:id="rId14" w:history="1">
        <w:r w:rsidR="00A00764" w:rsidRPr="00A00764">
          <w:rPr>
            <w:rStyle w:val="Hyperlink"/>
          </w:rPr>
          <w:t>main landing page</w:t>
        </w:r>
      </w:hyperlink>
      <w:r w:rsidR="00A00764">
        <w:t xml:space="preserve"> and the </w:t>
      </w:r>
      <w:r w:rsidR="00D61259">
        <w:t>respective</w:t>
      </w:r>
      <w:r w:rsidR="00DB073F" w:rsidRPr="00C56D9B">
        <w:t xml:space="preserve"> event website</w:t>
      </w:r>
      <w:r w:rsidR="00614B80">
        <w:t>s</w:t>
      </w:r>
      <w:r w:rsidR="00DB073F" w:rsidRPr="00C56D9B">
        <w:t xml:space="preserve"> </w:t>
      </w:r>
      <w:r w:rsidR="00A672CE">
        <w:t>below. T</w:t>
      </w:r>
      <w:r w:rsidR="00A672CE" w:rsidRPr="00C56D9B">
        <w:t>h</w:t>
      </w:r>
      <w:r w:rsidR="00A672CE">
        <w:t>ese</w:t>
      </w:r>
      <w:r w:rsidR="00A672CE" w:rsidRPr="00C56D9B">
        <w:t xml:space="preserve"> website</w:t>
      </w:r>
      <w:r w:rsidR="00A672CE">
        <w:t>s</w:t>
      </w:r>
      <w:r w:rsidR="00A672CE" w:rsidRPr="00C56D9B">
        <w:t xml:space="preserve"> will be regularly updated as new or modified information become</w:t>
      </w:r>
      <w:r w:rsidR="00A672CE">
        <w:t>s</w:t>
      </w:r>
      <w:r w:rsidR="00A672CE" w:rsidRPr="00C56D9B">
        <w:t xml:space="preserve"> available. Participants are requested to check periodically</w:t>
      </w:r>
      <w:r w:rsidR="009C0CE4">
        <w:t xml:space="preserve"> the episodes webpages</w:t>
      </w:r>
      <w:r w:rsidR="00A672CE" w:rsidRPr="00C56D9B">
        <w:t xml:space="preserve"> for new updates.</w:t>
      </w:r>
    </w:p>
    <w:p w14:paraId="062A4DCD" w14:textId="0FFD250D" w:rsidR="00166F11" w:rsidRDefault="00F73E52" w:rsidP="00F73E52">
      <w:pPr>
        <w:pStyle w:val="ListParagraph"/>
        <w:numPr>
          <w:ilvl w:val="0"/>
          <w:numId w:val="12"/>
        </w:numPr>
      </w:pPr>
      <w:r>
        <w:t>Episode</w:t>
      </w:r>
      <w:r w:rsidR="00241385">
        <w:t xml:space="preserve"> </w:t>
      </w:r>
      <w:r w:rsidR="00215315">
        <w:t>9</w:t>
      </w:r>
      <w:r>
        <w:t>:</w:t>
      </w:r>
      <w:r w:rsidRPr="00F73E52">
        <w:t xml:space="preserve"> </w:t>
      </w:r>
      <w:hyperlink r:id="rId15" w:history="1">
        <w:r w:rsidR="00215315" w:rsidRPr="00215315">
          <w:rPr>
            <w:rStyle w:val="Hyperlink"/>
          </w:rPr>
          <w:t>https://www.itu.int/en/ITU-T/webinars/20200710/Pages/default.aspx</w:t>
        </w:r>
      </w:hyperlink>
    </w:p>
    <w:p w14:paraId="5583DAFA" w14:textId="66A888D9" w:rsidR="00215315" w:rsidRDefault="00166F11" w:rsidP="00215315">
      <w:pPr>
        <w:pStyle w:val="ListParagraph"/>
        <w:numPr>
          <w:ilvl w:val="0"/>
          <w:numId w:val="12"/>
        </w:numPr>
      </w:pPr>
      <w:r>
        <w:t>Episode</w:t>
      </w:r>
      <w:r w:rsidR="00241385">
        <w:t xml:space="preserve"> </w:t>
      </w:r>
      <w:r w:rsidR="00215315">
        <w:t xml:space="preserve">10: </w:t>
      </w:r>
      <w:hyperlink r:id="rId16" w:history="1">
        <w:r w:rsidR="00215315" w:rsidRPr="00215315">
          <w:rPr>
            <w:rStyle w:val="Hyperlink"/>
          </w:rPr>
          <w:t>https://www.itu.int/en/ITU-T/webinars/20200727/Pages/default.aspx</w:t>
        </w:r>
      </w:hyperlink>
    </w:p>
    <w:p w14:paraId="6CEEAD1F" w14:textId="5D98D68A" w:rsidR="006507DB" w:rsidRDefault="00B61012" w:rsidP="006507DB">
      <w:pPr>
        <w:spacing w:before="360"/>
      </w:pPr>
      <w:r>
        <w:t>Yours faithfully,</w:t>
      </w:r>
    </w:p>
    <w:p w14:paraId="544863EC" w14:textId="4B6B6195" w:rsidR="00D62702" w:rsidRDefault="00AB7EB7" w:rsidP="0040033A">
      <w:pPr>
        <w:spacing w:before="960"/>
      </w:pPr>
      <w:r>
        <w:rPr>
          <w:noProof/>
        </w:rPr>
        <w:drawing>
          <wp:anchor distT="0" distB="0" distL="114300" distR="114300" simplePos="0" relativeHeight="251659264" behindDoc="1" locked="0" layoutInCell="1" allowOverlap="1" wp14:anchorId="3AEA11C1" wp14:editId="686980A9">
            <wp:simplePos x="0" y="0"/>
            <wp:positionH relativeFrom="margin">
              <wp:posOffset>0</wp:posOffset>
            </wp:positionH>
            <wp:positionV relativeFrom="paragraph">
              <wp:posOffset>156210</wp:posOffset>
            </wp:positionV>
            <wp:extent cx="744116"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263EC2">
        <w:t>Chaesub Lee</w:t>
      </w:r>
      <w:r w:rsidR="00B61012">
        <w:br/>
        <w:t>Director of the Telecommunication</w:t>
      </w:r>
      <w:r w:rsidR="00B61012">
        <w:br/>
        <w:t>Standardization Bureau</w:t>
      </w:r>
    </w:p>
    <w:sectPr w:rsidR="00D62702" w:rsidSect="009C1C76">
      <w:headerReference w:type="default" r:id="rId18"/>
      <w:footerReference w:type="first" r:id="rId19"/>
      <w:type w:val="oddPage"/>
      <w:pgSz w:w="11907" w:h="16834" w:code="9"/>
      <w:pgMar w:top="567" w:right="1134" w:bottom="567" w:left="1089" w:header="567"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1B8CD" w14:textId="77777777" w:rsidR="00491CBA" w:rsidRDefault="00491CBA">
      <w:r>
        <w:separator/>
      </w:r>
    </w:p>
  </w:endnote>
  <w:endnote w:type="continuationSeparator" w:id="0">
    <w:p w14:paraId="70024CC8" w14:textId="77777777" w:rsidR="00491CBA" w:rsidRDefault="00491CBA">
      <w:r>
        <w:continuationSeparator/>
      </w:r>
    </w:p>
  </w:endnote>
  <w:endnote w:type="continuationNotice" w:id="1">
    <w:p w14:paraId="309803B6" w14:textId="77777777" w:rsidR="00491CBA" w:rsidRDefault="00491C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32E4" w14:textId="77777777" w:rsidR="00FA46A0" w:rsidRDefault="00B61012" w:rsidP="009C1C76">
    <w:pPr>
      <w:pStyle w:val="FirstFooter"/>
      <w:spacing w:before="12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AC2C" w14:textId="77777777" w:rsidR="00491CBA" w:rsidRDefault="00491CBA">
      <w:r>
        <w:t>____________________</w:t>
      </w:r>
    </w:p>
  </w:footnote>
  <w:footnote w:type="continuationSeparator" w:id="0">
    <w:p w14:paraId="26C9A43A" w14:textId="77777777" w:rsidR="00491CBA" w:rsidRDefault="00491CBA">
      <w:r>
        <w:continuationSeparator/>
      </w:r>
    </w:p>
  </w:footnote>
  <w:footnote w:type="continuationNotice" w:id="1">
    <w:p w14:paraId="4F0D8E8C" w14:textId="77777777" w:rsidR="00491CBA" w:rsidRDefault="00491C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0215" w14:textId="77F19920" w:rsidR="00FA46A0" w:rsidRDefault="00B61012" w:rsidP="003A2D53">
    <w:pPr>
      <w:pStyle w:val="Heade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t>TSB Circular</w:t>
    </w:r>
    <w:r w:rsidR="00B45EE3">
      <w:rPr>
        <w:noProof/>
      </w:rPr>
      <w:t xml:space="preserve"> </w:t>
    </w:r>
    <w:r w:rsidR="0081453F">
      <w:rPr>
        <w:noProof/>
      </w:rPr>
      <w:t>25</w:t>
    </w:r>
    <w:r w:rsidR="00215315">
      <w:rPr>
        <w:noProof/>
      </w:rPr>
      <w:t>7</w:t>
    </w:r>
  </w:p>
  <w:p w14:paraId="15FF7102" w14:textId="77777777" w:rsidR="003A2D53" w:rsidRDefault="003A2D53" w:rsidP="003A2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7640"/>
    <w:rsid w:val="00017751"/>
    <w:rsid w:val="00022E6B"/>
    <w:rsid w:val="0006441C"/>
    <w:rsid w:val="000854BD"/>
    <w:rsid w:val="000B15C8"/>
    <w:rsid w:val="000E167B"/>
    <w:rsid w:val="000E63D4"/>
    <w:rsid w:val="000F12BC"/>
    <w:rsid w:val="001018E1"/>
    <w:rsid w:val="001070C1"/>
    <w:rsid w:val="00112F37"/>
    <w:rsid w:val="00126089"/>
    <w:rsid w:val="00132E69"/>
    <w:rsid w:val="00147578"/>
    <w:rsid w:val="00166F11"/>
    <w:rsid w:val="00184FE3"/>
    <w:rsid w:val="00190890"/>
    <w:rsid w:val="00192949"/>
    <w:rsid w:val="001A34EC"/>
    <w:rsid w:val="001A7804"/>
    <w:rsid w:val="001B207C"/>
    <w:rsid w:val="001B23DC"/>
    <w:rsid w:val="001C6AA9"/>
    <w:rsid w:val="001F3D92"/>
    <w:rsid w:val="002030AC"/>
    <w:rsid w:val="002053CA"/>
    <w:rsid w:val="00205C30"/>
    <w:rsid w:val="00214D55"/>
    <w:rsid w:val="00215315"/>
    <w:rsid w:val="00241385"/>
    <w:rsid w:val="00244C45"/>
    <w:rsid w:val="00256169"/>
    <w:rsid w:val="00263EC2"/>
    <w:rsid w:val="002A598E"/>
    <w:rsid w:val="002D769D"/>
    <w:rsid w:val="002E6464"/>
    <w:rsid w:val="002F3AEA"/>
    <w:rsid w:val="00356B73"/>
    <w:rsid w:val="003746A5"/>
    <w:rsid w:val="00375A8A"/>
    <w:rsid w:val="00396C3B"/>
    <w:rsid w:val="003A0588"/>
    <w:rsid w:val="003A2D53"/>
    <w:rsid w:val="003A457D"/>
    <w:rsid w:val="003C19E2"/>
    <w:rsid w:val="003C6C1A"/>
    <w:rsid w:val="003D4690"/>
    <w:rsid w:val="003F264B"/>
    <w:rsid w:val="0040033A"/>
    <w:rsid w:val="00417BB6"/>
    <w:rsid w:val="00424AB7"/>
    <w:rsid w:val="00426109"/>
    <w:rsid w:val="004449A1"/>
    <w:rsid w:val="00453CEA"/>
    <w:rsid w:val="0046092C"/>
    <w:rsid w:val="00485E1E"/>
    <w:rsid w:val="00487330"/>
    <w:rsid w:val="00491CBA"/>
    <w:rsid w:val="004B4C11"/>
    <w:rsid w:val="004C61AB"/>
    <w:rsid w:val="004E3628"/>
    <w:rsid w:val="00503ADB"/>
    <w:rsid w:val="0050647F"/>
    <w:rsid w:val="00512DD4"/>
    <w:rsid w:val="00564751"/>
    <w:rsid w:val="005D35EA"/>
    <w:rsid w:val="005D54A8"/>
    <w:rsid w:val="005E003C"/>
    <w:rsid w:val="005F5921"/>
    <w:rsid w:val="00614B80"/>
    <w:rsid w:val="006507DB"/>
    <w:rsid w:val="00655190"/>
    <w:rsid w:val="00691DF1"/>
    <w:rsid w:val="006B410B"/>
    <w:rsid w:val="006B75D2"/>
    <w:rsid w:val="006C3E27"/>
    <w:rsid w:val="007214BC"/>
    <w:rsid w:val="00724ADE"/>
    <w:rsid w:val="00730A58"/>
    <w:rsid w:val="00733026"/>
    <w:rsid w:val="00734AAB"/>
    <w:rsid w:val="0075165B"/>
    <w:rsid w:val="00755C07"/>
    <w:rsid w:val="00773DBB"/>
    <w:rsid w:val="00777BDB"/>
    <w:rsid w:val="007845BE"/>
    <w:rsid w:val="007867C0"/>
    <w:rsid w:val="00792C3D"/>
    <w:rsid w:val="0079763E"/>
    <w:rsid w:val="007A65E8"/>
    <w:rsid w:val="007B680F"/>
    <w:rsid w:val="007E037C"/>
    <w:rsid w:val="007E6A46"/>
    <w:rsid w:val="0081453F"/>
    <w:rsid w:val="008155B1"/>
    <w:rsid w:val="00856950"/>
    <w:rsid w:val="008849B8"/>
    <w:rsid w:val="008867DE"/>
    <w:rsid w:val="00897A7A"/>
    <w:rsid w:val="008A567A"/>
    <w:rsid w:val="008C194B"/>
    <w:rsid w:val="009015EC"/>
    <w:rsid w:val="00911C5C"/>
    <w:rsid w:val="00923099"/>
    <w:rsid w:val="009320AF"/>
    <w:rsid w:val="009604C5"/>
    <w:rsid w:val="00963900"/>
    <w:rsid w:val="009747C5"/>
    <w:rsid w:val="009B2EB5"/>
    <w:rsid w:val="009C0CE4"/>
    <w:rsid w:val="009C1C76"/>
    <w:rsid w:val="00A00764"/>
    <w:rsid w:val="00A01844"/>
    <w:rsid w:val="00A13DFF"/>
    <w:rsid w:val="00A170F2"/>
    <w:rsid w:val="00A4592D"/>
    <w:rsid w:val="00A672CE"/>
    <w:rsid w:val="00A72C30"/>
    <w:rsid w:val="00A90E48"/>
    <w:rsid w:val="00A97013"/>
    <w:rsid w:val="00AB7EB7"/>
    <w:rsid w:val="00AC123E"/>
    <w:rsid w:val="00B2488F"/>
    <w:rsid w:val="00B30862"/>
    <w:rsid w:val="00B33656"/>
    <w:rsid w:val="00B45EE3"/>
    <w:rsid w:val="00B4669D"/>
    <w:rsid w:val="00B61012"/>
    <w:rsid w:val="00B6249D"/>
    <w:rsid w:val="00B74D2C"/>
    <w:rsid w:val="00C10B58"/>
    <w:rsid w:val="00C25C25"/>
    <w:rsid w:val="00C329DC"/>
    <w:rsid w:val="00C56D9B"/>
    <w:rsid w:val="00C7274E"/>
    <w:rsid w:val="00C8240A"/>
    <w:rsid w:val="00C87523"/>
    <w:rsid w:val="00C95BF6"/>
    <w:rsid w:val="00CB1857"/>
    <w:rsid w:val="00CD2852"/>
    <w:rsid w:val="00CD7082"/>
    <w:rsid w:val="00D04FFC"/>
    <w:rsid w:val="00D23212"/>
    <w:rsid w:val="00D61259"/>
    <w:rsid w:val="00D62702"/>
    <w:rsid w:val="00D80366"/>
    <w:rsid w:val="00D8175B"/>
    <w:rsid w:val="00D96B84"/>
    <w:rsid w:val="00DB073F"/>
    <w:rsid w:val="00DE6C68"/>
    <w:rsid w:val="00DF2415"/>
    <w:rsid w:val="00E15E03"/>
    <w:rsid w:val="00E3198A"/>
    <w:rsid w:val="00E43161"/>
    <w:rsid w:val="00E55BE0"/>
    <w:rsid w:val="00E708AF"/>
    <w:rsid w:val="00E7624F"/>
    <w:rsid w:val="00E95209"/>
    <w:rsid w:val="00EA2114"/>
    <w:rsid w:val="00EC15F4"/>
    <w:rsid w:val="00EC532B"/>
    <w:rsid w:val="00EE5435"/>
    <w:rsid w:val="00EF32E7"/>
    <w:rsid w:val="00F22314"/>
    <w:rsid w:val="00F436B0"/>
    <w:rsid w:val="00F73E52"/>
    <w:rsid w:val="00F85C94"/>
    <w:rsid w:val="00FA4331"/>
    <w:rsid w:val="00FA46A0"/>
    <w:rsid w:val="00FC1C19"/>
    <w:rsid w:val="00FD50EA"/>
    <w:rsid w:val="00FF1231"/>
    <w:rsid w:val="00FF5729"/>
    <w:rsid w:val="00FF6A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0949954">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618178498">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ebinars/Pages/df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webinars/20200727/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webinars/20200710/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ebinars/Pages/df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4F851-A872-4C76-AEF1-53CAF2F31AB6}">
  <ds:schemaRefs>
    <ds:schemaRef ds:uri="http://schemas.openxmlformats.org/officeDocument/2006/bibliography"/>
  </ds:schemaRefs>
</ds:datastoreItem>
</file>

<file path=customXml/itemProps2.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0E950-BF17-4707-A07D-825137B09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4584</CharactersWithSpaces>
  <SharedDoc>false</SharedDoc>
  <HLinks>
    <vt:vector size="42" baseType="variant">
      <vt:variant>
        <vt:i4>5046293</vt:i4>
      </vt:variant>
      <vt:variant>
        <vt:i4>12</vt:i4>
      </vt:variant>
      <vt:variant>
        <vt:i4>0</vt:i4>
      </vt:variant>
      <vt:variant>
        <vt:i4>5</vt:i4>
      </vt:variant>
      <vt:variant>
        <vt:lpwstr>https://www.itu.int/net4/CRM/xreg/web/registration.aspx?Event=C-00007766</vt:lpwstr>
      </vt:variant>
      <vt:variant>
        <vt:lpwstr/>
      </vt:variant>
      <vt:variant>
        <vt:i4>5111829</vt:i4>
      </vt:variant>
      <vt:variant>
        <vt:i4>9</vt:i4>
      </vt:variant>
      <vt:variant>
        <vt:i4>0</vt:i4>
      </vt:variant>
      <vt:variant>
        <vt:i4>5</vt:i4>
      </vt:variant>
      <vt:variant>
        <vt:lpwstr>https://www.itu.int/net4/CRM/xreg/web/Registration.aspx?Event=C-00007765</vt:lpwstr>
      </vt:variant>
      <vt:variant>
        <vt:lpwstr/>
      </vt:variant>
      <vt:variant>
        <vt:i4>80</vt:i4>
      </vt:variant>
      <vt:variant>
        <vt:i4>6</vt:i4>
      </vt:variant>
      <vt:variant>
        <vt:i4>0</vt:i4>
      </vt:variant>
      <vt:variant>
        <vt:i4>5</vt:i4>
      </vt:variant>
      <vt:variant>
        <vt:lpwstr>https://www.itu.int/en/ITU-T/webinars/20200520/Pages/default.aspx</vt:lpwstr>
      </vt:variant>
      <vt:variant>
        <vt:lpwstr/>
      </vt:variant>
      <vt:variant>
        <vt:i4>262227</vt:i4>
      </vt:variant>
      <vt:variant>
        <vt:i4>3</vt:i4>
      </vt:variant>
      <vt:variant>
        <vt:i4>0</vt:i4>
      </vt:variant>
      <vt:variant>
        <vt:i4>5</vt:i4>
      </vt:variant>
      <vt:variant>
        <vt:lpwstr>https://www.itu.int/en/ITU-T/webinars/20200514/Pages/default.aspx</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Gifty Amoah</dc:creator>
  <cp:keywords/>
  <dc:description/>
  <cp:lastModifiedBy>Braud, Olivia</cp:lastModifiedBy>
  <cp:revision>4</cp:revision>
  <cp:lastPrinted>2020-06-29T12:21:00Z</cp:lastPrinted>
  <dcterms:created xsi:type="dcterms:W3CDTF">2020-06-29T11:33:00Z</dcterms:created>
  <dcterms:modified xsi:type="dcterms:W3CDTF">2020-06-29T12:21:00Z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