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3693993" w14:textId="77777777" w:rsidTr="00D517B2">
        <w:trPr>
          <w:cantSplit/>
          <w:trHeight w:val="1134"/>
        </w:trPr>
        <w:tc>
          <w:tcPr>
            <w:tcW w:w="798" w:type="pct"/>
          </w:tcPr>
          <w:p w14:paraId="37C31FC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203326A" wp14:editId="6FB1D2A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3A7778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AA051A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11"/>
        <w:gridCol w:w="4393"/>
      </w:tblGrid>
      <w:tr w:rsidR="00D517B2" w:rsidRPr="00D517B2" w14:paraId="1C556CF6" w14:textId="77777777" w:rsidTr="00BF12C7">
        <w:trPr>
          <w:cantSplit/>
          <w:trHeight w:val="148"/>
          <w:jc w:val="center"/>
        </w:trPr>
        <w:tc>
          <w:tcPr>
            <w:tcW w:w="796" w:type="pct"/>
          </w:tcPr>
          <w:p w14:paraId="60DEA93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590F90D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9" w:type="pct"/>
          </w:tcPr>
          <w:p w14:paraId="4534F986" w14:textId="3654BBEE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76216">
              <w:rPr>
                <w:rFonts w:hint="cs"/>
                <w:position w:val="2"/>
                <w:rtl/>
              </w:rPr>
              <w:t>9</w:t>
            </w:r>
            <w:r w:rsidR="00C158F6">
              <w:rPr>
                <w:rFonts w:hint="cs"/>
                <w:position w:val="2"/>
                <w:rtl/>
              </w:rPr>
              <w:t xml:space="preserve"> </w:t>
            </w:r>
            <w:r w:rsidR="00B76216">
              <w:rPr>
                <w:rFonts w:hint="cs"/>
                <w:position w:val="2"/>
                <w:rtl/>
              </w:rPr>
              <w:t>يونيو</w:t>
            </w:r>
            <w:r w:rsidR="00C158F6">
              <w:rPr>
                <w:rFonts w:hint="cs"/>
                <w:position w:val="2"/>
                <w:rtl/>
              </w:rPr>
              <w:t xml:space="preserve"> 2020</w:t>
            </w:r>
          </w:p>
        </w:tc>
      </w:tr>
      <w:tr w:rsidR="00E84438" w:rsidRPr="00D517B2" w14:paraId="68BCA3DB" w14:textId="77777777" w:rsidTr="00BF12C7">
        <w:trPr>
          <w:cantSplit/>
          <w:trHeight w:val="831"/>
          <w:jc w:val="center"/>
        </w:trPr>
        <w:tc>
          <w:tcPr>
            <w:tcW w:w="796" w:type="pct"/>
          </w:tcPr>
          <w:p w14:paraId="1441E6B2" w14:textId="77777777" w:rsidR="00E84438" w:rsidRPr="00A9156F" w:rsidRDefault="00E84438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5" w:type="pct"/>
          </w:tcPr>
          <w:p w14:paraId="3F3BFF86" w14:textId="7AD32391" w:rsidR="00E84438" w:rsidRPr="00D517B2" w:rsidRDefault="00E84438" w:rsidP="007658FE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B76216">
              <w:rPr>
                <w:b/>
                <w:position w:val="2"/>
              </w:rPr>
              <w:t>255</w:t>
            </w:r>
            <w:r>
              <w:rPr>
                <w:b/>
                <w:position w:val="2"/>
              </w:rPr>
              <w:br/>
            </w:r>
            <w:r w:rsidR="00C158F6" w:rsidRPr="00C158F6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t xml:space="preserve"> </w:t>
            </w:r>
            <w:r w:rsidR="00C158F6" w:rsidRPr="00C158F6">
              <w:rPr>
                <w:bCs/>
                <w:position w:val="2"/>
                <w:lang w:val="en-GB"/>
              </w:rPr>
              <w:t>SG</w:t>
            </w:r>
            <w:r w:rsidR="00B76216">
              <w:rPr>
                <w:bCs/>
                <w:position w:val="2"/>
                <w:lang w:val="en-GB"/>
              </w:rPr>
              <w:t>2</w:t>
            </w:r>
            <w:r w:rsidR="00C158F6" w:rsidRPr="00C158F6">
              <w:rPr>
                <w:bCs/>
                <w:position w:val="2"/>
                <w:lang w:val="en-GB"/>
              </w:rPr>
              <w:t>/</w:t>
            </w:r>
            <w:r w:rsidR="00B76216">
              <w:rPr>
                <w:bCs/>
                <w:position w:val="2"/>
                <w:lang w:val="en-GB"/>
              </w:rPr>
              <w:t>RC</w:t>
            </w:r>
          </w:p>
        </w:tc>
        <w:tc>
          <w:tcPr>
            <w:tcW w:w="2279" w:type="pct"/>
            <w:vMerge w:val="restart"/>
          </w:tcPr>
          <w:p w14:paraId="7BC68EBE" w14:textId="77777777" w:rsidR="00E84438" w:rsidRPr="00863F83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624E884" w14:textId="0DE83D15" w:rsidR="00E84438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C158F6">
              <w:rPr>
                <w:rFonts w:hint="cs"/>
                <w:position w:val="2"/>
                <w:rtl/>
              </w:rPr>
              <w:t>؛</w:t>
            </w:r>
          </w:p>
          <w:p w14:paraId="217C08C7" w14:textId="61C14C00" w:rsidR="00C158F6" w:rsidRDefault="00C158F6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338F066" w14:textId="1A3CBE87" w:rsidR="00C158F6" w:rsidRPr="00863F83" w:rsidRDefault="00C158F6" w:rsidP="007658FE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BF12C7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374498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Pr="00BF12C7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لجنة الدراسات </w:t>
            </w:r>
            <w:r w:rsidR="00B76216">
              <w:rPr>
                <w:rFonts w:eastAsia="Times New Roman"/>
                <w:spacing w:val="-10"/>
                <w:position w:val="2"/>
                <w:lang w:eastAsia="en-US" w:bidi="ar-EG"/>
              </w:rPr>
              <w:t>2</w:t>
            </w:r>
            <w:r w:rsidR="00160C9E">
              <w:rPr>
                <w:rFonts w:hint="cs"/>
                <w:spacing w:val="-10"/>
                <w:position w:val="2"/>
                <w:rtl/>
              </w:rPr>
              <w:t xml:space="preserve"> لقطاع تقييس الاتصالات</w:t>
            </w:r>
            <w:r w:rsidRPr="00BF12C7">
              <w:rPr>
                <w:rFonts w:hint="cs"/>
                <w:spacing w:val="-10"/>
                <w:position w:val="2"/>
                <w:rtl/>
              </w:rPr>
              <w:t>؛</w:t>
            </w:r>
          </w:p>
          <w:p w14:paraId="4F8D8520" w14:textId="34A49D56" w:rsidR="00C158F6" w:rsidRPr="00863F83" w:rsidRDefault="00C158F6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0F8FDCD" w14:textId="159D6C8B" w:rsidR="00E84438" w:rsidRDefault="00E84438" w:rsidP="007658FE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B2D6009" w14:textId="3E1C6EC3" w:rsidR="00002A63" w:rsidRPr="00863F83" w:rsidRDefault="00E84438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 w:rsidR="00B76216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2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ونوابه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46CA2CCF" w14:textId="77777777" w:rsidR="00002A63" w:rsidRPr="00863F83" w:rsidRDefault="00002A63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8FC671" w14:textId="3C37920B" w:rsidR="00E84438" w:rsidRPr="00D517B2" w:rsidRDefault="00002A63" w:rsidP="007658FE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2AE5AB1D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27E6FB5A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5" w:type="pct"/>
          </w:tcPr>
          <w:p w14:paraId="634569A9" w14:textId="7BD41306" w:rsidR="00D517B2" w:rsidRPr="00D517B2" w:rsidRDefault="00D517B2" w:rsidP="007658FE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B76216">
              <w:rPr>
                <w:position w:val="2"/>
              </w:rPr>
              <w:t>5415</w:t>
            </w:r>
          </w:p>
        </w:tc>
        <w:tc>
          <w:tcPr>
            <w:tcW w:w="2279" w:type="pct"/>
            <w:vMerge/>
          </w:tcPr>
          <w:p w14:paraId="78F35A8C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F6E795F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47E253EC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5" w:type="pct"/>
          </w:tcPr>
          <w:p w14:paraId="50BA5D26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9" w:type="pct"/>
            <w:vMerge/>
          </w:tcPr>
          <w:p w14:paraId="18946189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EB271AB" w14:textId="77777777" w:rsidTr="00BF12C7">
        <w:trPr>
          <w:cantSplit/>
          <w:jc w:val="center"/>
        </w:trPr>
        <w:tc>
          <w:tcPr>
            <w:tcW w:w="796" w:type="pct"/>
          </w:tcPr>
          <w:p w14:paraId="1C32F89F" w14:textId="77777777" w:rsidR="00D517B2" w:rsidRPr="00A9156F" w:rsidRDefault="00D517B2" w:rsidP="007658FE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5" w:type="pct"/>
          </w:tcPr>
          <w:p w14:paraId="6A78ADB2" w14:textId="36E947F8" w:rsidR="00D517B2" w:rsidRPr="00A8214B" w:rsidRDefault="00B36A94" w:rsidP="007658FE">
            <w:pPr>
              <w:spacing w:before="80" w:after="60" w:line="260" w:lineRule="exact"/>
              <w:jc w:val="left"/>
              <w:rPr>
                <w:position w:val="2"/>
                <w:highlight w:val="red"/>
              </w:rPr>
            </w:pPr>
            <w:hyperlink r:id="rId9" w:history="1">
              <w:r w:rsidR="00B76216" w:rsidRPr="00AC5E71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279" w:type="pct"/>
            <w:vMerge/>
          </w:tcPr>
          <w:p w14:paraId="32AC7FE0" w14:textId="77777777" w:rsidR="00D517B2" w:rsidRPr="00D517B2" w:rsidRDefault="00D517B2" w:rsidP="007658FE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4520304" w14:textId="77777777" w:rsidTr="00BF12C7">
        <w:trPr>
          <w:cantSplit/>
          <w:jc w:val="center"/>
        </w:trPr>
        <w:tc>
          <w:tcPr>
            <w:tcW w:w="796" w:type="pct"/>
          </w:tcPr>
          <w:p w14:paraId="3EBF76ED" w14:textId="77777777" w:rsidR="00D517B2" w:rsidRPr="00A9156F" w:rsidRDefault="00D517B2" w:rsidP="00652B46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5" w:type="pct"/>
          </w:tcPr>
          <w:p w14:paraId="524238B7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51869D6B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A34C2D" w14:paraId="2CA47537" w14:textId="77777777" w:rsidTr="00D517B2">
        <w:trPr>
          <w:cantSplit/>
          <w:jc w:val="center"/>
        </w:trPr>
        <w:tc>
          <w:tcPr>
            <w:tcW w:w="796" w:type="pct"/>
          </w:tcPr>
          <w:p w14:paraId="494A6E92" w14:textId="77777777" w:rsidR="00D517B2" w:rsidRPr="00A34C2D" w:rsidRDefault="00D517B2" w:rsidP="00A34C2D">
            <w:pPr>
              <w:spacing w:before="60" w:after="60"/>
              <w:jc w:val="left"/>
              <w:rPr>
                <w:b/>
                <w:bCs/>
                <w:rtl/>
                <w:lang w:bidi="ar-SY"/>
              </w:rPr>
            </w:pPr>
            <w:r w:rsidRPr="00A34C2D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780A0C5" w14:textId="3DC85F1E" w:rsidR="00D517B2" w:rsidRPr="00BF2162" w:rsidRDefault="00D44611" w:rsidP="00B76216">
            <w:pPr>
              <w:spacing w:before="60" w:after="60"/>
              <w:rPr>
                <w:b/>
                <w:bCs/>
                <w:lang w:bidi="ar-EG"/>
              </w:rPr>
            </w:pPr>
            <w:r w:rsidRPr="00BF2162">
              <w:rPr>
                <w:rFonts w:hint="cs"/>
                <w:b/>
                <w:bCs/>
                <w:rtl/>
              </w:rPr>
              <w:t xml:space="preserve">حالة </w:t>
            </w:r>
            <w:proofErr w:type="gramStart"/>
            <w:r w:rsidRPr="00BF2162">
              <w:rPr>
                <w:rFonts w:hint="cs"/>
                <w:b/>
                <w:bCs/>
                <w:rtl/>
              </w:rPr>
              <w:t>التوصي</w:t>
            </w:r>
            <w:r w:rsidR="00B76216" w:rsidRPr="00BF2162">
              <w:rPr>
                <w:rFonts w:hint="cs"/>
                <w:b/>
                <w:bCs/>
                <w:rtl/>
              </w:rPr>
              <w:t>ات</w:t>
            </w:r>
            <w:r w:rsidR="00A34C2D" w:rsidRPr="00BF2162">
              <w:rPr>
                <w:rFonts w:hint="cs"/>
                <w:b/>
                <w:bCs/>
                <w:rtl/>
              </w:rPr>
              <w:t xml:space="preserve"> </w:t>
            </w:r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 xml:space="preserve"> ITU</w:t>
            </w:r>
            <w:proofErr w:type="gramEnd"/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>-T</w:t>
            </w:r>
            <w:r w:rsidR="005D26B6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> </w:t>
            </w:r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>E.156</w:t>
            </w:r>
            <w:r w:rsidRPr="00BF2162">
              <w:rPr>
                <w:rFonts w:hint="cs"/>
                <w:b/>
                <w:bCs/>
                <w:rtl/>
                <w:lang w:val="en-GB"/>
              </w:rPr>
              <w:t>و</w:t>
            </w:r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 xml:space="preserve"> </w:t>
            </w:r>
            <w:r w:rsidR="00B76216" w:rsidRPr="00BF2162">
              <w:rPr>
                <w:b/>
                <w:bCs/>
              </w:rPr>
              <w:t>ITU-T</w:t>
            </w:r>
            <w:r w:rsidR="005D26B6">
              <w:rPr>
                <w:b/>
                <w:bCs/>
              </w:rPr>
              <w:t> </w:t>
            </w:r>
            <w:r w:rsidR="00B76216" w:rsidRPr="00BF2162">
              <w:rPr>
                <w:b/>
                <w:bCs/>
                <w:lang w:val="en-GB"/>
              </w:rPr>
              <w:t>E.164.2</w:t>
            </w:r>
            <w:r w:rsidR="00B76216" w:rsidRPr="00BF2162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Pr="00BF2162">
              <w:rPr>
                <w:rFonts w:hint="cs"/>
                <w:b/>
                <w:bCs/>
                <w:rtl/>
                <w:lang w:val="en-GB"/>
              </w:rPr>
              <w:t>التعديل</w:t>
            </w:r>
            <w:r w:rsidR="00B76216" w:rsidRPr="00BF2162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B76216" w:rsidRPr="00BF2162">
              <w:rPr>
                <w:b/>
                <w:bCs/>
              </w:rPr>
              <w:t>2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 للتوصية</w:t>
            </w:r>
            <w:r w:rsidR="007B7CC6" w:rsidRPr="00BF2162">
              <w:rPr>
                <w:b/>
                <w:bCs/>
                <w:lang w:val="en-GB"/>
              </w:rPr>
              <w:t>(2016)</w:t>
            </w:r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val="en-GB" w:eastAsia="en-US"/>
              </w:rPr>
              <w:t xml:space="preserve"> </w:t>
            </w:r>
            <w:r w:rsidR="00B76216" w:rsidRPr="00BF2162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ITU-T</w:t>
            </w:r>
            <w:r w:rsidR="005D26B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 </w:t>
            </w:r>
            <w:r w:rsidR="00B76216" w:rsidRPr="00BF2162">
              <w:rPr>
                <w:b/>
                <w:bCs/>
                <w:lang w:val="en-GB"/>
              </w:rPr>
              <w:t xml:space="preserve">E.212 </w:t>
            </w:r>
            <w:r w:rsidRPr="00BF2162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>والتعديل</w:t>
            </w:r>
            <w:r w:rsidR="00B76216" w:rsidRPr="00BF216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76216" w:rsidRPr="00BF2162">
              <w:rPr>
                <w:b/>
                <w:bCs/>
                <w:lang w:bidi="ar-EG"/>
              </w:rPr>
              <w:t>1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 للتوصية</w:t>
            </w:r>
            <w:r w:rsidR="00B76216" w:rsidRPr="00BF2162">
              <w:rPr>
                <w:b/>
                <w:bCs/>
                <w:lang w:bidi="ar-EG"/>
              </w:rPr>
              <w:t xml:space="preserve">ITU-T E.218 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7CC6" w:rsidRPr="00BF2162">
              <w:rPr>
                <w:b/>
                <w:bCs/>
                <w:lang w:bidi="ar-EG"/>
              </w:rPr>
              <w:t>(2004)</w:t>
            </w:r>
            <w:r w:rsidR="007B7CC6" w:rsidRPr="00BF216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والتوصية </w:t>
            </w:r>
            <w:r w:rsidR="00B76216" w:rsidRPr="00BF2162">
              <w:rPr>
                <w:b/>
                <w:bCs/>
                <w:lang w:bidi="ar-EG"/>
              </w:rPr>
              <w:t>ITU-T M.3362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proofErr w:type="spellStart"/>
            <w:r w:rsidR="00B76216" w:rsidRPr="00BF2162">
              <w:rPr>
                <w:b/>
                <w:bCs/>
                <w:lang w:bidi="ar-EG"/>
              </w:rPr>
              <w:t>M.rtafm</w:t>
            </w:r>
            <w:proofErr w:type="spellEnd"/>
            <w:r w:rsidR="00B76216" w:rsidRPr="00BF2162">
              <w:rPr>
                <w:rFonts w:hint="cs"/>
                <w:b/>
                <w:bCs/>
                <w:rtl/>
                <w:lang w:bidi="ar-EG"/>
              </w:rPr>
              <w:t xml:space="preserve"> سابقاً) بعد</w:t>
            </w:r>
            <w:r w:rsidR="00D176D6" w:rsidRPr="00BF2162">
              <w:rPr>
                <w:rFonts w:hint="cs"/>
                <w:b/>
                <w:bCs/>
                <w:rtl/>
                <w:lang w:bidi="ar-EG"/>
              </w:rPr>
              <w:t xml:space="preserve"> اجتماع لجنة الدراسات</w:t>
            </w:r>
            <w:r w:rsidR="0025167B" w:rsidRPr="00BF216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76216" w:rsidRPr="00BF2162">
              <w:rPr>
                <w:rFonts w:hint="cs"/>
                <w:b/>
                <w:bCs/>
                <w:rtl/>
                <w:lang w:bidi="ar-EG"/>
              </w:rPr>
              <w:t>2</w:t>
            </w:r>
            <w:r w:rsidR="00D176D6" w:rsidRPr="00BF2162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</w:t>
            </w:r>
            <w:r w:rsidR="00377B5F" w:rsidRPr="00BF2162">
              <w:rPr>
                <w:rFonts w:hint="cs"/>
                <w:b/>
                <w:bCs/>
                <w:rtl/>
                <w:lang w:bidi="ar-EG"/>
              </w:rPr>
              <w:t>الاجتماع الافتراضي</w:t>
            </w:r>
            <w:r w:rsidR="00D176D6" w:rsidRPr="00BF2162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C158F6" w:rsidRPr="00BF2162">
              <w:rPr>
                <w:rFonts w:hint="cs"/>
                <w:b/>
                <w:bCs/>
                <w:rtl/>
                <w:lang w:bidi="ar-EG"/>
              </w:rPr>
              <w:t xml:space="preserve">27 </w:t>
            </w:r>
            <w:r w:rsidR="00377B5F" w:rsidRPr="00BF2162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C158F6" w:rsidRPr="00BF2162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377B5F" w:rsidRPr="00BF2162">
              <w:rPr>
                <w:rFonts w:hint="cs"/>
                <w:b/>
                <w:bCs/>
                <w:rtl/>
                <w:lang w:bidi="ar-EG"/>
              </w:rPr>
              <w:t>5</w:t>
            </w:r>
            <w:r w:rsidR="00C158F6" w:rsidRPr="00BF216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7B5F" w:rsidRPr="00BF2162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C158F6" w:rsidRPr="00BF2162">
              <w:rPr>
                <w:rFonts w:hint="cs"/>
                <w:b/>
                <w:bCs/>
                <w:rtl/>
                <w:lang w:bidi="ar-EG"/>
              </w:rPr>
              <w:t xml:space="preserve"> 2020</w:t>
            </w:r>
            <w:r w:rsidR="00D176D6" w:rsidRPr="00BF2162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14:paraId="1D70C06C" w14:textId="77777777" w:rsidR="00D517B2" w:rsidRPr="00D517B2" w:rsidRDefault="00D517B2" w:rsidP="0025167B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992BD0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D69E465" w14:textId="1D73389B" w:rsidR="00D517B2" w:rsidRDefault="00E26443" w:rsidP="00E26443">
      <w:pPr>
        <w:spacing w:after="120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0C7A32" w:rsidRPr="00403BCD">
        <w:rPr>
          <w:rFonts w:hint="cs"/>
          <w:rtl/>
        </w:rPr>
        <w:t xml:space="preserve">إلحاقاً </w:t>
      </w:r>
      <w:hyperlink r:id="rId10" w:history="1">
        <w:r w:rsidR="000C7A32" w:rsidRPr="004452D3">
          <w:rPr>
            <w:rStyle w:val="Hyperlink"/>
            <w:rFonts w:hint="cs"/>
            <w:rtl/>
            <w:lang w:bidi="ar-SY"/>
          </w:rPr>
          <w:t>بالرسالة المعممة</w:t>
        </w:r>
        <w:r w:rsidR="000C7A32" w:rsidRPr="004452D3">
          <w:rPr>
            <w:rStyle w:val="Hyperlink"/>
            <w:rFonts w:hint="cs"/>
            <w:rtl/>
            <w:lang w:bidi="ar-EG"/>
          </w:rPr>
          <w:t xml:space="preserve"> </w:t>
        </w:r>
        <w:r w:rsidR="0021746C" w:rsidRPr="004452D3">
          <w:rPr>
            <w:rStyle w:val="Hyperlink"/>
            <w:lang w:bidi="ar-EG"/>
          </w:rPr>
          <w:t>229</w:t>
        </w:r>
        <w:r w:rsidR="000C7A32" w:rsidRPr="004452D3">
          <w:rPr>
            <w:rStyle w:val="Hyperlink"/>
            <w:rFonts w:hint="cs"/>
            <w:rtl/>
          </w:rPr>
          <w:t xml:space="preserve"> لمكتب تقييس الاتصالات</w:t>
        </w:r>
      </w:hyperlink>
      <w:r w:rsidR="000C7A32" w:rsidRPr="00403BCD">
        <w:rPr>
          <w:rFonts w:hint="cs"/>
          <w:rtl/>
        </w:rPr>
        <w:t xml:space="preserve"> المؤرخة </w:t>
      </w:r>
      <w:r w:rsidR="0021746C">
        <w:rPr>
          <w:lang w:bidi="ar-EG"/>
        </w:rPr>
        <w:t>13</w:t>
      </w:r>
      <w:r w:rsidR="000C7A32" w:rsidRPr="00403BCD">
        <w:rPr>
          <w:rFonts w:hint="eastAsia"/>
          <w:rtl/>
        </w:rPr>
        <w:t> </w:t>
      </w:r>
      <w:r w:rsidR="0021746C">
        <w:rPr>
          <w:rFonts w:hint="cs"/>
          <w:rtl/>
        </w:rPr>
        <w:t>فبراير</w:t>
      </w:r>
      <w:r w:rsidR="000C7A32" w:rsidRPr="00403BCD">
        <w:rPr>
          <w:rFonts w:hint="eastAsia"/>
          <w:rtl/>
          <w:lang w:bidi="ar-EG"/>
        </w:rPr>
        <w:t> </w:t>
      </w:r>
      <w:r w:rsidR="0021746C">
        <w:rPr>
          <w:lang w:bidi="ar-EG"/>
        </w:rPr>
        <w:t>2020</w:t>
      </w:r>
      <w:r w:rsidR="000C7A32" w:rsidRPr="00AA4C73">
        <w:rPr>
          <w:rFonts w:hint="cs"/>
          <w:rtl/>
          <w:lang w:bidi="ar-EG"/>
        </w:rPr>
        <w:t>، وعملاً بالفقرة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5.9</w:t>
      </w:r>
      <w:r w:rsidR="000C7A32" w:rsidRPr="00AA4C73">
        <w:rPr>
          <w:rFonts w:hint="cs"/>
          <w:rtl/>
          <w:lang w:bidi="ar-EG"/>
        </w:rPr>
        <w:t xml:space="preserve"> من القرار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1</w:t>
      </w:r>
      <w:r w:rsidR="000C7A32" w:rsidRPr="00AA4C73">
        <w:rPr>
          <w:rFonts w:hint="cs"/>
          <w:rtl/>
          <w:lang w:bidi="ar-EG"/>
        </w:rPr>
        <w:t xml:space="preserve"> (المراجَع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الحمامات،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2016</w:t>
      </w:r>
      <w:r w:rsidR="000C7A32" w:rsidRPr="00AA4C73">
        <w:rPr>
          <w:rFonts w:hint="cs"/>
          <w:rtl/>
          <w:lang w:bidi="ar-EG"/>
        </w:rPr>
        <w:t>)، أود إفادتكم بأن لجنة الدراسات</w:t>
      </w:r>
      <w:r w:rsidR="000C7A32">
        <w:rPr>
          <w:rFonts w:hint="eastAsia"/>
          <w:rtl/>
          <w:lang w:bidi="ar-EG"/>
        </w:rPr>
        <w:t> </w:t>
      </w:r>
      <w:r w:rsidR="0021746C">
        <w:rPr>
          <w:rFonts w:hint="cs"/>
          <w:rtl/>
          <w:lang w:bidi="ar-EG"/>
        </w:rPr>
        <w:t>2</w:t>
      </w:r>
      <w:r w:rsidR="000C7A32" w:rsidRPr="00AA4C73">
        <w:rPr>
          <w:rFonts w:hint="cs"/>
          <w:rtl/>
          <w:lang w:bidi="ar-EG"/>
        </w:rPr>
        <w:t xml:space="preserve"> لقطاع تقييس الاتصالات </w:t>
      </w:r>
      <w:r w:rsidR="0021746C">
        <w:rPr>
          <w:rFonts w:hint="cs"/>
          <w:rtl/>
          <w:lang w:bidi="ar-EG"/>
        </w:rPr>
        <w:t>وافقت على النصوص</w:t>
      </w:r>
      <w:r w:rsidR="000C7A32" w:rsidRPr="00AA4C73">
        <w:rPr>
          <w:rFonts w:hint="cs"/>
          <w:rtl/>
          <w:lang w:bidi="ar-EG"/>
        </w:rPr>
        <w:t xml:space="preserve"> التالية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جلستها العامة التي عُقدت في</w:t>
      </w:r>
      <w:r w:rsidR="000C7A32" w:rsidRPr="00AA4C73">
        <w:rPr>
          <w:rFonts w:hint="eastAsia"/>
          <w:rtl/>
          <w:lang w:bidi="ar-EG"/>
        </w:rPr>
        <w:t> </w:t>
      </w:r>
      <w:r w:rsidR="0021746C">
        <w:rPr>
          <w:rFonts w:hint="cs"/>
          <w:rtl/>
          <w:lang w:bidi="ar-EG"/>
        </w:rPr>
        <w:t>5</w:t>
      </w:r>
      <w:r w:rsidR="00C158F6">
        <w:rPr>
          <w:rFonts w:hint="cs"/>
          <w:rtl/>
          <w:lang w:bidi="ar-EG"/>
        </w:rPr>
        <w:t xml:space="preserve"> </w:t>
      </w:r>
      <w:r w:rsidR="0021746C">
        <w:rPr>
          <w:rFonts w:hint="cs"/>
          <w:rtl/>
          <w:lang w:bidi="ar-EG"/>
        </w:rPr>
        <w:t>يونيو</w:t>
      </w:r>
      <w:r w:rsidR="000C7A32" w:rsidRPr="00AA4C73">
        <w:rPr>
          <w:rFonts w:hint="eastAsia"/>
          <w:rtl/>
          <w:lang w:bidi="ar-EG"/>
        </w:rPr>
        <w:t> </w:t>
      </w:r>
      <w:r w:rsidR="005D788D">
        <w:rPr>
          <w:lang w:bidi="ar-EG"/>
        </w:rPr>
        <w:t>2020</w:t>
      </w:r>
      <w:r w:rsidR="000C7A32" w:rsidRPr="00AA4C73"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276"/>
        <w:gridCol w:w="1698"/>
      </w:tblGrid>
      <w:tr w:rsidR="00E26443" w:rsidRPr="00B03F1B" w14:paraId="72DE4150" w14:textId="77777777" w:rsidTr="0025167B">
        <w:trPr>
          <w:cantSplit/>
          <w:tblHeader/>
          <w:jc w:val="center"/>
        </w:trPr>
        <w:tc>
          <w:tcPr>
            <w:tcW w:w="1655" w:type="dxa"/>
            <w:vAlign w:val="center"/>
          </w:tcPr>
          <w:p w14:paraId="59BA85E3" w14:textId="4381639F" w:rsidR="00E26443" w:rsidRPr="00B03F1B" w:rsidRDefault="002672F4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الرقم</w:t>
            </w:r>
          </w:p>
        </w:tc>
        <w:tc>
          <w:tcPr>
            <w:tcW w:w="6276" w:type="dxa"/>
            <w:vAlign w:val="center"/>
          </w:tcPr>
          <w:p w14:paraId="63AF29AF" w14:textId="726083AE" w:rsidR="00E26443" w:rsidRPr="00B03F1B" w:rsidRDefault="002672F4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698" w:type="dxa"/>
            <w:vAlign w:val="center"/>
          </w:tcPr>
          <w:p w14:paraId="51DEFEB5" w14:textId="0518238F" w:rsidR="00E26443" w:rsidRPr="00B03F1B" w:rsidRDefault="0021746C" w:rsidP="0025167B">
            <w:pPr>
              <w:pStyle w:val="Tablehead0"/>
              <w:bidi/>
              <w:spacing w:before="60" w:after="60" w:line="34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  <w:lang w:val="en-US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الوثيقة</w:t>
            </w:r>
          </w:p>
        </w:tc>
      </w:tr>
      <w:tr w:rsidR="00C158F6" w:rsidRPr="00B03F1B" w14:paraId="5916252B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537C98EA" w14:textId="25C653E0" w:rsidR="00C158F6" w:rsidRPr="00B03F1B" w:rsidRDefault="00C158F6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</w:pPr>
            <w:bookmarkStart w:id="0" w:name="lt_pId053"/>
            <w:r w:rsidRPr="00B03F1B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 xml:space="preserve">ITU-T </w:t>
            </w:r>
            <w:r w:rsidR="003C4D58" w:rsidRPr="00B03F1B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>E</w:t>
            </w:r>
            <w:r w:rsidRPr="00B03F1B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>.</w:t>
            </w:r>
            <w:bookmarkEnd w:id="0"/>
            <w:r w:rsidR="003C4D58" w:rsidRPr="00B03F1B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>156</w:t>
            </w:r>
          </w:p>
        </w:tc>
        <w:tc>
          <w:tcPr>
            <w:tcW w:w="6276" w:type="dxa"/>
            <w:vAlign w:val="center"/>
          </w:tcPr>
          <w:p w14:paraId="6E0336C6" w14:textId="6E5AE38F" w:rsidR="00C158F6" w:rsidRPr="00927D88" w:rsidRDefault="00DB41EA" w:rsidP="00DB41EA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</w:pPr>
            <w:r w:rsidRPr="006373F7">
              <w:rPr>
                <w:rFonts w:ascii="Dubai" w:hAnsi="Dubai" w:cs="Dubai" w:hint="cs"/>
                <w:position w:val="2"/>
                <w:sz w:val="22"/>
                <w:szCs w:val="22"/>
                <w:rtl/>
                <w:lang w:val="fr-CH" w:bidi="ar-EG"/>
              </w:rPr>
              <w:t xml:space="preserve">مبادئ توجيهية بشأن إجراءات قطاع تقييس الاتصالات إزاء الإبلاغ عن إساءة استعمال موارد ترقيم التوصية </w:t>
            </w:r>
            <w:r w:rsidRPr="00927D88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>E.164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C594E1B" w14:textId="0204A86F" w:rsidR="00C158F6" w:rsidRPr="00B03F1B" w:rsidRDefault="00B36A94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rtl/>
              </w:rPr>
            </w:pPr>
            <w:hyperlink r:id="rId11" w:history="1">
              <w:r w:rsidR="003C4D58" w:rsidRPr="00B03F1B">
                <w:rPr>
                  <w:rStyle w:val="Hyperlink"/>
                  <w:sz w:val="22"/>
                  <w:szCs w:val="22"/>
                </w:rPr>
                <w:t>SG2-R19</w:t>
              </w:r>
            </w:hyperlink>
          </w:p>
        </w:tc>
      </w:tr>
      <w:tr w:rsidR="00C158F6" w:rsidRPr="00B03F1B" w14:paraId="60BE6885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419CC7C6" w14:textId="311CD0D5" w:rsidR="00C158F6" w:rsidRPr="00B03F1B" w:rsidRDefault="00581E83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rtl/>
                <w:lang w:val="fr-CH" w:bidi="ar-EG"/>
              </w:rPr>
            </w:pPr>
            <w:r w:rsidRPr="00B03F1B">
              <w:rPr>
                <w:rFonts w:ascii="Dubai" w:hAnsi="Dubai" w:cs="Dubai"/>
                <w:position w:val="2"/>
                <w:sz w:val="22"/>
                <w:szCs w:val="22"/>
              </w:rPr>
              <w:t xml:space="preserve">ITU-T </w:t>
            </w:r>
            <w:r w:rsidR="003C4D58" w:rsidRPr="00B03F1B">
              <w:rPr>
                <w:rFonts w:ascii="Dubai" w:hAnsi="Dubai" w:cs="Dubai"/>
                <w:position w:val="2"/>
                <w:sz w:val="22"/>
                <w:szCs w:val="22"/>
              </w:rPr>
              <w:t>E.164.2</w:t>
            </w:r>
            <w:r w:rsidRPr="00B03F1B">
              <w:rPr>
                <w:rFonts w:ascii="Dubai" w:hAnsi="Dubai" w:cs="Dubai"/>
                <w:position w:val="2"/>
                <w:sz w:val="22"/>
                <w:szCs w:val="22"/>
              </w:rPr>
              <w:t xml:space="preserve"> </w:t>
            </w:r>
          </w:p>
        </w:tc>
        <w:tc>
          <w:tcPr>
            <w:tcW w:w="6276" w:type="dxa"/>
            <w:vAlign w:val="center"/>
          </w:tcPr>
          <w:p w14:paraId="36A8D903" w14:textId="42A6A3B7" w:rsidR="00C158F6" w:rsidRPr="006373F7" w:rsidRDefault="00DB41EA" w:rsidP="00DB41EA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position w:val="2"/>
                <w:sz w:val="22"/>
                <w:szCs w:val="22"/>
                <w:rtl/>
                <w:lang w:val="en-US" w:bidi="ar-EG"/>
              </w:rPr>
            </w:pPr>
            <w:r w:rsidRPr="006373F7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 w:bidi="ar-EG"/>
              </w:rPr>
              <w:t xml:space="preserve">موارد ترقيم التوصية </w:t>
            </w:r>
            <w:r w:rsidRPr="006373F7">
              <w:rPr>
                <w:rFonts w:ascii="Dubai" w:hAnsi="Dubai" w:cs="Dubai"/>
                <w:position w:val="2"/>
                <w:sz w:val="22"/>
                <w:szCs w:val="22"/>
                <w:lang w:val="en-US"/>
              </w:rPr>
              <w:t>E.156</w:t>
            </w:r>
            <w:r w:rsidRPr="006373F7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 w:bidi="ar-EG"/>
              </w:rPr>
              <w:t xml:space="preserve"> من أجل التجارب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69A1904" w14:textId="2855DC89" w:rsidR="00C158F6" w:rsidRPr="00B03F1B" w:rsidRDefault="00B36A94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lang w:bidi="ar-EG"/>
              </w:rPr>
            </w:pPr>
            <w:hyperlink r:id="rId12" w:history="1">
              <w:r w:rsidR="003C4D58" w:rsidRPr="00B03F1B">
                <w:rPr>
                  <w:rStyle w:val="Hyperlink"/>
                  <w:sz w:val="22"/>
                  <w:szCs w:val="22"/>
                </w:rPr>
                <w:t>SG2-R20</w:t>
              </w:r>
            </w:hyperlink>
          </w:p>
        </w:tc>
      </w:tr>
      <w:tr w:rsidR="003C4D58" w:rsidRPr="00B03F1B" w14:paraId="753E20BC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361EDD9A" w14:textId="229815EE" w:rsidR="003C4D58" w:rsidRPr="00B03F1B" w:rsidRDefault="003C4D58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spacing w:val="-4"/>
                <w:position w:val="2"/>
                <w:sz w:val="22"/>
                <w:szCs w:val="22"/>
                <w:lang w:val="en-US"/>
              </w:rPr>
            </w:pPr>
            <w:r w:rsidRPr="00B03F1B">
              <w:rPr>
                <w:rFonts w:ascii="Dubai" w:hAnsi="Dubai" w:cs="Dubai" w:hint="cs"/>
                <w:spacing w:val="-4"/>
                <w:sz w:val="22"/>
                <w:szCs w:val="22"/>
                <w:rtl/>
                <w:lang w:bidi="ar-SY"/>
              </w:rPr>
              <w:t>التعديل </w:t>
            </w:r>
            <w:r w:rsidRPr="00B03F1B">
              <w:rPr>
                <w:rFonts w:ascii="Dubai" w:hAnsi="Dubai" w:cs="Dubai"/>
                <w:spacing w:val="-4"/>
                <w:sz w:val="22"/>
                <w:szCs w:val="22"/>
                <w:lang w:val="en-US" w:bidi="ar-SY"/>
              </w:rPr>
              <w:t>2</w:t>
            </w:r>
            <w:r w:rsidRPr="00B03F1B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US" w:bidi="ar-EG"/>
              </w:rPr>
              <w:t xml:space="preserve"> للتوصية</w:t>
            </w:r>
            <w:r w:rsidRPr="00B03F1B">
              <w:rPr>
                <w:rFonts w:ascii="Dubai" w:hAnsi="Dubai" w:cs="Dubai" w:hint="cs"/>
                <w:spacing w:val="-4"/>
                <w:sz w:val="22"/>
                <w:szCs w:val="22"/>
                <w:rtl/>
                <w:lang w:bidi="ar-EG"/>
              </w:rPr>
              <w:t xml:space="preserve"> </w:t>
            </w:r>
            <w:r w:rsidRPr="00B03F1B">
              <w:rPr>
                <w:rFonts w:ascii="Dubai" w:hAnsi="Dubai" w:cs="Dubai"/>
                <w:spacing w:val="-4"/>
                <w:position w:val="2"/>
                <w:sz w:val="22"/>
                <w:szCs w:val="22"/>
              </w:rPr>
              <w:t>ITU-T E.212 (2016)</w:t>
            </w:r>
          </w:p>
        </w:tc>
        <w:tc>
          <w:tcPr>
            <w:tcW w:w="6276" w:type="dxa"/>
            <w:vAlign w:val="center"/>
          </w:tcPr>
          <w:p w14:paraId="592838CE" w14:textId="3E37C9D4" w:rsidR="003C4D58" w:rsidRPr="00F22CD8" w:rsidRDefault="00DB41EA" w:rsidP="00DB41EA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spacing w:val="-10"/>
                <w:position w:val="2"/>
                <w:sz w:val="22"/>
                <w:szCs w:val="22"/>
                <w:lang w:val="en-US" w:bidi="ar-EG"/>
              </w:rPr>
            </w:pP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 xml:space="preserve">الخطة الدولية لتعرف هوية الشبكات والاشتراكات العمومية </w:t>
            </w:r>
            <w:r w:rsidRPr="00F22CD8">
              <w:rPr>
                <w:rFonts w:ascii="Dubai" w:hAnsi="Dubai" w:cs="Dubai"/>
                <w:spacing w:val="-10"/>
                <w:position w:val="2"/>
                <w:sz w:val="22"/>
                <w:szCs w:val="22"/>
                <w:rtl/>
                <w:lang w:bidi="ar-EG"/>
              </w:rPr>
              <w:softHyphen/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 xml:space="preserve">– الملحق </w:t>
            </w:r>
            <w:r w:rsidRPr="00F22CD8">
              <w:rPr>
                <w:rFonts w:ascii="Dubai" w:hAnsi="Dubai" w:cs="Dubai"/>
                <w:spacing w:val="-10"/>
                <w:position w:val="2"/>
                <w:sz w:val="22"/>
                <w:szCs w:val="22"/>
                <w:lang w:val="en-US"/>
              </w:rPr>
              <w:t>G</w:t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>: تخصيص الرموز الدليلية الق</w:t>
            </w:r>
            <w:r w:rsidR="006373F7"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>ُ</w:t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>طرية المتنقلة</w:t>
            </w:r>
            <w:r w:rsidRPr="00F22CD8">
              <w:rPr>
                <w:rFonts w:ascii="Dubai" w:hAnsi="Dubai" w:cs="Dubai" w:hint="eastAsia"/>
                <w:spacing w:val="-10"/>
                <w:position w:val="2"/>
                <w:sz w:val="22"/>
                <w:szCs w:val="22"/>
                <w:rtl/>
                <w:lang w:bidi="ar-EG"/>
              </w:rPr>
              <w:t> </w:t>
            </w:r>
            <w:r w:rsidRPr="00F22CD8">
              <w:rPr>
                <w:rFonts w:ascii="Dubai" w:hAnsi="Dubai" w:cs="Dubai"/>
                <w:spacing w:val="-10"/>
                <w:position w:val="2"/>
                <w:sz w:val="22"/>
                <w:szCs w:val="22"/>
                <w:lang w:val="en-US"/>
              </w:rPr>
              <w:t>(MCC)</w:t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 xml:space="preserve"> المشتركة </w:t>
            </w:r>
            <w:r w:rsidR="00356C62"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>وفق</w:t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 xml:space="preserve"> التوصية </w:t>
            </w:r>
            <w:r w:rsidRPr="00F22CD8">
              <w:rPr>
                <w:rFonts w:ascii="Dubai" w:hAnsi="Dubai" w:cs="Dubai"/>
                <w:spacing w:val="-10"/>
                <w:position w:val="2"/>
                <w:sz w:val="22"/>
                <w:szCs w:val="22"/>
                <w:lang w:val="en-US"/>
              </w:rPr>
              <w:t>E.212</w:t>
            </w:r>
            <w:r w:rsidRPr="00F22CD8">
              <w:rPr>
                <w:rFonts w:ascii="Dubai" w:hAnsi="Dubai" w:cs="Dubai" w:hint="cs"/>
                <w:spacing w:val="-10"/>
                <w:position w:val="2"/>
                <w:sz w:val="22"/>
                <w:szCs w:val="22"/>
                <w:rtl/>
                <w:lang w:bidi="ar-EG"/>
              </w:rPr>
              <w:t xml:space="preserve"> من أجل التجارب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7182B32" w14:textId="6C74EC0E" w:rsidR="003C4D58" w:rsidRPr="00B03F1B" w:rsidRDefault="00B36A94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rtl/>
              </w:rPr>
            </w:pPr>
            <w:hyperlink r:id="rId13" w:history="1">
              <w:r w:rsidR="003C4D58" w:rsidRPr="00B03F1B">
                <w:rPr>
                  <w:rStyle w:val="Hyperlink"/>
                  <w:sz w:val="22"/>
                  <w:szCs w:val="22"/>
                </w:rPr>
                <w:t>SG2-R21</w:t>
              </w:r>
            </w:hyperlink>
          </w:p>
        </w:tc>
      </w:tr>
      <w:tr w:rsidR="00B03F1B" w:rsidRPr="00B03F1B" w14:paraId="7BEC3F31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79B2BB15" w14:textId="380F6DD8" w:rsidR="00B03F1B" w:rsidRPr="00DB41EA" w:rsidRDefault="00B03F1B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spacing w:val="-6"/>
                <w:sz w:val="22"/>
                <w:szCs w:val="22"/>
                <w:rtl/>
                <w:lang w:bidi="ar-SY"/>
              </w:rPr>
            </w:pPr>
            <w:r w:rsidRPr="00DB41EA">
              <w:rPr>
                <w:rFonts w:ascii="Dubai" w:hAnsi="Dubai" w:cs="Dubai" w:hint="cs"/>
                <w:spacing w:val="-6"/>
                <w:sz w:val="22"/>
                <w:szCs w:val="22"/>
                <w:rtl/>
                <w:lang w:bidi="ar-SY"/>
              </w:rPr>
              <w:t>التعديل </w:t>
            </w:r>
            <w:r w:rsidRPr="00DB41EA">
              <w:rPr>
                <w:rFonts w:ascii="Dubai" w:hAnsi="Dubai" w:cs="Dubai"/>
                <w:spacing w:val="-6"/>
                <w:sz w:val="22"/>
                <w:szCs w:val="22"/>
                <w:lang w:val="en-US" w:bidi="ar-SY"/>
              </w:rPr>
              <w:t>1</w:t>
            </w:r>
            <w:r w:rsidRPr="00DB41EA">
              <w:rPr>
                <w:rFonts w:ascii="Dubai" w:hAnsi="Dubai" w:cs="Dubai" w:hint="cs"/>
                <w:spacing w:val="-6"/>
                <w:sz w:val="22"/>
                <w:szCs w:val="22"/>
                <w:rtl/>
                <w:lang w:val="en-US" w:bidi="ar-EG"/>
              </w:rPr>
              <w:t xml:space="preserve"> للتوصية</w:t>
            </w:r>
            <w:r w:rsidRPr="00DB41EA">
              <w:rPr>
                <w:rFonts w:ascii="Dubai" w:hAnsi="Dubai" w:cs="Dubai" w:hint="cs"/>
                <w:spacing w:val="-6"/>
                <w:sz w:val="22"/>
                <w:szCs w:val="22"/>
                <w:rtl/>
                <w:lang w:bidi="ar-EG"/>
              </w:rPr>
              <w:t xml:space="preserve"> </w:t>
            </w:r>
            <w:r w:rsidRPr="00DB41EA">
              <w:rPr>
                <w:rFonts w:ascii="Dubai" w:hAnsi="Dubai" w:cs="Dubai"/>
                <w:spacing w:val="-6"/>
                <w:position w:val="2"/>
                <w:sz w:val="22"/>
                <w:szCs w:val="22"/>
              </w:rPr>
              <w:t>ITU-T E.218 (2004)</w:t>
            </w:r>
          </w:p>
        </w:tc>
        <w:tc>
          <w:tcPr>
            <w:tcW w:w="6276" w:type="dxa"/>
            <w:vAlign w:val="center"/>
          </w:tcPr>
          <w:p w14:paraId="58C01CFF" w14:textId="3883988C" w:rsidR="00B03F1B" w:rsidRPr="0010274C" w:rsidRDefault="00DB41EA" w:rsidP="00DB41EA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spacing w:val="-2"/>
                <w:position w:val="2"/>
                <w:sz w:val="22"/>
                <w:szCs w:val="22"/>
                <w:rtl/>
                <w:lang w:bidi="ar-EG"/>
              </w:rPr>
            </w:pP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>إدارة توزيع الرموز الدليلية الق</w:t>
            </w:r>
            <w:r w:rsidR="00CB0A6B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>ُ</w:t>
            </w: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طرية للاتصالات الراديوية المتنقلة للأرض للاتصالات البعيدة – الملحق </w:t>
            </w:r>
            <w:r w:rsidRPr="0010274C">
              <w:rPr>
                <w:rFonts w:ascii="Dubai" w:hAnsi="Dubai" w:cs="Dubai"/>
                <w:spacing w:val="-2"/>
                <w:position w:val="2"/>
                <w:sz w:val="22"/>
                <w:szCs w:val="22"/>
                <w:lang w:val="en-US"/>
              </w:rPr>
              <w:t>B</w:t>
            </w: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>: معايير وإجراءات تخصيص وسحب الرموز الدليلية الق</w:t>
            </w:r>
            <w:r w:rsidR="006373F7"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>ُ</w:t>
            </w: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طرية المتنقلة المشتركة للنفاذ إلى الاتصالات الراديوية البعيدة للأرض </w:t>
            </w:r>
            <w:r w:rsidRPr="0010274C">
              <w:rPr>
                <w:rFonts w:ascii="Dubai" w:hAnsi="Dubai" w:cs="Dubai"/>
                <w:spacing w:val="-2"/>
                <w:position w:val="2"/>
                <w:sz w:val="22"/>
                <w:szCs w:val="22"/>
                <w:lang w:val="en-US"/>
              </w:rPr>
              <w:t>((T)MCC)</w:t>
            </w: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من أجل الشبكات والرموز الدليلية لشبكات النفاذ المتنقلة للاتصالات الراديوية البعيدة للأرض </w:t>
            </w:r>
            <w:r w:rsidRPr="0010274C">
              <w:rPr>
                <w:rFonts w:ascii="Dubai" w:hAnsi="Dubai" w:cs="Dubai"/>
                <w:spacing w:val="-2"/>
                <w:position w:val="2"/>
                <w:sz w:val="22"/>
                <w:szCs w:val="22"/>
                <w:lang w:val="en-US"/>
              </w:rPr>
              <w:t>((T)MNC)</w:t>
            </w:r>
            <w:r w:rsidRPr="0010274C">
              <w:rPr>
                <w:rFonts w:ascii="Dubai" w:hAnsi="Dubai" w:cs="Dubai" w:hint="cs"/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 الخاصة بها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5D2552F4" w14:textId="77678A92" w:rsidR="00B03F1B" w:rsidRPr="00B03F1B" w:rsidRDefault="00B36A94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sz w:val="22"/>
                <w:szCs w:val="22"/>
                <w:lang w:bidi="ar-EG"/>
              </w:rPr>
            </w:pPr>
            <w:hyperlink r:id="rId14" w:history="1">
              <w:r w:rsidR="0015794E" w:rsidRPr="00E20EB1">
                <w:rPr>
                  <w:rStyle w:val="Hyperlink"/>
                  <w:sz w:val="22"/>
                  <w:szCs w:val="22"/>
                </w:rPr>
                <w:t>SG2-R22</w:t>
              </w:r>
            </w:hyperlink>
          </w:p>
        </w:tc>
      </w:tr>
      <w:tr w:rsidR="00B03F1B" w:rsidRPr="00B03F1B" w14:paraId="0F2A4B69" w14:textId="77777777" w:rsidTr="0025167B">
        <w:trPr>
          <w:cantSplit/>
          <w:jc w:val="center"/>
        </w:trPr>
        <w:tc>
          <w:tcPr>
            <w:tcW w:w="1655" w:type="dxa"/>
            <w:vAlign w:val="center"/>
          </w:tcPr>
          <w:p w14:paraId="4C475BC6" w14:textId="503212DA" w:rsidR="00B03F1B" w:rsidRPr="00B03F1B" w:rsidRDefault="00B03F1B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sz w:val="22"/>
                <w:szCs w:val="22"/>
                <w:rtl/>
                <w:lang w:val="en-US" w:bidi="ar-EG"/>
              </w:rPr>
            </w:pPr>
            <w:r w:rsidRPr="00B03F1B">
              <w:rPr>
                <w:rFonts w:ascii="Dubai" w:hAnsi="Dubai" w:cs="Dubai"/>
                <w:position w:val="2"/>
                <w:sz w:val="22"/>
                <w:szCs w:val="22"/>
                <w:lang w:val="fr-CH"/>
              </w:rPr>
              <w:t>ITU-T M.3362</w:t>
            </w:r>
            <w:r w:rsidRPr="00B03F1B">
              <w:rPr>
                <w:rFonts w:ascii="Dubai" w:hAnsi="Dubai" w:cs="Dubai" w:hint="cs"/>
                <w:position w:val="2"/>
                <w:sz w:val="22"/>
                <w:szCs w:val="22"/>
                <w:rtl/>
                <w:lang w:val="fr-CH" w:bidi="ar-EG"/>
              </w:rPr>
              <w:t xml:space="preserve"> (</w:t>
            </w:r>
            <w:proofErr w:type="spellStart"/>
            <w:proofErr w:type="gramStart"/>
            <w:r w:rsidRPr="00927D88">
              <w:rPr>
                <w:rFonts w:ascii="Dubai" w:hAnsi="Dubai" w:cs="Dubai"/>
                <w:position w:val="2"/>
                <w:sz w:val="22"/>
                <w:szCs w:val="22"/>
                <w:lang w:val="fr-CH" w:bidi="ar-EG"/>
              </w:rPr>
              <w:t>M.rtafm</w:t>
            </w:r>
            <w:proofErr w:type="spellEnd"/>
            <w:proofErr w:type="gramEnd"/>
            <w:r w:rsidRPr="00B03F1B">
              <w:rPr>
                <w:rFonts w:ascii="Dubai" w:hAnsi="Dubai" w:cs="Dubai" w:hint="cs"/>
                <w:position w:val="2"/>
                <w:sz w:val="22"/>
                <w:szCs w:val="22"/>
                <w:rtl/>
                <w:lang w:val="en-US" w:bidi="ar-EG"/>
              </w:rPr>
              <w:t xml:space="preserve"> سابقاً)</w:t>
            </w:r>
          </w:p>
        </w:tc>
        <w:tc>
          <w:tcPr>
            <w:tcW w:w="6276" w:type="dxa"/>
            <w:vAlign w:val="center"/>
          </w:tcPr>
          <w:p w14:paraId="68988EB3" w14:textId="4A68BAF2" w:rsidR="00B03F1B" w:rsidRPr="006373F7" w:rsidRDefault="00946C5E" w:rsidP="00946C5E">
            <w:pPr>
              <w:pStyle w:val="Tabletext"/>
              <w:bidi/>
              <w:spacing w:before="60" w:after="60" w:line="340" w:lineRule="exact"/>
              <w:jc w:val="both"/>
              <w:rPr>
                <w:rFonts w:ascii="Dubai" w:hAnsi="Dubai" w:cs="Dubai"/>
                <w:position w:val="2"/>
                <w:sz w:val="22"/>
                <w:szCs w:val="22"/>
                <w:rtl/>
                <w:lang w:bidi="ar-EG"/>
              </w:rPr>
            </w:pPr>
            <w:r w:rsidRPr="006373F7">
              <w:rPr>
                <w:rFonts w:ascii="Dubai" w:hAnsi="Dubai" w:cs="Dubai" w:hint="cs"/>
                <w:position w:val="2"/>
                <w:sz w:val="22"/>
                <w:szCs w:val="22"/>
                <w:rtl/>
                <w:lang w:bidi="ar-EG"/>
              </w:rPr>
              <w:t>متطلبات إدارة مكافحة الاحتيال في الاتصالات في شبكات إدارة الاتصالات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FA745B7" w14:textId="22E82A4E" w:rsidR="00B03F1B" w:rsidRPr="00E76A74" w:rsidRDefault="00B36A94" w:rsidP="0025167B">
            <w:pPr>
              <w:pStyle w:val="Tabletext"/>
              <w:bidi/>
              <w:spacing w:before="60" w:after="60" w:line="340" w:lineRule="exact"/>
              <w:jc w:val="center"/>
              <w:rPr>
                <w:rFonts w:ascii="Dubai" w:hAnsi="Dubai" w:cs="Dubai"/>
                <w:spacing w:val="-8"/>
                <w:sz w:val="22"/>
                <w:szCs w:val="22"/>
                <w:lang w:val="en-US"/>
              </w:rPr>
            </w:pPr>
            <w:hyperlink r:id="rId15" w:history="1">
              <w:r w:rsidR="0015794E" w:rsidRPr="00E20EB1">
                <w:rPr>
                  <w:rStyle w:val="Hyperlink"/>
                  <w:sz w:val="22"/>
                  <w:szCs w:val="22"/>
                </w:rPr>
                <w:t>SG2-TD1102-R2</w:t>
              </w:r>
            </w:hyperlink>
          </w:p>
        </w:tc>
      </w:tr>
    </w:tbl>
    <w:p w14:paraId="7BBB8FFB" w14:textId="2C0F8B80" w:rsidR="00E26443" w:rsidRPr="00DD40C5" w:rsidRDefault="00E26443" w:rsidP="00014E82">
      <w:pPr>
        <w:keepNext/>
        <w:keepLines/>
        <w:spacing w:before="240"/>
        <w:rPr>
          <w:color w:val="000000"/>
          <w:rtl/>
          <w:lang w:val="fr-CH" w:bidi="ar-EG"/>
        </w:rPr>
      </w:pPr>
      <w:r w:rsidRPr="00927D88">
        <w:rPr>
          <w:lang w:bidi="ar-EG"/>
        </w:rPr>
        <w:lastRenderedPageBreak/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6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="00C158F6" w:rsidRPr="00C158F6">
        <w:rPr>
          <w:rFonts w:hint="cs"/>
          <w:rtl/>
        </w:rPr>
        <w:t>.</w:t>
      </w:r>
    </w:p>
    <w:p w14:paraId="2FDA033A" w14:textId="1036D123" w:rsidR="00E26443" w:rsidRDefault="00E26443" w:rsidP="00014E82">
      <w:pPr>
        <w:keepNext/>
        <w:keepLines/>
        <w:rPr>
          <w:rtl/>
          <w:lang w:bidi="ar-EG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</w:t>
      </w:r>
      <w:r w:rsidR="005676D2">
        <w:rPr>
          <w:rFonts w:hint="cs"/>
          <w:color w:val="000000"/>
          <w:rtl/>
        </w:rPr>
        <w:t>س</w:t>
      </w:r>
      <w:r w:rsidRPr="00E26443">
        <w:rPr>
          <w:color w:val="000000"/>
          <w:rtl/>
        </w:rPr>
        <w:t>تتاح</w:t>
      </w:r>
      <w:r w:rsidR="005676D2">
        <w:rPr>
          <w:rFonts w:hint="cs"/>
          <w:color w:val="000000"/>
          <w:rtl/>
        </w:rPr>
        <w:t xml:space="preserve"> قريباً</w:t>
      </w:r>
      <w:r w:rsidRPr="00E26443">
        <w:rPr>
          <w:color w:val="000000"/>
          <w:rtl/>
        </w:rPr>
        <w:t xml:space="preserve"> نصوص </w:t>
      </w:r>
      <w:r w:rsidR="00356C62">
        <w:rPr>
          <w:rFonts w:hint="cs"/>
          <w:color w:val="000000"/>
          <w:rtl/>
        </w:rPr>
        <w:t>التوصيات</w:t>
      </w:r>
      <w:r w:rsidR="00AF69C5">
        <w:rPr>
          <w:rFonts w:hint="cs"/>
          <w:color w:val="000000"/>
          <w:rtl/>
        </w:rPr>
        <w:t xml:space="preserve"> </w:t>
      </w:r>
      <w:r w:rsidRPr="00E26443">
        <w:rPr>
          <w:color w:val="000000"/>
          <w:rtl/>
        </w:rPr>
        <w:t>بصيغتها السابقة للنشر في الموقع الإلكتروني لقطاع تقييس الاتصالا</w:t>
      </w:r>
      <w:r w:rsidRPr="00E26443">
        <w:rPr>
          <w:rFonts w:hint="cs"/>
          <w:color w:val="000000"/>
          <w:rtl/>
        </w:rPr>
        <w:t>ت في</w:t>
      </w:r>
      <w:r w:rsidR="00700553">
        <w:rPr>
          <w:rFonts w:hint="eastAsia"/>
          <w:color w:val="000000"/>
          <w:rtl/>
        </w:rPr>
        <w:t> </w:t>
      </w:r>
      <w:r w:rsidRPr="00E26443">
        <w:rPr>
          <w:rFonts w:hint="cs"/>
          <w:color w:val="000000"/>
          <w:rtl/>
        </w:rPr>
        <w:t>العنوان</w:t>
      </w:r>
      <w:r w:rsidR="00700553">
        <w:rPr>
          <w:rFonts w:hint="cs"/>
          <w:color w:val="000000"/>
          <w:rtl/>
        </w:rPr>
        <w:t xml:space="preserve"> </w:t>
      </w:r>
      <w:hyperlink r:id="rId17" w:history="1">
        <w:r w:rsidRPr="00DD40C5">
          <w:rPr>
            <w:rStyle w:val="Hyperlink"/>
            <w:lang w:val="fr-CH"/>
          </w:rPr>
          <w:t>http://itu.int/itu-t/recommendations/</w:t>
        </w:r>
      </w:hyperlink>
      <w:r w:rsidRPr="00E26443">
        <w:rPr>
          <w:rFonts w:hint="cs"/>
          <w:rtl/>
          <w:lang w:bidi="ar-EG"/>
        </w:rPr>
        <w:t>.</w:t>
      </w:r>
    </w:p>
    <w:p w14:paraId="212C368D" w14:textId="7D46A905" w:rsidR="00E26443" w:rsidRPr="00E26443" w:rsidRDefault="00E26443" w:rsidP="007658FE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نصوص</w:t>
      </w:r>
      <w:r>
        <w:rPr>
          <w:color w:val="000000"/>
          <w:rtl/>
        </w:rPr>
        <w:t xml:space="preserve"> </w:t>
      </w:r>
      <w:r w:rsidR="00AE5D79">
        <w:rPr>
          <w:rFonts w:hint="cs"/>
          <w:color w:val="000000"/>
          <w:rtl/>
        </w:rPr>
        <w:t>التوصيات</w:t>
      </w:r>
      <w:r w:rsidR="005A7DEC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الموافَق عليها في أقرب وقت ممكن</w:t>
      </w:r>
      <w:r>
        <w:rPr>
          <w:color w:val="000000"/>
        </w:rPr>
        <w:t>.</w:t>
      </w:r>
    </w:p>
    <w:p w14:paraId="426BDB65" w14:textId="5FDB202C" w:rsidR="00E84438" w:rsidRDefault="00E84438" w:rsidP="007658FE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F31BBED" w14:textId="746E1E69" w:rsidR="00596808" w:rsidRPr="00D517B2" w:rsidRDefault="00B36A94" w:rsidP="00927D88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86383F9" wp14:editId="65048A31">
            <wp:simplePos x="0" y="0"/>
            <wp:positionH relativeFrom="column">
              <wp:posOffset>5404485</wp:posOffset>
            </wp:positionH>
            <wp:positionV relativeFrom="paragraph">
              <wp:posOffset>34925</wp:posOffset>
            </wp:positionV>
            <wp:extent cx="742950" cy="51435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26" cy="51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32535" w14:textId="77777777" w:rsidR="00F6709E" w:rsidRDefault="00F6709E" w:rsidP="006C3242">
      <w:pPr>
        <w:spacing w:before="0" w:line="240" w:lineRule="auto"/>
      </w:pPr>
      <w:r>
        <w:separator/>
      </w:r>
    </w:p>
  </w:endnote>
  <w:endnote w:type="continuationSeparator" w:id="0">
    <w:p w14:paraId="026925D7" w14:textId="77777777" w:rsidR="00F6709E" w:rsidRDefault="00F670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27C8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Telecommunication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Union • Place des Nations • CH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Switzerland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itumail@itu.int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www.itu.int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B805" w14:textId="77777777" w:rsidR="00F6709E" w:rsidRDefault="00F6709E" w:rsidP="006C3242">
      <w:pPr>
        <w:spacing w:before="0" w:line="240" w:lineRule="auto"/>
      </w:pPr>
      <w:r>
        <w:separator/>
      </w:r>
    </w:p>
  </w:footnote>
  <w:footnote w:type="continuationSeparator" w:id="0">
    <w:p w14:paraId="2493BDE2" w14:textId="77777777" w:rsidR="00F6709E" w:rsidRDefault="00F670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44206" w14:textId="3E458C0C" w:rsidR="00447F32" w:rsidRPr="00596808" w:rsidRDefault="00596808" w:rsidP="00E2118C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F2396">
      <w:rPr>
        <w:sz w:val="20"/>
        <w:szCs w:val="20"/>
        <w:lang w:val="en-GB"/>
      </w:rPr>
      <w:t>255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E"/>
    <w:rsid w:val="00002A63"/>
    <w:rsid w:val="00014E82"/>
    <w:rsid w:val="00050CD5"/>
    <w:rsid w:val="0006468A"/>
    <w:rsid w:val="00090574"/>
    <w:rsid w:val="000C1C0E"/>
    <w:rsid w:val="000C548A"/>
    <w:rsid w:val="000C7A32"/>
    <w:rsid w:val="000E1965"/>
    <w:rsid w:val="000E327F"/>
    <w:rsid w:val="0010274C"/>
    <w:rsid w:val="001200C5"/>
    <w:rsid w:val="00146FE2"/>
    <w:rsid w:val="0015794E"/>
    <w:rsid w:val="00160C9E"/>
    <w:rsid w:val="0016532E"/>
    <w:rsid w:val="00186222"/>
    <w:rsid w:val="001A4F1F"/>
    <w:rsid w:val="001C0169"/>
    <w:rsid w:val="001D1D50"/>
    <w:rsid w:val="001D6745"/>
    <w:rsid w:val="001D7041"/>
    <w:rsid w:val="001E446E"/>
    <w:rsid w:val="00214F63"/>
    <w:rsid w:val="002154EE"/>
    <w:rsid w:val="0021746C"/>
    <w:rsid w:val="002276D2"/>
    <w:rsid w:val="0023283D"/>
    <w:rsid w:val="0025167B"/>
    <w:rsid w:val="0026373E"/>
    <w:rsid w:val="002672F4"/>
    <w:rsid w:val="00271C43"/>
    <w:rsid w:val="00290728"/>
    <w:rsid w:val="002978F4"/>
    <w:rsid w:val="002B028D"/>
    <w:rsid w:val="002C2344"/>
    <w:rsid w:val="002E196B"/>
    <w:rsid w:val="002E6541"/>
    <w:rsid w:val="002F003F"/>
    <w:rsid w:val="00334924"/>
    <w:rsid w:val="003409BC"/>
    <w:rsid w:val="00343411"/>
    <w:rsid w:val="00356C62"/>
    <w:rsid w:val="00357185"/>
    <w:rsid w:val="00374498"/>
    <w:rsid w:val="00377B5F"/>
    <w:rsid w:val="00383829"/>
    <w:rsid w:val="003840CF"/>
    <w:rsid w:val="003A3046"/>
    <w:rsid w:val="003C4D58"/>
    <w:rsid w:val="003E62AB"/>
    <w:rsid w:val="003F4B29"/>
    <w:rsid w:val="00400EC6"/>
    <w:rsid w:val="00403BCD"/>
    <w:rsid w:val="00413014"/>
    <w:rsid w:val="00424BCC"/>
    <w:rsid w:val="0042686F"/>
    <w:rsid w:val="004317D8"/>
    <w:rsid w:val="00434183"/>
    <w:rsid w:val="00443869"/>
    <w:rsid w:val="004452D3"/>
    <w:rsid w:val="00447F32"/>
    <w:rsid w:val="00455630"/>
    <w:rsid w:val="004E11DC"/>
    <w:rsid w:val="00516378"/>
    <w:rsid w:val="00525DDD"/>
    <w:rsid w:val="005409AC"/>
    <w:rsid w:val="005457B7"/>
    <w:rsid w:val="0055516A"/>
    <w:rsid w:val="005676D2"/>
    <w:rsid w:val="00572AA3"/>
    <w:rsid w:val="00581E83"/>
    <w:rsid w:val="0058491B"/>
    <w:rsid w:val="00592EA5"/>
    <w:rsid w:val="00595B52"/>
    <w:rsid w:val="00596808"/>
    <w:rsid w:val="005A300B"/>
    <w:rsid w:val="005A3170"/>
    <w:rsid w:val="005A7DEC"/>
    <w:rsid w:val="005D23A8"/>
    <w:rsid w:val="005D26B6"/>
    <w:rsid w:val="005D788D"/>
    <w:rsid w:val="006373F7"/>
    <w:rsid w:val="00644815"/>
    <w:rsid w:val="00646397"/>
    <w:rsid w:val="00652B46"/>
    <w:rsid w:val="00677396"/>
    <w:rsid w:val="0069200F"/>
    <w:rsid w:val="006A65CB"/>
    <w:rsid w:val="006C1530"/>
    <w:rsid w:val="006C3242"/>
    <w:rsid w:val="006C7CC0"/>
    <w:rsid w:val="006F63F7"/>
    <w:rsid w:val="006F7888"/>
    <w:rsid w:val="00700553"/>
    <w:rsid w:val="007025C7"/>
    <w:rsid w:val="00706D7A"/>
    <w:rsid w:val="00722F0D"/>
    <w:rsid w:val="0074420E"/>
    <w:rsid w:val="007658FE"/>
    <w:rsid w:val="00783E26"/>
    <w:rsid w:val="007B7CC6"/>
    <w:rsid w:val="007C3BC7"/>
    <w:rsid w:val="007C3BCD"/>
    <w:rsid w:val="007D4ACF"/>
    <w:rsid w:val="007E0A05"/>
    <w:rsid w:val="007F0787"/>
    <w:rsid w:val="00810B7B"/>
    <w:rsid w:val="0082358A"/>
    <w:rsid w:val="008235CD"/>
    <w:rsid w:val="008247DE"/>
    <w:rsid w:val="00840B10"/>
    <w:rsid w:val="008513CB"/>
    <w:rsid w:val="00863F83"/>
    <w:rsid w:val="00870BE5"/>
    <w:rsid w:val="0087156A"/>
    <w:rsid w:val="00873469"/>
    <w:rsid w:val="00897712"/>
    <w:rsid w:val="008A7F84"/>
    <w:rsid w:val="008F194F"/>
    <w:rsid w:val="0091702E"/>
    <w:rsid w:val="00923B0C"/>
    <w:rsid w:val="00927D88"/>
    <w:rsid w:val="0094021C"/>
    <w:rsid w:val="0094432F"/>
    <w:rsid w:val="00946C5E"/>
    <w:rsid w:val="00952F86"/>
    <w:rsid w:val="0097291C"/>
    <w:rsid w:val="00982B28"/>
    <w:rsid w:val="009A7327"/>
    <w:rsid w:val="009D313F"/>
    <w:rsid w:val="00A22B87"/>
    <w:rsid w:val="00A34C2D"/>
    <w:rsid w:val="00A47A5A"/>
    <w:rsid w:val="00A610C8"/>
    <w:rsid w:val="00A6683B"/>
    <w:rsid w:val="00A8214B"/>
    <w:rsid w:val="00A9156F"/>
    <w:rsid w:val="00A97F94"/>
    <w:rsid w:val="00AA7EA2"/>
    <w:rsid w:val="00AC4915"/>
    <w:rsid w:val="00AE5D79"/>
    <w:rsid w:val="00AF69C5"/>
    <w:rsid w:val="00AF6B5C"/>
    <w:rsid w:val="00B03099"/>
    <w:rsid w:val="00B03F1B"/>
    <w:rsid w:val="00B05BC8"/>
    <w:rsid w:val="00B36A94"/>
    <w:rsid w:val="00B64B47"/>
    <w:rsid w:val="00B76216"/>
    <w:rsid w:val="00B932D1"/>
    <w:rsid w:val="00BB0F08"/>
    <w:rsid w:val="00BC50CB"/>
    <w:rsid w:val="00BF12C7"/>
    <w:rsid w:val="00BF2054"/>
    <w:rsid w:val="00BF2162"/>
    <w:rsid w:val="00C002DE"/>
    <w:rsid w:val="00C158F6"/>
    <w:rsid w:val="00C53BF8"/>
    <w:rsid w:val="00C65ABB"/>
    <w:rsid w:val="00C66157"/>
    <w:rsid w:val="00C674FE"/>
    <w:rsid w:val="00C67501"/>
    <w:rsid w:val="00C75633"/>
    <w:rsid w:val="00CB0A6B"/>
    <w:rsid w:val="00CD5E4F"/>
    <w:rsid w:val="00CE2EE1"/>
    <w:rsid w:val="00CE3349"/>
    <w:rsid w:val="00CE36E5"/>
    <w:rsid w:val="00CF2396"/>
    <w:rsid w:val="00CF27F5"/>
    <w:rsid w:val="00CF3FFD"/>
    <w:rsid w:val="00D10CCF"/>
    <w:rsid w:val="00D176D6"/>
    <w:rsid w:val="00D22846"/>
    <w:rsid w:val="00D44611"/>
    <w:rsid w:val="00D517B2"/>
    <w:rsid w:val="00D67FE4"/>
    <w:rsid w:val="00D77D0F"/>
    <w:rsid w:val="00DA1CF0"/>
    <w:rsid w:val="00DB41EA"/>
    <w:rsid w:val="00DC1E02"/>
    <w:rsid w:val="00DC24B4"/>
    <w:rsid w:val="00DC5FB0"/>
    <w:rsid w:val="00DD1EBB"/>
    <w:rsid w:val="00DD40C5"/>
    <w:rsid w:val="00DF16DC"/>
    <w:rsid w:val="00E16AD2"/>
    <w:rsid w:val="00E20EB1"/>
    <w:rsid w:val="00E2118C"/>
    <w:rsid w:val="00E26443"/>
    <w:rsid w:val="00E45211"/>
    <w:rsid w:val="00E473C5"/>
    <w:rsid w:val="00E76A74"/>
    <w:rsid w:val="00E84438"/>
    <w:rsid w:val="00E92863"/>
    <w:rsid w:val="00EB796D"/>
    <w:rsid w:val="00F058DC"/>
    <w:rsid w:val="00F22CD8"/>
    <w:rsid w:val="00F24FC4"/>
    <w:rsid w:val="00F26191"/>
    <w:rsid w:val="00F2676C"/>
    <w:rsid w:val="00F52941"/>
    <w:rsid w:val="00F6709E"/>
    <w:rsid w:val="00F84366"/>
    <w:rsid w:val="00F85089"/>
    <w:rsid w:val="00F90BCA"/>
    <w:rsid w:val="00F974C5"/>
    <w:rsid w:val="00FA6F46"/>
    <w:rsid w:val="00FB69D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8DFD2D2"/>
  <w15:chartTrackingRefBased/>
  <w15:docId w15:val="{146858CB-FA92-4627-B21A-69AFBB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E26443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E26443"/>
    <w:pPr>
      <w:keepNext/>
      <w:spacing w:before="80" w:after="8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2-R-002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20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2-200527-TD-GEN-1102" TargetMode="External"/><Relationship Id="rId10" Type="http://schemas.openxmlformats.org/officeDocument/2006/relationships/hyperlink" Target="https://www.itu.int/md/T17-TSB-CIR-022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17-SG02-R-0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8FF4-939E-4A60-A2A9-E6726E3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18</cp:revision>
  <cp:lastPrinted>2020-06-11T07:59:00Z</cp:lastPrinted>
  <dcterms:created xsi:type="dcterms:W3CDTF">2020-06-10T13:44:00Z</dcterms:created>
  <dcterms:modified xsi:type="dcterms:W3CDTF">2020-06-11T08:00:00Z</dcterms:modified>
</cp:coreProperties>
</file>