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8" w:type="dxa"/>
        <w:tblLayout w:type="fixed"/>
        <w:tblCellMar>
          <w:left w:w="0" w:type="dxa"/>
          <w:right w:w="0" w:type="dxa"/>
        </w:tblCellMar>
        <w:tblLook w:val="0000" w:firstRow="0" w:lastRow="0" w:firstColumn="0" w:lastColumn="0" w:noHBand="0" w:noVBand="0"/>
      </w:tblPr>
      <w:tblGrid>
        <w:gridCol w:w="8"/>
        <w:gridCol w:w="984"/>
        <w:gridCol w:w="591"/>
        <w:gridCol w:w="566"/>
        <w:gridCol w:w="2897"/>
        <w:gridCol w:w="2909"/>
        <w:gridCol w:w="2131"/>
        <w:gridCol w:w="12"/>
      </w:tblGrid>
      <w:tr w:rsidR="00036F4F" w:rsidRPr="00D123D0" w14:paraId="0DE2CA38" w14:textId="77777777" w:rsidTr="00B74995">
        <w:trPr>
          <w:gridAfter w:val="1"/>
          <w:wAfter w:w="12" w:type="dxa"/>
          <w:cantSplit/>
        </w:trPr>
        <w:tc>
          <w:tcPr>
            <w:tcW w:w="1583" w:type="dxa"/>
            <w:gridSpan w:val="3"/>
            <w:vAlign w:val="center"/>
          </w:tcPr>
          <w:p w14:paraId="672ADDD4" w14:textId="77777777" w:rsidR="00036F4F" w:rsidRPr="00D123D0" w:rsidRDefault="00036F4F" w:rsidP="00D14F31">
            <w:pPr>
              <w:tabs>
                <w:tab w:val="right" w:pos="8732"/>
              </w:tabs>
              <w:spacing w:before="0"/>
              <w:rPr>
                <w:b/>
                <w:bCs/>
                <w:iCs/>
                <w:color w:val="FFFFFF"/>
                <w:sz w:val="30"/>
                <w:szCs w:val="30"/>
              </w:rPr>
            </w:pPr>
            <w:r w:rsidRPr="00D123D0">
              <w:rPr>
                <w:noProof/>
                <w:lang w:eastAsia="zh-CN"/>
              </w:rPr>
              <w:drawing>
                <wp:inline distT="0" distB="0" distL="0" distR="0" wp14:anchorId="45F216C7" wp14:editId="7360ACE7">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2" w:type="dxa"/>
            <w:gridSpan w:val="3"/>
            <w:vAlign w:val="center"/>
          </w:tcPr>
          <w:p w14:paraId="728CFF4E" w14:textId="77777777" w:rsidR="00036F4F" w:rsidRPr="00D123D0" w:rsidRDefault="00036F4F" w:rsidP="00D14F31">
            <w:pPr>
              <w:spacing w:before="0"/>
              <w:rPr>
                <w:rFonts w:cs="Times New Roman Bold"/>
                <w:b/>
                <w:bCs/>
                <w:iCs/>
                <w:smallCaps/>
                <w:sz w:val="34"/>
                <w:szCs w:val="34"/>
              </w:rPr>
            </w:pPr>
            <w:r w:rsidRPr="00D123D0">
              <w:rPr>
                <w:rFonts w:cs="Times New Roman Bold"/>
                <w:b/>
                <w:bCs/>
                <w:iCs/>
                <w:smallCaps/>
                <w:sz w:val="34"/>
                <w:szCs w:val="34"/>
              </w:rPr>
              <w:t>Union internationale des télécommunications</w:t>
            </w:r>
          </w:p>
          <w:p w14:paraId="262B45C1" w14:textId="77777777" w:rsidR="00036F4F" w:rsidRPr="00D123D0" w:rsidRDefault="00036F4F" w:rsidP="00D14F31">
            <w:pPr>
              <w:tabs>
                <w:tab w:val="right" w:pos="8732"/>
              </w:tabs>
              <w:spacing w:before="0"/>
              <w:rPr>
                <w:b/>
                <w:bCs/>
                <w:iCs/>
                <w:color w:val="FFFFFF"/>
                <w:sz w:val="30"/>
                <w:szCs w:val="30"/>
              </w:rPr>
            </w:pPr>
            <w:r w:rsidRPr="00D123D0">
              <w:rPr>
                <w:rFonts w:cs="Times New Roman Bold"/>
                <w:b/>
                <w:bCs/>
                <w:iCs/>
                <w:smallCaps/>
                <w:sz w:val="28"/>
                <w:szCs w:val="28"/>
              </w:rPr>
              <w:t>B</w:t>
            </w:r>
            <w:r w:rsidRPr="00D123D0">
              <w:rPr>
                <w:b/>
                <w:bCs/>
                <w:iCs/>
                <w:smallCaps/>
                <w:sz w:val="28"/>
                <w:szCs w:val="28"/>
              </w:rPr>
              <w:t>ureau de la Normalisation des Télécommunications</w:t>
            </w:r>
          </w:p>
        </w:tc>
        <w:tc>
          <w:tcPr>
            <w:tcW w:w="2131" w:type="dxa"/>
            <w:vAlign w:val="center"/>
          </w:tcPr>
          <w:p w14:paraId="651FBEAC" w14:textId="77777777" w:rsidR="00036F4F" w:rsidRPr="00D123D0" w:rsidRDefault="00036F4F" w:rsidP="00D14F31">
            <w:pPr>
              <w:spacing w:before="0"/>
              <w:jc w:val="right"/>
              <w:rPr>
                <w:color w:val="FFFFFF"/>
                <w:sz w:val="26"/>
                <w:szCs w:val="26"/>
              </w:rPr>
            </w:pPr>
          </w:p>
        </w:tc>
      </w:tr>
      <w:tr w:rsidR="00036F4F" w:rsidRPr="00D123D0" w14:paraId="4A1C7735" w14:textId="77777777" w:rsidTr="00B74995">
        <w:trPr>
          <w:gridBefore w:val="1"/>
          <w:wBefore w:w="8" w:type="dxa"/>
          <w:cantSplit/>
        </w:trPr>
        <w:tc>
          <w:tcPr>
            <w:tcW w:w="2141" w:type="dxa"/>
            <w:gridSpan w:val="3"/>
          </w:tcPr>
          <w:p w14:paraId="507471E0" w14:textId="77777777" w:rsidR="00036F4F" w:rsidRPr="00D123D0" w:rsidRDefault="00036F4F" w:rsidP="00A5280F">
            <w:pPr>
              <w:tabs>
                <w:tab w:val="left" w:pos="4111"/>
              </w:tabs>
              <w:spacing w:before="10"/>
              <w:ind w:left="57"/>
            </w:pPr>
          </w:p>
        </w:tc>
        <w:tc>
          <w:tcPr>
            <w:tcW w:w="2897" w:type="dxa"/>
          </w:tcPr>
          <w:p w14:paraId="1E418CAC" w14:textId="77777777" w:rsidR="00036F4F" w:rsidRPr="00D123D0" w:rsidRDefault="00036F4F" w:rsidP="00A5280F">
            <w:pPr>
              <w:tabs>
                <w:tab w:val="left" w:pos="4111"/>
              </w:tabs>
              <w:spacing w:before="10"/>
              <w:ind w:left="57"/>
              <w:rPr>
                <w:b/>
              </w:rPr>
            </w:pPr>
          </w:p>
        </w:tc>
        <w:tc>
          <w:tcPr>
            <w:tcW w:w="5052" w:type="dxa"/>
            <w:gridSpan w:val="3"/>
          </w:tcPr>
          <w:p w14:paraId="53BE6458" w14:textId="1BA23120" w:rsidR="00036F4F" w:rsidRPr="00D123D0" w:rsidRDefault="00036F4F" w:rsidP="00A5645A">
            <w:pPr>
              <w:tabs>
                <w:tab w:val="clear" w:pos="794"/>
                <w:tab w:val="clear" w:pos="1191"/>
                <w:tab w:val="clear" w:pos="1588"/>
                <w:tab w:val="clear" w:pos="1985"/>
                <w:tab w:val="left" w:pos="284"/>
              </w:tabs>
              <w:spacing w:after="120"/>
              <w:ind w:left="284" w:hanging="227"/>
            </w:pPr>
            <w:r w:rsidRPr="00D123D0">
              <w:t>Genève, le</w:t>
            </w:r>
            <w:r w:rsidR="00B74995" w:rsidRPr="00D123D0">
              <w:t xml:space="preserve"> 29 mai 2020</w:t>
            </w:r>
          </w:p>
        </w:tc>
      </w:tr>
      <w:tr w:rsidR="00B74995" w:rsidRPr="00D123D0" w14:paraId="2378BD52" w14:textId="77777777" w:rsidTr="00B74995">
        <w:trPr>
          <w:gridBefore w:val="1"/>
          <w:gridAfter w:val="1"/>
          <w:wBefore w:w="8" w:type="dxa"/>
          <w:wAfter w:w="12" w:type="dxa"/>
          <w:cantSplit/>
          <w:trHeight w:val="340"/>
        </w:trPr>
        <w:tc>
          <w:tcPr>
            <w:tcW w:w="984" w:type="dxa"/>
          </w:tcPr>
          <w:p w14:paraId="41161408" w14:textId="77777777" w:rsidR="00B74995" w:rsidRPr="00D123D0" w:rsidRDefault="00B74995" w:rsidP="00A5280F">
            <w:pPr>
              <w:tabs>
                <w:tab w:val="left" w:pos="4111"/>
              </w:tabs>
              <w:spacing w:before="10"/>
              <w:ind w:left="57"/>
              <w:rPr>
                <w:b/>
                <w:bCs/>
              </w:rPr>
            </w:pPr>
            <w:r w:rsidRPr="00D123D0">
              <w:rPr>
                <w:b/>
                <w:bCs/>
              </w:rPr>
              <w:t>Réf.:</w:t>
            </w:r>
          </w:p>
          <w:p w14:paraId="070B4057" w14:textId="77777777" w:rsidR="00B74995" w:rsidRPr="00D123D0" w:rsidRDefault="00B74995" w:rsidP="00036F4F">
            <w:pPr>
              <w:tabs>
                <w:tab w:val="left" w:pos="4111"/>
              </w:tabs>
              <w:spacing w:before="10"/>
              <w:ind w:left="57"/>
              <w:rPr>
                <w:b/>
                <w:bCs/>
              </w:rPr>
            </w:pPr>
          </w:p>
        </w:tc>
        <w:tc>
          <w:tcPr>
            <w:tcW w:w="4054" w:type="dxa"/>
            <w:gridSpan w:val="3"/>
          </w:tcPr>
          <w:p w14:paraId="55AFFD61" w14:textId="4B373BAB" w:rsidR="00B74995" w:rsidRPr="00D123D0" w:rsidRDefault="00B74995" w:rsidP="00A5280F">
            <w:pPr>
              <w:tabs>
                <w:tab w:val="left" w:pos="4111"/>
              </w:tabs>
              <w:spacing w:before="10"/>
              <w:ind w:left="57"/>
              <w:rPr>
                <w:b/>
              </w:rPr>
            </w:pPr>
            <w:r w:rsidRPr="00D123D0">
              <w:rPr>
                <w:b/>
              </w:rPr>
              <w:t>Circulaire TSB 252</w:t>
            </w:r>
          </w:p>
          <w:p w14:paraId="5B985FC8" w14:textId="20F8F2C7" w:rsidR="00B74995" w:rsidRPr="00D123D0" w:rsidRDefault="00B74995" w:rsidP="00036F4F">
            <w:pPr>
              <w:tabs>
                <w:tab w:val="left" w:pos="4111"/>
              </w:tabs>
              <w:spacing w:before="10"/>
              <w:ind w:left="57"/>
              <w:rPr>
                <w:b/>
              </w:rPr>
            </w:pPr>
          </w:p>
        </w:tc>
        <w:tc>
          <w:tcPr>
            <w:tcW w:w="5040" w:type="dxa"/>
            <w:gridSpan w:val="2"/>
            <w:vMerge w:val="restart"/>
          </w:tcPr>
          <w:p w14:paraId="63B8D22A" w14:textId="77777777" w:rsidR="00B74995" w:rsidRPr="00D123D0" w:rsidRDefault="00B74995" w:rsidP="00B74995">
            <w:pPr>
              <w:tabs>
                <w:tab w:val="clear" w:pos="794"/>
                <w:tab w:val="clear" w:pos="1191"/>
                <w:tab w:val="clear" w:pos="1588"/>
                <w:tab w:val="clear" w:pos="1985"/>
              </w:tabs>
              <w:spacing w:before="40" w:after="40"/>
              <w:ind w:left="283" w:hanging="391"/>
              <w:rPr>
                <w:szCs w:val="24"/>
              </w:rPr>
            </w:pPr>
            <w:bookmarkStart w:id="0" w:name="Addressee_F"/>
            <w:bookmarkEnd w:id="0"/>
            <w:r w:rsidRPr="00D123D0">
              <w:t>-</w:t>
            </w:r>
            <w:r w:rsidRPr="00D123D0">
              <w:tab/>
            </w:r>
            <w:r w:rsidRPr="00D123D0">
              <w:rPr>
                <w:szCs w:val="24"/>
              </w:rPr>
              <w:t>Aux Administrations des États Membres de l'Union;</w:t>
            </w:r>
          </w:p>
          <w:p w14:paraId="446379AA" w14:textId="77777777" w:rsidR="00B74995" w:rsidRPr="00D123D0" w:rsidRDefault="00B74995" w:rsidP="00B74995">
            <w:pPr>
              <w:tabs>
                <w:tab w:val="clear" w:pos="794"/>
                <w:tab w:val="clear" w:pos="1191"/>
                <w:tab w:val="clear" w:pos="1588"/>
                <w:tab w:val="clear" w:pos="1985"/>
              </w:tabs>
              <w:spacing w:before="40" w:after="40"/>
              <w:ind w:left="283" w:hanging="391"/>
              <w:rPr>
                <w:szCs w:val="24"/>
              </w:rPr>
            </w:pPr>
            <w:r w:rsidRPr="00D123D0">
              <w:rPr>
                <w:szCs w:val="24"/>
              </w:rPr>
              <w:t>-</w:t>
            </w:r>
            <w:r w:rsidRPr="00D123D0">
              <w:rPr>
                <w:szCs w:val="24"/>
              </w:rPr>
              <w:tab/>
              <w:t>Aux Membres du Secteur de l'UIT-T;</w:t>
            </w:r>
          </w:p>
          <w:p w14:paraId="373F4886" w14:textId="77777777" w:rsidR="00B74995" w:rsidRPr="00D123D0" w:rsidRDefault="00B74995" w:rsidP="00B74995">
            <w:pPr>
              <w:tabs>
                <w:tab w:val="clear" w:pos="794"/>
                <w:tab w:val="clear" w:pos="1191"/>
                <w:tab w:val="clear" w:pos="1588"/>
                <w:tab w:val="clear" w:pos="1985"/>
              </w:tabs>
              <w:spacing w:before="40" w:after="40"/>
              <w:ind w:left="283" w:hanging="391"/>
              <w:rPr>
                <w:szCs w:val="24"/>
              </w:rPr>
            </w:pPr>
            <w:r w:rsidRPr="00D123D0">
              <w:rPr>
                <w:szCs w:val="24"/>
              </w:rPr>
              <w:t>-</w:t>
            </w:r>
            <w:r w:rsidRPr="00D123D0">
              <w:rPr>
                <w:szCs w:val="24"/>
              </w:rPr>
              <w:tab/>
              <w:t>Aux Associés de l'UIT-T;</w:t>
            </w:r>
          </w:p>
          <w:p w14:paraId="21D5D5D3" w14:textId="6DC1BBF1" w:rsidR="00B74995" w:rsidRPr="00D123D0" w:rsidRDefault="00B74995" w:rsidP="00B74995">
            <w:pPr>
              <w:tabs>
                <w:tab w:val="clear" w:pos="794"/>
                <w:tab w:val="clear" w:pos="1191"/>
                <w:tab w:val="clear" w:pos="1588"/>
                <w:tab w:val="clear" w:pos="1985"/>
                <w:tab w:val="left" w:pos="284"/>
              </w:tabs>
              <w:spacing w:before="0" w:after="120"/>
              <w:ind w:left="284" w:hanging="227"/>
            </w:pPr>
            <w:r w:rsidRPr="00D123D0">
              <w:rPr>
                <w:szCs w:val="24"/>
              </w:rPr>
              <w:t>-</w:t>
            </w:r>
            <w:r w:rsidRPr="00D123D0">
              <w:rPr>
                <w:szCs w:val="24"/>
              </w:rPr>
              <w:tab/>
              <w:t>Aux établissements universitaires participant aux travaux de l'UIT</w:t>
            </w:r>
          </w:p>
        </w:tc>
      </w:tr>
      <w:tr w:rsidR="00B74995" w:rsidRPr="00D123D0" w14:paraId="38033DD3" w14:textId="77777777" w:rsidTr="00B74995">
        <w:trPr>
          <w:gridBefore w:val="1"/>
          <w:gridAfter w:val="1"/>
          <w:wBefore w:w="8" w:type="dxa"/>
          <w:wAfter w:w="12" w:type="dxa"/>
          <w:cantSplit/>
        </w:trPr>
        <w:tc>
          <w:tcPr>
            <w:tcW w:w="984" w:type="dxa"/>
          </w:tcPr>
          <w:p w14:paraId="6A03B912" w14:textId="57E4A033" w:rsidR="00B74995" w:rsidRPr="00D123D0" w:rsidRDefault="00B74995" w:rsidP="00B74995">
            <w:pPr>
              <w:tabs>
                <w:tab w:val="left" w:pos="4111"/>
              </w:tabs>
              <w:spacing w:before="10"/>
              <w:ind w:left="57"/>
              <w:rPr>
                <w:b/>
                <w:bCs/>
                <w:szCs w:val="24"/>
              </w:rPr>
            </w:pPr>
            <w:r w:rsidRPr="00D123D0">
              <w:rPr>
                <w:b/>
                <w:bCs/>
                <w:szCs w:val="24"/>
              </w:rPr>
              <w:t>Contact:</w:t>
            </w:r>
          </w:p>
        </w:tc>
        <w:tc>
          <w:tcPr>
            <w:tcW w:w="4054" w:type="dxa"/>
            <w:gridSpan w:val="3"/>
          </w:tcPr>
          <w:p w14:paraId="2BDFCFEA" w14:textId="7F1F0034" w:rsidR="00B74995" w:rsidRPr="00D123D0" w:rsidRDefault="00B74995" w:rsidP="00B74995">
            <w:pPr>
              <w:tabs>
                <w:tab w:val="left" w:pos="4111"/>
              </w:tabs>
              <w:spacing w:before="0"/>
              <w:ind w:left="57"/>
              <w:rPr>
                <w:szCs w:val="24"/>
              </w:rPr>
            </w:pPr>
            <w:r w:rsidRPr="00D123D0">
              <w:rPr>
                <w:szCs w:val="24"/>
              </w:rPr>
              <w:t>Vijay Mauree</w:t>
            </w:r>
          </w:p>
        </w:tc>
        <w:tc>
          <w:tcPr>
            <w:tcW w:w="5040" w:type="dxa"/>
            <w:gridSpan w:val="2"/>
            <w:vMerge/>
          </w:tcPr>
          <w:p w14:paraId="44381ED2" w14:textId="77777777" w:rsidR="00B74995" w:rsidRPr="00D123D0" w:rsidRDefault="00B74995" w:rsidP="00B74995">
            <w:pPr>
              <w:tabs>
                <w:tab w:val="left" w:pos="4111"/>
              </w:tabs>
              <w:spacing w:before="0"/>
              <w:rPr>
                <w:b/>
              </w:rPr>
            </w:pPr>
          </w:p>
        </w:tc>
      </w:tr>
      <w:tr w:rsidR="00B74995" w:rsidRPr="00D123D0" w14:paraId="4AED38A1" w14:textId="77777777" w:rsidTr="00B74995">
        <w:trPr>
          <w:gridBefore w:val="1"/>
          <w:gridAfter w:val="1"/>
          <w:wBefore w:w="8" w:type="dxa"/>
          <w:wAfter w:w="12" w:type="dxa"/>
          <w:cantSplit/>
          <w:trHeight w:val="426"/>
        </w:trPr>
        <w:tc>
          <w:tcPr>
            <w:tcW w:w="984" w:type="dxa"/>
          </w:tcPr>
          <w:p w14:paraId="6F6791D4" w14:textId="4B110A66" w:rsidR="00B74995" w:rsidRPr="00D123D0" w:rsidRDefault="00B74995" w:rsidP="00B74995">
            <w:pPr>
              <w:tabs>
                <w:tab w:val="left" w:pos="4111"/>
              </w:tabs>
              <w:spacing w:before="10"/>
              <w:ind w:left="57"/>
              <w:rPr>
                <w:b/>
                <w:bCs/>
                <w:szCs w:val="24"/>
              </w:rPr>
            </w:pPr>
            <w:r w:rsidRPr="00D123D0">
              <w:rPr>
                <w:b/>
                <w:bCs/>
                <w:szCs w:val="24"/>
              </w:rPr>
              <w:t>Tél.:</w:t>
            </w:r>
          </w:p>
        </w:tc>
        <w:tc>
          <w:tcPr>
            <w:tcW w:w="4054" w:type="dxa"/>
            <w:gridSpan w:val="3"/>
          </w:tcPr>
          <w:p w14:paraId="73526B79" w14:textId="3BDD5508" w:rsidR="00B74995" w:rsidRPr="00D123D0" w:rsidRDefault="00B74995" w:rsidP="00B74995">
            <w:pPr>
              <w:tabs>
                <w:tab w:val="left" w:pos="4111"/>
              </w:tabs>
              <w:spacing w:before="0"/>
              <w:ind w:left="57"/>
              <w:rPr>
                <w:szCs w:val="24"/>
              </w:rPr>
            </w:pPr>
            <w:r w:rsidRPr="00D123D0">
              <w:rPr>
                <w:szCs w:val="24"/>
              </w:rPr>
              <w:t>+41 22 730 5591</w:t>
            </w:r>
          </w:p>
        </w:tc>
        <w:tc>
          <w:tcPr>
            <w:tcW w:w="5040" w:type="dxa"/>
            <w:gridSpan w:val="2"/>
            <w:vMerge/>
          </w:tcPr>
          <w:p w14:paraId="3BF1EBBB" w14:textId="77777777" w:rsidR="00B74995" w:rsidRPr="00D123D0" w:rsidRDefault="00B74995" w:rsidP="00B74995">
            <w:pPr>
              <w:tabs>
                <w:tab w:val="left" w:pos="4111"/>
              </w:tabs>
              <w:spacing w:before="0"/>
              <w:rPr>
                <w:b/>
              </w:rPr>
            </w:pPr>
          </w:p>
        </w:tc>
      </w:tr>
      <w:tr w:rsidR="00B74995" w:rsidRPr="00D123D0" w14:paraId="2844B084" w14:textId="77777777" w:rsidTr="00B74995">
        <w:trPr>
          <w:gridBefore w:val="1"/>
          <w:gridAfter w:val="1"/>
          <w:wBefore w:w="8" w:type="dxa"/>
          <w:wAfter w:w="12" w:type="dxa"/>
          <w:cantSplit/>
          <w:trHeight w:val="701"/>
        </w:trPr>
        <w:tc>
          <w:tcPr>
            <w:tcW w:w="984" w:type="dxa"/>
          </w:tcPr>
          <w:p w14:paraId="3F53AEDF" w14:textId="1F47138F" w:rsidR="00B74995" w:rsidRPr="00D123D0" w:rsidRDefault="00B74995" w:rsidP="00B74995">
            <w:pPr>
              <w:tabs>
                <w:tab w:val="left" w:pos="4111"/>
              </w:tabs>
              <w:spacing w:before="10"/>
              <w:ind w:left="57"/>
              <w:rPr>
                <w:b/>
                <w:bCs/>
              </w:rPr>
            </w:pPr>
            <w:r w:rsidRPr="00D123D0">
              <w:rPr>
                <w:b/>
                <w:bCs/>
              </w:rPr>
              <w:t>Fax:</w:t>
            </w:r>
          </w:p>
        </w:tc>
        <w:tc>
          <w:tcPr>
            <w:tcW w:w="4054" w:type="dxa"/>
            <w:gridSpan w:val="3"/>
          </w:tcPr>
          <w:p w14:paraId="0868857F" w14:textId="04C621D4" w:rsidR="00B74995" w:rsidRPr="00D123D0" w:rsidRDefault="00B74995" w:rsidP="00B74995">
            <w:pPr>
              <w:tabs>
                <w:tab w:val="left" w:pos="4111"/>
              </w:tabs>
              <w:spacing w:before="10"/>
              <w:ind w:left="57"/>
            </w:pPr>
            <w:r w:rsidRPr="00D123D0">
              <w:t>+41 22 730 5853</w:t>
            </w:r>
          </w:p>
        </w:tc>
        <w:tc>
          <w:tcPr>
            <w:tcW w:w="5040" w:type="dxa"/>
            <w:gridSpan w:val="2"/>
            <w:vMerge/>
          </w:tcPr>
          <w:p w14:paraId="2CD5FC81" w14:textId="77777777" w:rsidR="00B74995" w:rsidRPr="00D123D0" w:rsidRDefault="00B74995" w:rsidP="00B74995">
            <w:pPr>
              <w:tabs>
                <w:tab w:val="left" w:pos="4111"/>
              </w:tabs>
              <w:spacing w:before="0"/>
              <w:rPr>
                <w:b/>
              </w:rPr>
            </w:pPr>
          </w:p>
        </w:tc>
      </w:tr>
      <w:tr w:rsidR="00517A03" w:rsidRPr="00D123D0" w14:paraId="0BA5798C" w14:textId="77777777" w:rsidTr="00B74995">
        <w:trPr>
          <w:gridBefore w:val="1"/>
          <w:gridAfter w:val="1"/>
          <w:wBefore w:w="8" w:type="dxa"/>
          <w:wAfter w:w="12" w:type="dxa"/>
          <w:cantSplit/>
        </w:trPr>
        <w:tc>
          <w:tcPr>
            <w:tcW w:w="984" w:type="dxa"/>
          </w:tcPr>
          <w:p w14:paraId="09A24E36" w14:textId="77777777" w:rsidR="00517A03" w:rsidRPr="00D123D0" w:rsidRDefault="00036F4F" w:rsidP="00A5280F">
            <w:pPr>
              <w:tabs>
                <w:tab w:val="left" w:pos="4111"/>
              </w:tabs>
              <w:spacing w:before="10"/>
              <w:ind w:left="57"/>
              <w:rPr>
                <w:b/>
                <w:bCs/>
                <w:sz w:val="20"/>
              </w:rPr>
            </w:pPr>
            <w:r w:rsidRPr="00D123D0">
              <w:rPr>
                <w:b/>
                <w:bCs/>
              </w:rPr>
              <w:t>E-mail:</w:t>
            </w:r>
          </w:p>
        </w:tc>
        <w:tc>
          <w:tcPr>
            <w:tcW w:w="4054" w:type="dxa"/>
            <w:gridSpan w:val="3"/>
          </w:tcPr>
          <w:p w14:paraId="329F194D" w14:textId="361C4604" w:rsidR="00517A03" w:rsidRPr="00D123D0" w:rsidRDefault="0042426D" w:rsidP="00A5280F">
            <w:pPr>
              <w:tabs>
                <w:tab w:val="left" w:pos="4111"/>
              </w:tabs>
              <w:spacing w:before="0"/>
              <w:ind w:left="57"/>
            </w:pPr>
            <w:hyperlink r:id="rId9" w:history="1">
              <w:r w:rsidR="00B74995" w:rsidRPr="00D123D0">
                <w:rPr>
                  <w:rStyle w:val="Hyperlink"/>
                </w:rPr>
                <w:t>tsbevents@itu.int</w:t>
              </w:r>
            </w:hyperlink>
          </w:p>
        </w:tc>
        <w:tc>
          <w:tcPr>
            <w:tcW w:w="5040" w:type="dxa"/>
            <w:gridSpan w:val="2"/>
          </w:tcPr>
          <w:p w14:paraId="1C9A74D8" w14:textId="77777777" w:rsidR="00517A03" w:rsidRPr="00D123D0" w:rsidRDefault="00517A03" w:rsidP="00A5280F">
            <w:pPr>
              <w:tabs>
                <w:tab w:val="left" w:pos="4111"/>
              </w:tabs>
              <w:spacing w:before="0"/>
            </w:pPr>
            <w:r w:rsidRPr="00D123D0">
              <w:rPr>
                <w:b/>
              </w:rPr>
              <w:t>Copie</w:t>
            </w:r>
            <w:r w:rsidRPr="00D123D0">
              <w:t>:</w:t>
            </w:r>
          </w:p>
          <w:p w14:paraId="4B5C26B4" w14:textId="77777777" w:rsidR="00B74995" w:rsidRPr="00D123D0" w:rsidRDefault="00517A03" w:rsidP="00B74995">
            <w:pPr>
              <w:tabs>
                <w:tab w:val="clear" w:pos="1985"/>
              </w:tabs>
              <w:spacing w:before="0"/>
              <w:ind w:left="283" w:hanging="283"/>
            </w:pPr>
            <w:r w:rsidRPr="00D123D0">
              <w:t>-</w:t>
            </w:r>
            <w:r w:rsidRPr="00D123D0">
              <w:tab/>
            </w:r>
            <w:r w:rsidR="00B74995" w:rsidRPr="00D123D0">
              <w:t>Aux Présidents et Vice-Présidents des Commissions d'études;</w:t>
            </w:r>
          </w:p>
          <w:p w14:paraId="2945A5CD" w14:textId="77777777" w:rsidR="00B74995" w:rsidRPr="00D123D0" w:rsidRDefault="00B74995" w:rsidP="00B74995">
            <w:pPr>
              <w:tabs>
                <w:tab w:val="clear" w:pos="794"/>
                <w:tab w:val="clear" w:pos="1191"/>
                <w:tab w:val="clear" w:pos="1588"/>
                <w:tab w:val="clear" w:pos="1985"/>
              </w:tabs>
              <w:spacing w:before="40" w:after="40"/>
              <w:ind w:left="283" w:hanging="283"/>
            </w:pPr>
            <w:r w:rsidRPr="00D123D0">
              <w:t>-</w:t>
            </w:r>
            <w:r w:rsidRPr="00D123D0">
              <w:tab/>
              <w:t>À la Directrice du Bureau de développement des télécommunications;</w:t>
            </w:r>
          </w:p>
          <w:p w14:paraId="6FF67E37" w14:textId="77777777" w:rsidR="00B74995" w:rsidRPr="00D123D0" w:rsidRDefault="00B74995" w:rsidP="00B749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pPr>
            <w:r w:rsidRPr="00D123D0">
              <w:t>-</w:t>
            </w:r>
            <w:r w:rsidRPr="00D123D0">
              <w:tab/>
              <w:t>Au Directeur du Bureau des radiocommunications ;</w:t>
            </w:r>
          </w:p>
          <w:p w14:paraId="01D60C60" w14:textId="5E54EE87" w:rsidR="00517A03" w:rsidRPr="00D123D0" w:rsidRDefault="00B74995" w:rsidP="00B74995">
            <w:pPr>
              <w:tabs>
                <w:tab w:val="clear" w:pos="794"/>
                <w:tab w:val="left" w:pos="226"/>
                <w:tab w:val="left" w:pos="4111"/>
              </w:tabs>
              <w:spacing w:before="0"/>
              <w:ind w:left="226" w:hanging="226"/>
            </w:pPr>
            <w:r w:rsidRPr="00D123D0">
              <w:t>-</w:t>
            </w:r>
            <w:r w:rsidRPr="00D123D0">
              <w:tab/>
              <w:t>Aux Directeurs des Bureaux régionaux de l'UIT</w:t>
            </w:r>
          </w:p>
        </w:tc>
      </w:tr>
      <w:tr w:rsidR="00517A03" w:rsidRPr="00D123D0" w14:paraId="09FCF71D" w14:textId="77777777" w:rsidTr="00B74995">
        <w:trPr>
          <w:gridBefore w:val="1"/>
          <w:gridAfter w:val="1"/>
          <w:wBefore w:w="8" w:type="dxa"/>
          <w:wAfter w:w="12" w:type="dxa"/>
          <w:cantSplit/>
          <w:trHeight w:val="680"/>
        </w:trPr>
        <w:tc>
          <w:tcPr>
            <w:tcW w:w="984" w:type="dxa"/>
          </w:tcPr>
          <w:p w14:paraId="6634ABF4" w14:textId="77777777" w:rsidR="00517A03" w:rsidRPr="00D123D0" w:rsidRDefault="00517A03" w:rsidP="00B74995">
            <w:pPr>
              <w:tabs>
                <w:tab w:val="left" w:pos="4111"/>
              </w:tabs>
              <w:ind w:left="57"/>
              <w:rPr>
                <w:b/>
                <w:bCs/>
                <w:szCs w:val="22"/>
              </w:rPr>
            </w:pPr>
            <w:r w:rsidRPr="00D123D0">
              <w:rPr>
                <w:b/>
                <w:bCs/>
                <w:szCs w:val="22"/>
              </w:rPr>
              <w:t>Objet:</w:t>
            </w:r>
          </w:p>
        </w:tc>
        <w:tc>
          <w:tcPr>
            <w:tcW w:w="9094" w:type="dxa"/>
            <w:gridSpan w:val="5"/>
          </w:tcPr>
          <w:p w14:paraId="35DC3EDE" w14:textId="40682D29" w:rsidR="00B74995" w:rsidRPr="00D123D0" w:rsidRDefault="00B74995" w:rsidP="00051446">
            <w:pPr>
              <w:tabs>
                <w:tab w:val="left" w:pos="4111"/>
              </w:tabs>
              <w:ind w:left="57"/>
              <w:rPr>
                <w:b/>
                <w:bCs/>
                <w:szCs w:val="22"/>
              </w:rPr>
            </w:pPr>
            <w:r w:rsidRPr="00D123D0">
              <w:rPr>
                <w:b/>
                <w:bCs/>
                <w:szCs w:val="22"/>
              </w:rPr>
              <w:t xml:space="preserve">Série de webinaires consacrés aux services financiers numériques pendant </w:t>
            </w:r>
            <w:r w:rsidR="00051446" w:rsidRPr="00D123D0">
              <w:rPr>
                <w:b/>
                <w:bCs/>
                <w:szCs w:val="22"/>
              </w:rPr>
              <w:br/>
            </w:r>
            <w:r w:rsidRPr="00D123D0">
              <w:rPr>
                <w:b/>
                <w:bCs/>
                <w:szCs w:val="22"/>
              </w:rPr>
              <w:t>l'épidémie de COVID-19</w:t>
            </w:r>
          </w:p>
          <w:p w14:paraId="0DB5940A" w14:textId="5D64A622" w:rsidR="00517A03" w:rsidRPr="00D123D0" w:rsidRDefault="00B74995" w:rsidP="00B74995">
            <w:pPr>
              <w:tabs>
                <w:tab w:val="left" w:pos="4111"/>
              </w:tabs>
              <w:spacing w:before="0"/>
              <w:ind w:left="57"/>
              <w:rPr>
                <w:b/>
                <w:bCs/>
                <w:szCs w:val="22"/>
              </w:rPr>
            </w:pPr>
            <w:r w:rsidRPr="00D123D0">
              <w:rPr>
                <w:b/>
                <w:bCs/>
                <w:szCs w:val="22"/>
              </w:rPr>
              <w:t>(réunions entièrement virtuelles des 11, 23, 26, 29 et 30 juin 2020)</w:t>
            </w:r>
          </w:p>
        </w:tc>
      </w:tr>
    </w:tbl>
    <w:p w14:paraId="48A0BED8" w14:textId="77777777" w:rsidR="00517A03" w:rsidRPr="00D123D0" w:rsidRDefault="00517A03" w:rsidP="00A5280F">
      <w:bookmarkStart w:id="1" w:name="StartTyping_F"/>
      <w:bookmarkEnd w:id="1"/>
      <w:r w:rsidRPr="00D123D0">
        <w:t>Madame, Monsieur,</w:t>
      </w:r>
    </w:p>
    <w:p w14:paraId="28A6A313" w14:textId="77777777" w:rsidR="00B74995" w:rsidRPr="00D123D0" w:rsidRDefault="00B74995" w:rsidP="00B74995">
      <w:pPr>
        <w:rPr>
          <w:bCs/>
        </w:rPr>
      </w:pPr>
      <w:r w:rsidRPr="00D123D0">
        <w:rPr>
          <w:bCs/>
        </w:rPr>
        <w:t>1</w:t>
      </w:r>
      <w:r w:rsidRPr="00D123D0">
        <w:rPr>
          <w:bCs/>
        </w:rPr>
        <w:tab/>
      </w:r>
      <w:bookmarkStart w:id="2" w:name="_Hlk38880448"/>
      <w:r w:rsidRPr="00D123D0">
        <w:rPr>
          <w:bCs/>
        </w:rPr>
        <w:t xml:space="preserve">L'Union internationale des télécommunications (UIT) organise une série de webinaires consacrés aux </w:t>
      </w:r>
      <w:hyperlink r:id="rId10" w:history="1">
        <w:r w:rsidRPr="00D123D0">
          <w:rPr>
            <w:rStyle w:val="Hyperlink"/>
            <w:bCs/>
          </w:rPr>
          <w:t>Services financiers numériques (DFS) pendant l'épidémie de COVID-19</w:t>
        </w:r>
      </w:hyperlink>
      <w:r w:rsidRPr="00D123D0">
        <w:rPr>
          <w:bCs/>
        </w:rPr>
        <w:t>. L'objectif est de se pencher sur les applications innovantes des services de télécommunication, les paiements numériques et les technologies financières, propres à permettre de relever les défis liés à la distanciation sociale, dont l'épidémie de COVID-19 est à l'origine. Ces webinaires permettront de partager les enseignements tirés par les pays et les acteurs dans le domaine des services financiers numériques concernant les diverses mesures mises en œuvre. Les prochains épisodes de la série de webinaires de juin porteront sur les sujets suivants:</w:t>
      </w:r>
    </w:p>
    <w:p w14:paraId="1BCAD630" w14:textId="1D9ADF96" w:rsidR="00B74995" w:rsidRPr="00D123D0" w:rsidRDefault="00B74995" w:rsidP="00B74995">
      <w:pPr>
        <w:pStyle w:val="enumlev1"/>
      </w:pPr>
      <w:r w:rsidRPr="00D123D0">
        <w:t>a)</w:t>
      </w:r>
      <w:r w:rsidRPr="00D123D0">
        <w:tab/>
        <w:t xml:space="preserve">Épisode 4: </w:t>
      </w:r>
      <w:r w:rsidRPr="00D123D0">
        <w:rPr>
          <w:b/>
        </w:rPr>
        <w:t>Crédit numérique et protection des consommateurs</w:t>
      </w:r>
      <w:r w:rsidRPr="00D123D0">
        <w:t>, le 11 juin 2020 de 15 h 00 à 16 h 30 CEST.</w:t>
      </w:r>
    </w:p>
    <w:p w14:paraId="4F87B173" w14:textId="59804978" w:rsidR="00B74995" w:rsidRPr="00D123D0" w:rsidRDefault="00B74995" w:rsidP="00B74995">
      <w:pPr>
        <w:pStyle w:val="enumlev1"/>
      </w:pPr>
      <w:r w:rsidRPr="00D123D0">
        <w:t>b)</w:t>
      </w:r>
      <w:r w:rsidRPr="00D123D0">
        <w:tab/>
        <w:t xml:space="preserve">Épisode 5: </w:t>
      </w:r>
      <w:r w:rsidRPr="00D123D0">
        <w:rPr>
          <w:b/>
        </w:rPr>
        <w:t>Technologies de crédit numérique et inclusion financière</w:t>
      </w:r>
      <w:r w:rsidRPr="00D123D0">
        <w:t>, le 23 juin 2020 de 15 h 00 à 16 h 30 CEST.</w:t>
      </w:r>
    </w:p>
    <w:p w14:paraId="23AF6398" w14:textId="298F617A" w:rsidR="00B74995" w:rsidRPr="00D123D0" w:rsidRDefault="00B74995" w:rsidP="00B74995">
      <w:pPr>
        <w:pStyle w:val="enumlev1"/>
      </w:pPr>
      <w:r w:rsidRPr="00D123D0">
        <w:t>c)</w:t>
      </w:r>
      <w:r w:rsidRPr="00D123D0">
        <w:tab/>
        <w:t xml:space="preserve">Épisode 6: </w:t>
      </w:r>
      <w:r w:rsidRPr="00D123D0">
        <w:rPr>
          <w:b/>
        </w:rPr>
        <w:t>Monnaie numérique de banque centrale et inclusion financière numérique</w:t>
      </w:r>
      <w:r w:rsidRPr="00D123D0">
        <w:t>, le 26 juin 2020 de 16 h 00 à 17 h 45 CEST.</w:t>
      </w:r>
    </w:p>
    <w:p w14:paraId="1A8C7764" w14:textId="7C9B59D6" w:rsidR="00B74995" w:rsidRPr="00D123D0" w:rsidRDefault="00B74995" w:rsidP="00B74995">
      <w:pPr>
        <w:pStyle w:val="enumlev1"/>
      </w:pPr>
      <w:r w:rsidRPr="00D123D0">
        <w:t>d)</w:t>
      </w:r>
      <w:r w:rsidRPr="00D123D0">
        <w:tab/>
        <w:t xml:space="preserve">Épisode 7: </w:t>
      </w:r>
      <w:r w:rsidRPr="00D123D0">
        <w:rPr>
          <w:b/>
        </w:rPr>
        <w:t>Applications de la monnaie numérique et besoin de normes</w:t>
      </w:r>
      <w:r w:rsidRPr="00D123D0">
        <w:t>, le</w:t>
      </w:r>
      <w:r w:rsidRPr="00D123D0">
        <w:rPr>
          <w:b/>
        </w:rPr>
        <w:t xml:space="preserve"> </w:t>
      </w:r>
      <w:r w:rsidRPr="00D123D0">
        <w:t>29 juin 2020 de 16 h 00 à 17 h 45 CEST.</w:t>
      </w:r>
    </w:p>
    <w:p w14:paraId="19CD0183" w14:textId="6ED262BF" w:rsidR="00B74995" w:rsidRPr="00D123D0" w:rsidRDefault="00B74995" w:rsidP="00B74995">
      <w:pPr>
        <w:pStyle w:val="enumlev1"/>
      </w:pPr>
      <w:r w:rsidRPr="00D123D0">
        <w:t>e)</w:t>
      </w:r>
      <w:r w:rsidRPr="00D123D0">
        <w:tab/>
        <w:t xml:space="preserve">Épisode 8: </w:t>
      </w:r>
      <w:r w:rsidRPr="00D123D0">
        <w:rPr>
          <w:b/>
        </w:rPr>
        <w:t>Traitement des délits et des arnaques dans le domaine des services financiers numériques</w:t>
      </w:r>
      <w:r w:rsidRPr="00D123D0">
        <w:t>, le 30 juin 2020 de 15 h 00 à 16 h 30 CEST.</w:t>
      </w:r>
    </w:p>
    <w:bookmarkEnd w:id="2"/>
    <w:p w14:paraId="0867203D" w14:textId="77777777" w:rsidR="00051446" w:rsidRPr="00D123D0" w:rsidRDefault="00051446" w:rsidP="00B74995">
      <w:pPr>
        <w:rPr>
          <w:bCs/>
        </w:rPr>
      </w:pPr>
      <w:r w:rsidRPr="00D123D0">
        <w:rPr>
          <w:bCs/>
        </w:rPr>
        <w:br w:type="page"/>
      </w:r>
    </w:p>
    <w:p w14:paraId="68BFAB52" w14:textId="626644B8" w:rsidR="00B74995" w:rsidRPr="00D123D0" w:rsidRDefault="00B74995" w:rsidP="00B74995">
      <w:pPr>
        <w:rPr>
          <w:bCs/>
        </w:rPr>
      </w:pPr>
      <w:r w:rsidRPr="00D123D0">
        <w:rPr>
          <w:bCs/>
        </w:rPr>
        <w:lastRenderedPageBreak/>
        <w:t>2</w:t>
      </w:r>
      <w:r w:rsidRPr="00D123D0">
        <w:rPr>
          <w:bCs/>
        </w:rPr>
        <w:tab/>
        <w:t xml:space="preserve">Le quatrième épisode, </w:t>
      </w:r>
      <w:r w:rsidRPr="00D123D0">
        <w:t>"</w:t>
      </w:r>
      <w:r w:rsidRPr="00D123D0">
        <w:rPr>
          <w:b/>
          <w:bCs/>
        </w:rPr>
        <w:t>Crédit numérique et protection des consommateurs</w:t>
      </w:r>
      <w:r w:rsidRPr="00D123D0">
        <w:t>"</w:t>
      </w:r>
      <w:r w:rsidRPr="00D123D0">
        <w:rPr>
          <w:bCs/>
        </w:rPr>
        <w:t>, portera sur la manière dont le crédit numérique permet aux consommateurs d'avoir accès à une ligne de crédit ou à une avance, qu'ils acceptent de rembourser dans un délai déterminé. Les décisions de prêt sont automatisées et peuvent être fondées sur des sources traditionnelles de données, comme les profils démographiques et les données des bureaux de crédit, ainsi que des données numériques non traditionnelles, comme les données des télécommunications (voix, temps de communication), les données relatives aux transactions financières et les données des réseaux sociaux. La séance aura pour objet d'étudier les incidences du COVID-19 sur les pratiques relatives au crédit numérique et à la protection des consommateurs pendant la pandémie.</w:t>
      </w:r>
    </w:p>
    <w:p w14:paraId="1C1C537D" w14:textId="77777777" w:rsidR="00B74995" w:rsidRPr="00D123D0" w:rsidRDefault="00B74995" w:rsidP="00B74995">
      <w:pPr>
        <w:rPr>
          <w:bCs/>
        </w:rPr>
      </w:pPr>
      <w:r w:rsidRPr="00D123D0">
        <w:rPr>
          <w:bCs/>
        </w:rPr>
        <w:t>3</w:t>
      </w:r>
      <w:r w:rsidRPr="00D123D0">
        <w:rPr>
          <w:bCs/>
        </w:rPr>
        <w:tab/>
        <w:t xml:space="preserve">Le thème du cinquième épisode sera le suivant: </w:t>
      </w:r>
      <w:r w:rsidRPr="00D123D0">
        <w:t>"</w:t>
      </w:r>
      <w:r w:rsidRPr="00D123D0">
        <w:rPr>
          <w:b/>
          <w:bCs/>
        </w:rPr>
        <w:t>Technologies de crédit numérique et inclusion financière</w:t>
      </w:r>
      <w:r w:rsidRPr="00D123D0">
        <w:t>"</w:t>
      </w:r>
      <w:r w:rsidRPr="00D123D0">
        <w:rPr>
          <w:bCs/>
        </w:rPr>
        <w:t>. La séance sera consacrée à l'examen des innovations et des tendances émergentes dans le domaine des technologies de crédit numérique, ainsi que des incidences sur l'inclusion financière dans les économies émergentes.</w:t>
      </w:r>
    </w:p>
    <w:p w14:paraId="05BBAF11" w14:textId="18232AE8" w:rsidR="00B74995" w:rsidRPr="00D123D0" w:rsidRDefault="00B74995" w:rsidP="00B74995">
      <w:pPr>
        <w:rPr>
          <w:b/>
          <w:bCs/>
        </w:rPr>
      </w:pPr>
      <w:r w:rsidRPr="00D123D0">
        <w:rPr>
          <w:bCs/>
        </w:rPr>
        <w:t>4</w:t>
      </w:r>
      <w:r w:rsidRPr="00D123D0">
        <w:rPr>
          <w:bCs/>
        </w:rPr>
        <w:tab/>
        <w:t xml:space="preserve">Le thème du sixième épisode sera le suivant: </w:t>
      </w:r>
      <w:r w:rsidRPr="00D123D0">
        <w:t>"</w:t>
      </w:r>
      <w:r w:rsidRPr="00D123D0">
        <w:rPr>
          <w:b/>
          <w:bCs/>
        </w:rPr>
        <w:t>Monnaie numérique de banque centrale et inclusion financière numérique</w:t>
      </w:r>
      <w:r w:rsidRPr="00D123D0">
        <w:t xml:space="preserve">". </w:t>
      </w:r>
      <w:r w:rsidRPr="00D123D0">
        <w:rPr>
          <w:bCs/>
        </w:rPr>
        <w:t>Cet épisode permettra d'examiner les différentes notions de la monnaie numérique, plusieurs cas d'utilisation de la monnaie numérique, notamment de la monnaie numérique de banque centrale, et de faire un point sur la situation concernant le déploiement des monnaies numériques et leurs applications. La séance portera en particulier sur la question de savoir si une monnaie numérique de banque centrale peut contribuer à réduire les disparités en matière d'inclusion financière.</w:t>
      </w:r>
    </w:p>
    <w:p w14:paraId="0C37CBB0" w14:textId="77777777" w:rsidR="00B74995" w:rsidRPr="00D123D0" w:rsidRDefault="00B74995" w:rsidP="00B74995">
      <w:pPr>
        <w:rPr>
          <w:bCs/>
        </w:rPr>
      </w:pPr>
      <w:r w:rsidRPr="00D123D0">
        <w:rPr>
          <w:bCs/>
        </w:rPr>
        <w:t>5</w:t>
      </w:r>
      <w:r w:rsidRPr="00D123D0">
        <w:rPr>
          <w:bCs/>
        </w:rPr>
        <w:tab/>
        <w:t xml:space="preserve">Le thème du septième épisode sera le suivant: </w:t>
      </w:r>
      <w:r w:rsidRPr="00D123D0">
        <w:t>"</w:t>
      </w:r>
      <w:r w:rsidRPr="00D123D0">
        <w:rPr>
          <w:b/>
          <w:bCs/>
        </w:rPr>
        <w:t>Applications de la monnaie numérique et besoin de normes</w:t>
      </w:r>
      <w:r w:rsidRPr="00D123D0">
        <w:t>"</w:t>
      </w:r>
      <w:r w:rsidRPr="00D123D0">
        <w:rPr>
          <w:bCs/>
        </w:rPr>
        <w:t>. Cet épisode portera sur l'examen de différents cas d'utilisation et applications de la monnaie numérique, notamment de la monnaie numérique de banque centrale et des technologies qui la sous-tendent. Il sera notamment question d'examiner le besoin de normes relatives à l'interopérabilité, à la gouvernance et à la sécurité.</w:t>
      </w:r>
    </w:p>
    <w:p w14:paraId="538DCE5E" w14:textId="77777777" w:rsidR="00B74995" w:rsidRPr="00D123D0" w:rsidRDefault="00B74995" w:rsidP="00B74995">
      <w:pPr>
        <w:rPr>
          <w:bCs/>
        </w:rPr>
      </w:pPr>
      <w:r w:rsidRPr="00D123D0">
        <w:rPr>
          <w:bCs/>
        </w:rPr>
        <w:t>6</w:t>
      </w:r>
      <w:r w:rsidRPr="00D123D0">
        <w:rPr>
          <w:bCs/>
        </w:rPr>
        <w:tab/>
        <w:t xml:space="preserve">Dans le huitième épisode, les débats seront axés sur le thème </w:t>
      </w:r>
      <w:r w:rsidRPr="00D123D0">
        <w:t>"</w:t>
      </w:r>
      <w:r w:rsidRPr="00D123D0">
        <w:rPr>
          <w:b/>
          <w:bCs/>
        </w:rPr>
        <w:t>Traitement des délits et des arnaques dans le domaine des services financiers numériques</w:t>
      </w:r>
      <w:r w:rsidRPr="00D123D0">
        <w:t>"</w:t>
      </w:r>
      <w:r w:rsidRPr="00D123D0">
        <w:rPr>
          <w:bCs/>
        </w:rPr>
        <w:t xml:space="preserve">. Les arnaqueurs tirent profit de la pandémie de coronavirus (COVID-19) en commettant des actes frauduleux et de cybercriminalité. Les autorités chargées de l'application de la loi ont rapporté que le nombre d'arnaques liées au coronavirus avait augmenté. Un effort associant de multiples parties prenantes est donc nécessaire pour empêcher que davantage de personnes soient victimes de ces arnaques, alors que de nombreuses personnes font actuellement face à une perte de revenus en raison de l'obligation de rester chez soi pour lutter contre la maladie. Cette séance aura pour objet de mettre en valeur les mesures qui ont été prises aux niveaux national et international pour lutter contre les arnaques dans le domaine des services financiers numériques pendant la pandémie. </w:t>
      </w:r>
    </w:p>
    <w:p w14:paraId="0232C52B" w14:textId="77777777" w:rsidR="00B74995" w:rsidRPr="00D123D0" w:rsidRDefault="00B74995" w:rsidP="00B74995">
      <w:pPr>
        <w:rPr>
          <w:bCs/>
        </w:rPr>
      </w:pPr>
      <w:r w:rsidRPr="00D123D0">
        <w:rPr>
          <w:bCs/>
        </w:rPr>
        <w:t>7</w:t>
      </w:r>
      <w:r w:rsidRPr="00D123D0">
        <w:rPr>
          <w:bCs/>
        </w:rPr>
        <w:tab/>
        <w:t xml:space="preserve">La participation à ces webinaires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w:t>
      </w:r>
    </w:p>
    <w:p w14:paraId="70C2AE00" w14:textId="77777777" w:rsidR="00B74995" w:rsidRPr="00D123D0" w:rsidRDefault="00B74995" w:rsidP="00B74995">
      <w:pPr>
        <w:rPr>
          <w:bCs/>
        </w:rPr>
      </w:pPr>
      <w:r w:rsidRPr="00D123D0">
        <w:rPr>
          <w:bCs/>
        </w:rPr>
        <w:t>8</w:t>
      </w:r>
      <w:r w:rsidRPr="00D123D0">
        <w:rPr>
          <w:bCs/>
        </w:rPr>
        <w:tab/>
        <w:t xml:space="preserve">Toutes les informations utiles concernant les webinaires (intervenants, liens pour l'inscription, modalités de connexion à distance) seront disponibles sur la </w:t>
      </w:r>
      <w:hyperlink r:id="rId11" w:history="1">
        <w:r w:rsidRPr="00D123D0">
          <w:rPr>
            <w:rStyle w:val="Hyperlink"/>
            <w:bCs/>
          </w:rPr>
          <w:t>page d'accueil principale</w:t>
        </w:r>
      </w:hyperlink>
      <w:r w:rsidRPr="00D123D0">
        <w:rPr>
          <w:bCs/>
        </w:rPr>
        <w:t xml:space="preserve"> et sur les sites web des différentes manifestations aux adresses indiquées ci-après. Ces sites web seront régulièrement actualisés à mesure que parviendront des informations nouvelles ou modifiées. Les participants sont priés de consulter régulièrement les pages web des épisodes pour prendre connaissance des dernières informations.</w:t>
      </w:r>
    </w:p>
    <w:p w14:paraId="779A3CB8" w14:textId="6E6D289C" w:rsidR="00B74995" w:rsidRPr="00CF443C" w:rsidRDefault="00B74995" w:rsidP="00B74995">
      <w:pPr>
        <w:pStyle w:val="enumlev1"/>
        <w:rPr>
          <w:lang w:val="en-US"/>
        </w:rPr>
      </w:pPr>
      <w:r w:rsidRPr="00CF443C">
        <w:rPr>
          <w:rFonts w:ascii="Times New Roman" w:hAnsi="Times New Roman"/>
          <w:lang w:val="en-US"/>
        </w:rPr>
        <w:t>•</w:t>
      </w:r>
      <w:r w:rsidRPr="00CF443C">
        <w:rPr>
          <w:rFonts w:ascii="Segoe UI" w:hAnsi="Segoe UI" w:cs="Segoe UI"/>
          <w:color w:val="000000"/>
          <w:sz w:val="20"/>
          <w:lang w:val="en-US"/>
        </w:rPr>
        <w:tab/>
      </w:r>
      <w:proofErr w:type="spellStart"/>
      <w:r w:rsidRPr="00CF443C">
        <w:rPr>
          <w:lang w:val="en-US"/>
        </w:rPr>
        <w:t>Épisode</w:t>
      </w:r>
      <w:proofErr w:type="spellEnd"/>
      <w:r w:rsidRPr="00CF443C">
        <w:rPr>
          <w:lang w:val="en-US"/>
        </w:rPr>
        <w:t xml:space="preserve"> 4: </w:t>
      </w:r>
      <w:hyperlink r:id="rId12" w:history="1">
        <w:r w:rsidRPr="00CF443C">
          <w:rPr>
            <w:rStyle w:val="Hyperlink"/>
            <w:bCs/>
            <w:lang w:val="en-US"/>
          </w:rPr>
          <w:t>https://www.itu.int/en/ITU-T/webinars/20200611/Pages/default.aspx</w:t>
        </w:r>
      </w:hyperlink>
      <w:r w:rsidRPr="00CF443C">
        <w:rPr>
          <w:lang w:val="en-US"/>
        </w:rPr>
        <w:t>.</w:t>
      </w:r>
    </w:p>
    <w:p w14:paraId="73186663" w14:textId="49DA9810" w:rsidR="00B74995" w:rsidRPr="00CF443C" w:rsidRDefault="00B74995" w:rsidP="00B74995">
      <w:pPr>
        <w:pStyle w:val="enumlev1"/>
        <w:rPr>
          <w:lang w:val="en-US"/>
        </w:rPr>
      </w:pPr>
      <w:r w:rsidRPr="00CF443C">
        <w:rPr>
          <w:rFonts w:ascii="Times New Roman" w:hAnsi="Times New Roman"/>
          <w:lang w:val="en-US"/>
        </w:rPr>
        <w:lastRenderedPageBreak/>
        <w:t>•</w:t>
      </w:r>
      <w:r w:rsidRPr="00CF443C">
        <w:rPr>
          <w:rFonts w:ascii="Segoe UI" w:hAnsi="Segoe UI" w:cs="Segoe UI"/>
          <w:color w:val="000000"/>
          <w:sz w:val="20"/>
          <w:lang w:val="en-US"/>
        </w:rPr>
        <w:tab/>
      </w:r>
      <w:proofErr w:type="spellStart"/>
      <w:r w:rsidRPr="00CF443C">
        <w:rPr>
          <w:lang w:val="en-US"/>
        </w:rPr>
        <w:t>Épisode</w:t>
      </w:r>
      <w:proofErr w:type="spellEnd"/>
      <w:r w:rsidRPr="00CF443C">
        <w:rPr>
          <w:lang w:val="en-US"/>
        </w:rPr>
        <w:t xml:space="preserve"> 5</w:t>
      </w:r>
      <w:r w:rsidR="0018210B" w:rsidRPr="00CF443C">
        <w:rPr>
          <w:lang w:val="en-US"/>
        </w:rPr>
        <w:t>:</w:t>
      </w:r>
      <w:r w:rsidRPr="00CF443C">
        <w:rPr>
          <w:lang w:val="en-US"/>
        </w:rPr>
        <w:t xml:space="preserve"> </w:t>
      </w:r>
      <w:hyperlink r:id="rId13" w:history="1">
        <w:r w:rsidRPr="00CF443C">
          <w:rPr>
            <w:rStyle w:val="Hyperlink"/>
            <w:bCs/>
            <w:lang w:val="en-US"/>
          </w:rPr>
          <w:t>https://www.itu.int/en/ITU-T/webinars/20200623/Pages/default.aspx</w:t>
        </w:r>
      </w:hyperlink>
      <w:r w:rsidRPr="00CF443C">
        <w:rPr>
          <w:lang w:val="en-US"/>
        </w:rPr>
        <w:t>.</w:t>
      </w:r>
    </w:p>
    <w:p w14:paraId="0A1CD470" w14:textId="7C389547" w:rsidR="00B74995" w:rsidRPr="00CF443C" w:rsidRDefault="00B74995" w:rsidP="00B74995">
      <w:pPr>
        <w:pStyle w:val="enumlev1"/>
        <w:rPr>
          <w:lang w:val="en-US"/>
        </w:rPr>
      </w:pPr>
      <w:r w:rsidRPr="00CF443C">
        <w:rPr>
          <w:rFonts w:ascii="Times New Roman" w:hAnsi="Times New Roman"/>
          <w:lang w:val="en-US"/>
        </w:rPr>
        <w:t>•</w:t>
      </w:r>
      <w:r w:rsidRPr="00CF443C">
        <w:rPr>
          <w:rFonts w:ascii="Segoe UI" w:hAnsi="Segoe UI" w:cs="Segoe UI"/>
          <w:color w:val="000000"/>
          <w:sz w:val="20"/>
          <w:lang w:val="en-US"/>
        </w:rPr>
        <w:tab/>
      </w:r>
      <w:proofErr w:type="spellStart"/>
      <w:r w:rsidRPr="00CF443C">
        <w:rPr>
          <w:lang w:val="en-US"/>
        </w:rPr>
        <w:t>Épisode</w:t>
      </w:r>
      <w:proofErr w:type="spellEnd"/>
      <w:r w:rsidRPr="00CF443C">
        <w:rPr>
          <w:lang w:val="en-US"/>
        </w:rPr>
        <w:t xml:space="preserve"> 6: </w:t>
      </w:r>
      <w:hyperlink r:id="rId14" w:history="1">
        <w:r w:rsidRPr="00CF443C">
          <w:rPr>
            <w:rStyle w:val="Hyperlink"/>
            <w:bCs/>
            <w:lang w:val="en-US"/>
          </w:rPr>
          <w:t>https://www.itu.int/en/ITU-T/webinars/20200626/Pages/default.aspx</w:t>
        </w:r>
      </w:hyperlink>
      <w:r w:rsidRPr="00CF443C">
        <w:rPr>
          <w:lang w:val="en-US"/>
        </w:rPr>
        <w:t>.</w:t>
      </w:r>
    </w:p>
    <w:p w14:paraId="0F0E7288" w14:textId="1490A5FB" w:rsidR="00B74995" w:rsidRPr="00CF443C" w:rsidRDefault="00B74995" w:rsidP="00B74995">
      <w:pPr>
        <w:pStyle w:val="enumlev1"/>
        <w:rPr>
          <w:lang w:val="en-US"/>
        </w:rPr>
      </w:pPr>
      <w:r w:rsidRPr="00CF443C">
        <w:rPr>
          <w:rFonts w:ascii="Times New Roman" w:hAnsi="Times New Roman"/>
          <w:lang w:val="en-US"/>
        </w:rPr>
        <w:t>•</w:t>
      </w:r>
      <w:r w:rsidRPr="00CF443C">
        <w:rPr>
          <w:rFonts w:ascii="Segoe UI" w:hAnsi="Segoe UI" w:cs="Segoe UI"/>
          <w:color w:val="000000"/>
          <w:sz w:val="20"/>
          <w:lang w:val="en-US"/>
        </w:rPr>
        <w:tab/>
      </w:r>
      <w:proofErr w:type="spellStart"/>
      <w:r w:rsidRPr="00CF443C">
        <w:rPr>
          <w:lang w:val="en-US"/>
        </w:rPr>
        <w:t>Épisode</w:t>
      </w:r>
      <w:proofErr w:type="spellEnd"/>
      <w:r w:rsidRPr="00CF443C">
        <w:rPr>
          <w:lang w:val="en-US"/>
        </w:rPr>
        <w:t xml:space="preserve"> 7:</w:t>
      </w:r>
      <w:hyperlink r:id="rId15" w:history="1">
        <w:r w:rsidRPr="00CF443C">
          <w:rPr>
            <w:rStyle w:val="Hyperlink"/>
            <w:bCs/>
            <w:lang w:val="en-US"/>
          </w:rPr>
          <w:t>https://www.itu.int/en/ITU-T/webinars/20200629/Pages/default.aspx</w:t>
        </w:r>
      </w:hyperlink>
      <w:r w:rsidRPr="00CF443C">
        <w:rPr>
          <w:lang w:val="en-US"/>
        </w:rPr>
        <w:t>.</w:t>
      </w:r>
    </w:p>
    <w:p w14:paraId="384C7478" w14:textId="6F82EFB5" w:rsidR="00B74995" w:rsidRPr="00CF443C" w:rsidRDefault="00B74995" w:rsidP="00B74995">
      <w:pPr>
        <w:pStyle w:val="enumlev1"/>
        <w:rPr>
          <w:lang w:val="en-US"/>
        </w:rPr>
      </w:pPr>
      <w:r w:rsidRPr="00CF443C">
        <w:rPr>
          <w:rFonts w:ascii="Times New Roman" w:hAnsi="Times New Roman"/>
          <w:lang w:val="en-US"/>
        </w:rPr>
        <w:t>•</w:t>
      </w:r>
      <w:r w:rsidRPr="00CF443C">
        <w:rPr>
          <w:rFonts w:ascii="Segoe UI" w:hAnsi="Segoe UI" w:cs="Segoe UI"/>
          <w:color w:val="000000"/>
          <w:sz w:val="20"/>
          <w:lang w:val="en-US"/>
        </w:rPr>
        <w:tab/>
      </w:r>
      <w:proofErr w:type="spellStart"/>
      <w:r w:rsidRPr="00CF443C">
        <w:rPr>
          <w:lang w:val="en-US"/>
        </w:rPr>
        <w:t>Épisode</w:t>
      </w:r>
      <w:proofErr w:type="spellEnd"/>
      <w:r w:rsidRPr="00CF443C">
        <w:rPr>
          <w:lang w:val="en-US"/>
        </w:rPr>
        <w:t xml:space="preserve"> 8: </w:t>
      </w:r>
      <w:hyperlink r:id="rId16" w:history="1">
        <w:r w:rsidRPr="00CF443C">
          <w:rPr>
            <w:rStyle w:val="Hyperlink"/>
            <w:bCs/>
            <w:lang w:val="en-US"/>
          </w:rPr>
          <w:t>https://www.itu.int/en/ITU-T/webinars/20200630/Pages/default.aspx</w:t>
        </w:r>
      </w:hyperlink>
      <w:r w:rsidRPr="00CF443C">
        <w:rPr>
          <w:lang w:val="en-US"/>
        </w:rPr>
        <w:t>.</w:t>
      </w:r>
    </w:p>
    <w:p w14:paraId="20C6508F" w14:textId="6FC143E5" w:rsidR="00BD6ECF" w:rsidRPr="00D123D0" w:rsidRDefault="00517A03" w:rsidP="00051446">
      <w:pPr>
        <w:spacing w:before="240"/>
      </w:pPr>
      <w:r w:rsidRPr="00D123D0">
        <w:t>Veuillez agréer, Madame, Monsieur, l</w:t>
      </w:r>
      <w:r w:rsidR="00167472" w:rsidRPr="00D123D0">
        <w:t>'</w:t>
      </w:r>
      <w:r w:rsidRPr="00D123D0">
        <w:t>assurance de ma haute considération.</w:t>
      </w:r>
    </w:p>
    <w:p w14:paraId="5FD9E9FA" w14:textId="64569429" w:rsidR="00517A03" w:rsidRPr="00D123D0" w:rsidRDefault="0042426D" w:rsidP="00CF443C">
      <w:pPr>
        <w:keepNext/>
        <w:keepLines/>
        <w:spacing w:before="960"/>
        <w:ind w:right="-288"/>
      </w:pPr>
      <w:r>
        <w:rPr>
          <w:noProof/>
        </w:rPr>
        <w:drawing>
          <wp:anchor distT="0" distB="0" distL="114300" distR="114300" simplePos="0" relativeHeight="251658240" behindDoc="1" locked="0" layoutInCell="1" allowOverlap="1" wp14:anchorId="31B29C17" wp14:editId="1B3AB472">
            <wp:simplePos x="0" y="0"/>
            <wp:positionH relativeFrom="column">
              <wp:posOffset>3810</wp:posOffset>
            </wp:positionH>
            <wp:positionV relativeFrom="paragraph">
              <wp:posOffset>156210</wp:posOffset>
            </wp:positionV>
            <wp:extent cx="581025" cy="435768"/>
            <wp:effectExtent l="0" t="0" r="0" b="254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7">
                      <a:extLst>
                        <a:ext uri="{28A0092B-C50C-407E-A947-70E740481C1C}">
                          <a14:useLocalDpi xmlns:a14="http://schemas.microsoft.com/office/drawing/2010/main" val="0"/>
                        </a:ext>
                      </a:extLst>
                    </a:blip>
                    <a:stretch>
                      <a:fillRect/>
                    </a:stretch>
                  </pic:blipFill>
                  <pic:spPr>
                    <a:xfrm>
                      <a:off x="0" y="0"/>
                      <a:ext cx="581025" cy="435768"/>
                    </a:xfrm>
                    <a:prstGeom prst="rect">
                      <a:avLst/>
                    </a:prstGeom>
                  </pic:spPr>
                </pic:pic>
              </a:graphicData>
            </a:graphic>
            <wp14:sizeRelH relativeFrom="margin">
              <wp14:pctWidth>0</wp14:pctWidth>
            </wp14:sizeRelH>
            <wp14:sizeRelV relativeFrom="margin">
              <wp14:pctHeight>0</wp14:pctHeight>
            </wp14:sizeRelV>
          </wp:anchor>
        </w:drawing>
      </w:r>
      <w:r w:rsidR="00036F4F" w:rsidRPr="00D123D0">
        <w:t>Chaesub Lee</w:t>
      </w:r>
      <w:r w:rsidR="00036F4F" w:rsidRPr="00D123D0">
        <w:br/>
        <w:t xml:space="preserve">Directeur du Bureau de la normalisation </w:t>
      </w:r>
      <w:r w:rsidR="00036F4F" w:rsidRPr="00D123D0">
        <w:br/>
        <w:t>des télécommunications</w:t>
      </w:r>
      <w:r w:rsidR="00036F4F" w:rsidRPr="00D123D0">
        <w:rPr>
          <w:b/>
        </w:rPr>
        <w:t xml:space="preserve"> </w:t>
      </w:r>
    </w:p>
    <w:sectPr w:rsidR="00517A03" w:rsidRPr="00D123D0" w:rsidSect="00A15179">
      <w:headerReference w:type="default" r:id="rId18"/>
      <w:footerReference w:type="default" r:id="rId19"/>
      <w:footerReference w:type="first" r:id="rId20"/>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1BFC9" w14:textId="77777777" w:rsidR="000B4245" w:rsidRDefault="000B4245">
      <w:r>
        <w:separator/>
      </w:r>
    </w:p>
  </w:endnote>
  <w:endnote w:type="continuationSeparator" w:id="0">
    <w:p w14:paraId="47BFB5A0" w14:textId="77777777" w:rsidR="000B4245" w:rsidRDefault="000B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57E50" w14:textId="13FCE91D" w:rsidR="00697BC1" w:rsidRPr="00795679" w:rsidRDefault="00697BC1" w:rsidP="00970744">
    <w:pPr>
      <w:pStyle w:val="Footer"/>
      <w:tabs>
        <w:tab w:val="clear" w:pos="5954"/>
        <w:tab w:val="clear" w:pos="9639"/>
        <w:tab w:val="center" w:pos="4864"/>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7E7CD"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4E915" w14:textId="77777777" w:rsidR="000B4245" w:rsidRDefault="000B4245">
      <w:r>
        <w:t>____________________</w:t>
      </w:r>
    </w:p>
  </w:footnote>
  <w:footnote w:type="continuationSeparator" w:id="0">
    <w:p w14:paraId="6CAC6B8E" w14:textId="77777777" w:rsidR="000B4245" w:rsidRDefault="000B4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79D7B" w14:textId="04A95C0C" w:rsidR="00697BC1" w:rsidRPr="00697BC1" w:rsidRDefault="0042426D"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ED5B23">
      <w:rPr>
        <w:noProof/>
        <w:sz w:val="18"/>
        <w:szCs w:val="16"/>
      </w:rPr>
      <w:br/>
      <w:t>Circulaire TSB 252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A1"/>
    <w:rsid w:val="000039EE"/>
    <w:rsid w:val="00005622"/>
    <w:rsid w:val="0002519E"/>
    <w:rsid w:val="00035B43"/>
    <w:rsid w:val="00036F4F"/>
    <w:rsid w:val="00051446"/>
    <w:rsid w:val="000758B3"/>
    <w:rsid w:val="00085F5A"/>
    <w:rsid w:val="000B0D96"/>
    <w:rsid w:val="000B4245"/>
    <w:rsid w:val="000B59D8"/>
    <w:rsid w:val="000C1F6B"/>
    <w:rsid w:val="000C25CC"/>
    <w:rsid w:val="000C56BE"/>
    <w:rsid w:val="001026FD"/>
    <w:rsid w:val="001077FD"/>
    <w:rsid w:val="00115DD7"/>
    <w:rsid w:val="00167472"/>
    <w:rsid w:val="00167F92"/>
    <w:rsid w:val="00173738"/>
    <w:rsid w:val="0018210B"/>
    <w:rsid w:val="001B79A3"/>
    <w:rsid w:val="002152A3"/>
    <w:rsid w:val="002E395D"/>
    <w:rsid w:val="003131F0"/>
    <w:rsid w:val="00333A80"/>
    <w:rsid w:val="00341117"/>
    <w:rsid w:val="00364E95"/>
    <w:rsid w:val="00372875"/>
    <w:rsid w:val="003B1E80"/>
    <w:rsid w:val="003B66E8"/>
    <w:rsid w:val="004033F1"/>
    <w:rsid w:val="00414B0C"/>
    <w:rsid w:val="00423C21"/>
    <w:rsid w:val="0042426D"/>
    <w:rsid w:val="004257AC"/>
    <w:rsid w:val="0043711B"/>
    <w:rsid w:val="004435A1"/>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0744"/>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74995"/>
    <w:rsid w:val="00B8573E"/>
    <w:rsid w:val="00BB24C0"/>
    <w:rsid w:val="00BD6ECF"/>
    <w:rsid w:val="00C26F2E"/>
    <w:rsid w:val="00C302E3"/>
    <w:rsid w:val="00C45376"/>
    <w:rsid w:val="00C9028F"/>
    <w:rsid w:val="00CA0416"/>
    <w:rsid w:val="00CB1125"/>
    <w:rsid w:val="00CD042E"/>
    <w:rsid w:val="00CF2560"/>
    <w:rsid w:val="00CF443C"/>
    <w:rsid w:val="00CF5B46"/>
    <w:rsid w:val="00D123D0"/>
    <w:rsid w:val="00D46B68"/>
    <w:rsid w:val="00D542A5"/>
    <w:rsid w:val="00DC3D47"/>
    <w:rsid w:val="00DD77DA"/>
    <w:rsid w:val="00E06C61"/>
    <w:rsid w:val="00E13DB3"/>
    <w:rsid w:val="00E2408B"/>
    <w:rsid w:val="00E62CEA"/>
    <w:rsid w:val="00E72AE1"/>
    <w:rsid w:val="00ED5B23"/>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4BF791"/>
  <w15:docId w15:val="{5211F8D6-C369-4D9F-8F81-5B49EC8D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B74995"/>
    <w:rPr>
      <w:color w:val="605E5C"/>
      <w:shd w:val="clear" w:color="auto" w:fill="E1DFDD"/>
    </w:rPr>
  </w:style>
  <w:style w:type="character" w:styleId="FollowedHyperlink">
    <w:name w:val="FollowedHyperlink"/>
    <w:basedOn w:val="DefaultParagraphFont"/>
    <w:semiHidden/>
    <w:unhideWhenUsed/>
    <w:rsid w:val="00ED5B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20200623/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webinars/20200611/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en/ITU-T/webinars/20200630/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Pages/dfs.aspx" TargetMode="External"/><Relationship Id="rId5" Type="http://schemas.openxmlformats.org/officeDocument/2006/relationships/webSettings" Target="webSettings.xml"/><Relationship Id="rId15" Type="http://schemas.openxmlformats.org/officeDocument/2006/relationships/hyperlink" Target="https://www.itu.int/en/ITU-T/webinars/20200629/Pages/default.aspx" TargetMode="External"/><Relationship Id="rId10" Type="http://schemas.openxmlformats.org/officeDocument/2006/relationships/hyperlink" Target="https://www.itu.int/en/ITU-T/webinars/Pages/dfs.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ebinars/20200626/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718CC-DE2E-4AF7-8FD4-9EBDB966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36</TotalTime>
  <Pages>3</Pages>
  <Words>977</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7354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9</cp:revision>
  <cp:lastPrinted>2020-06-10T15:38:00Z</cp:lastPrinted>
  <dcterms:created xsi:type="dcterms:W3CDTF">2020-06-02T06:09:00Z</dcterms:created>
  <dcterms:modified xsi:type="dcterms:W3CDTF">2020-06-10T15:39:00Z</dcterms:modified>
</cp:coreProperties>
</file>