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14:paraId="24D40E01" w14:textId="77777777" w:rsidTr="00594CFE">
        <w:trPr>
          <w:cantSplit/>
        </w:trPr>
        <w:tc>
          <w:tcPr>
            <w:tcW w:w="1418" w:type="dxa"/>
            <w:gridSpan w:val="2"/>
            <w:vAlign w:val="center"/>
          </w:tcPr>
          <w:p w14:paraId="60ED42D8" w14:textId="77777777" w:rsidR="00590119" w:rsidRPr="0055099D" w:rsidRDefault="00826B5B" w:rsidP="00D31AE5">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14:anchorId="1D314640" wp14:editId="0660B8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092A498A" w14:textId="77777777"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3653EA48" w14:textId="77777777"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4C4F9A02" w14:textId="77777777"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D85E74" w14:paraId="7BFDD1D7" w14:textId="77777777" w:rsidTr="007A1E12">
        <w:trPr>
          <w:cantSplit/>
          <w:trHeight w:val="940"/>
        </w:trPr>
        <w:tc>
          <w:tcPr>
            <w:tcW w:w="5670" w:type="dxa"/>
            <w:gridSpan w:val="3"/>
            <w:vAlign w:val="center"/>
          </w:tcPr>
          <w:p w14:paraId="7629F694" w14:textId="77777777" w:rsidR="00F346AB" w:rsidRPr="00D85E74" w:rsidRDefault="00F346AB" w:rsidP="00865B8E">
            <w:pPr>
              <w:tabs>
                <w:tab w:val="right" w:pos="8732"/>
              </w:tabs>
              <w:spacing w:before="0"/>
              <w:rPr>
                <w:rFonts w:ascii="Verdana" w:hAnsi="Verdana"/>
                <w:b/>
                <w:bCs/>
                <w:iCs/>
                <w:szCs w:val="24"/>
                <w:lang w:eastAsia="zh-CN"/>
              </w:rPr>
            </w:pPr>
          </w:p>
        </w:tc>
        <w:tc>
          <w:tcPr>
            <w:tcW w:w="3969" w:type="dxa"/>
            <w:gridSpan w:val="2"/>
            <w:vAlign w:val="center"/>
          </w:tcPr>
          <w:p w14:paraId="42E59123" w14:textId="08FBBEBF" w:rsidR="00F346AB" w:rsidRPr="00D85E74" w:rsidRDefault="00CE13B6" w:rsidP="008F066A">
            <w:pPr>
              <w:spacing w:before="0"/>
              <w:ind w:left="993" w:hanging="993"/>
              <w:rPr>
                <w:rFonts w:ascii="Verdana" w:hAnsi="Verdana"/>
                <w:szCs w:val="24"/>
                <w:lang w:val="en-US" w:eastAsia="zh-CN"/>
              </w:rPr>
            </w:pPr>
            <w:r w:rsidRPr="00D85E74">
              <w:rPr>
                <w:szCs w:val="24"/>
              </w:rPr>
              <w:t>20</w:t>
            </w:r>
            <w:r w:rsidR="004E6707" w:rsidRPr="00D85E74">
              <w:rPr>
                <w:szCs w:val="24"/>
              </w:rPr>
              <w:t>20</w:t>
            </w:r>
            <w:r w:rsidR="00113BC0" w:rsidRPr="00D85E74">
              <w:rPr>
                <w:rFonts w:hint="eastAsia"/>
                <w:szCs w:val="24"/>
                <w:lang w:eastAsia="zh-CN"/>
              </w:rPr>
              <w:t>年</w:t>
            </w:r>
            <w:r w:rsidR="004E6707" w:rsidRPr="00D85E74">
              <w:rPr>
                <w:szCs w:val="24"/>
                <w:lang w:eastAsia="zh-CN"/>
              </w:rPr>
              <w:t>5</w:t>
            </w:r>
            <w:r w:rsidR="00113BC0" w:rsidRPr="00D85E74">
              <w:rPr>
                <w:rFonts w:hint="eastAsia"/>
                <w:szCs w:val="24"/>
                <w:lang w:eastAsia="zh-CN"/>
              </w:rPr>
              <w:t>月</w:t>
            </w:r>
            <w:r w:rsidR="00DE3212">
              <w:rPr>
                <w:szCs w:val="24"/>
                <w:lang w:eastAsia="zh-CN"/>
              </w:rPr>
              <w:t>29</w:t>
            </w:r>
            <w:r w:rsidR="00113BC0" w:rsidRPr="00D85E74">
              <w:rPr>
                <w:rFonts w:hint="eastAsia"/>
                <w:szCs w:val="24"/>
                <w:lang w:eastAsia="zh-CN"/>
              </w:rPr>
              <w:t>日，日内瓦</w:t>
            </w:r>
          </w:p>
        </w:tc>
      </w:tr>
      <w:tr w:rsidR="00113BC0" w:rsidRPr="00D85E74" w14:paraId="3ADC72D4" w14:textId="77777777" w:rsidTr="006D6DBA">
        <w:trPr>
          <w:cantSplit/>
          <w:trHeight w:val="715"/>
        </w:trPr>
        <w:tc>
          <w:tcPr>
            <w:tcW w:w="1276" w:type="dxa"/>
          </w:tcPr>
          <w:p w14:paraId="5368150C" w14:textId="77777777" w:rsidR="00113BC0" w:rsidRPr="00D85E74" w:rsidRDefault="00113BC0" w:rsidP="00D31AE5">
            <w:pPr>
              <w:tabs>
                <w:tab w:val="right" w:pos="8732"/>
              </w:tabs>
              <w:spacing w:before="40" w:after="40"/>
              <w:rPr>
                <w:rFonts w:ascii="Verdana" w:hAnsi="Verdana"/>
                <w:b/>
                <w:bCs/>
                <w:iCs/>
                <w:szCs w:val="24"/>
              </w:rPr>
            </w:pPr>
            <w:r w:rsidRPr="00D85E74">
              <w:rPr>
                <w:rFonts w:hint="eastAsia"/>
                <w:b/>
                <w:szCs w:val="24"/>
                <w:lang w:eastAsia="zh-CN"/>
              </w:rPr>
              <w:t>文号：</w:t>
            </w:r>
          </w:p>
        </w:tc>
        <w:tc>
          <w:tcPr>
            <w:tcW w:w="4394" w:type="dxa"/>
            <w:gridSpan w:val="2"/>
          </w:tcPr>
          <w:p w14:paraId="5AFC5595" w14:textId="4BEE0AAE" w:rsidR="00CB091E" w:rsidRPr="00D85E74" w:rsidRDefault="00017004" w:rsidP="007A7AF9">
            <w:pPr>
              <w:tabs>
                <w:tab w:val="right" w:pos="8732"/>
              </w:tabs>
              <w:spacing w:before="40" w:after="40"/>
              <w:ind w:left="142"/>
              <w:rPr>
                <w:szCs w:val="24"/>
                <w:lang w:eastAsia="zh-CN"/>
              </w:rPr>
            </w:pPr>
            <w:r w:rsidRPr="00D85E74">
              <w:rPr>
                <w:rFonts w:hint="eastAsia"/>
                <w:b/>
                <w:bCs/>
                <w:szCs w:val="24"/>
                <w:lang w:eastAsia="zh-CN"/>
              </w:rPr>
              <w:t>电信</w:t>
            </w:r>
            <w:r w:rsidRPr="00D85E74">
              <w:rPr>
                <w:b/>
                <w:bCs/>
                <w:szCs w:val="24"/>
                <w:lang w:eastAsia="zh-CN"/>
              </w:rPr>
              <w:t>标准化局第</w:t>
            </w:r>
            <w:r w:rsidR="004E6707" w:rsidRPr="00D85E74">
              <w:rPr>
                <w:b/>
                <w:bCs/>
                <w:szCs w:val="24"/>
                <w:lang w:eastAsia="zh-CN"/>
              </w:rPr>
              <w:t>2</w:t>
            </w:r>
            <w:r w:rsidR="00DE3212">
              <w:rPr>
                <w:b/>
                <w:bCs/>
                <w:szCs w:val="24"/>
                <w:lang w:eastAsia="zh-CN"/>
              </w:rPr>
              <w:t>52</w:t>
            </w:r>
            <w:r w:rsidRPr="00D85E74">
              <w:rPr>
                <w:rFonts w:hint="eastAsia"/>
                <w:b/>
                <w:bCs/>
                <w:szCs w:val="24"/>
                <w:lang w:eastAsia="zh-CN"/>
              </w:rPr>
              <w:t>号</w:t>
            </w:r>
            <w:r w:rsidRPr="00D85E74">
              <w:rPr>
                <w:b/>
                <w:bCs/>
                <w:szCs w:val="24"/>
                <w:lang w:eastAsia="zh-CN"/>
              </w:rPr>
              <w:t>通函</w:t>
            </w:r>
          </w:p>
        </w:tc>
        <w:tc>
          <w:tcPr>
            <w:tcW w:w="3969" w:type="dxa"/>
            <w:gridSpan w:val="2"/>
            <w:vMerge w:val="restart"/>
          </w:tcPr>
          <w:p w14:paraId="1D6C285F" w14:textId="77777777" w:rsidR="00113BC0" w:rsidRPr="00D85E74" w:rsidRDefault="00113BC0" w:rsidP="00997B88">
            <w:pPr>
              <w:tabs>
                <w:tab w:val="clear" w:pos="794"/>
                <w:tab w:val="left" w:pos="559"/>
                <w:tab w:val="left" w:pos="4111"/>
              </w:tabs>
              <w:ind w:left="559" w:hanging="559"/>
              <w:rPr>
                <w:b/>
                <w:bCs/>
                <w:szCs w:val="24"/>
                <w:lang w:eastAsia="zh-CN"/>
              </w:rPr>
            </w:pPr>
            <w:r w:rsidRPr="00D85E74">
              <w:rPr>
                <w:rFonts w:hint="eastAsia"/>
                <w:b/>
                <w:bCs/>
                <w:szCs w:val="24"/>
                <w:lang w:eastAsia="zh-CN"/>
              </w:rPr>
              <w:t>致：</w:t>
            </w:r>
          </w:p>
          <w:p w14:paraId="595585EC" w14:textId="77777777" w:rsidR="007A7AF9" w:rsidRPr="00D85E74" w:rsidRDefault="007A7AF9" w:rsidP="007A7AF9">
            <w:pPr>
              <w:tabs>
                <w:tab w:val="clear" w:pos="794"/>
                <w:tab w:val="clear" w:pos="1191"/>
                <w:tab w:val="clear" w:pos="1588"/>
                <w:tab w:val="clear" w:pos="1985"/>
                <w:tab w:val="left" w:pos="375"/>
              </w:tabs>
              <w:spacing w:before="40" w:after="40"/>
              <w:ind w:left="284" w:hanging="284"/>
              <w:rPr>
                <w:rFonts w:ascii="Calibri" w:hAnsi="Calibri"/>
                <w:szCs w:val="24"/>
                <w:lang w:eastAsia="zh-CN"/>
              </w:rPr>
            </w:pPr>
            <w:r w:rsidRPr="00D85E74">
              <w:rPr>
                <w:rFonts w:ascii="Calibri" w:hAnsi="Calibri"/>
                <w:szCs w:val="24"/>
                <w:lang w:eastAsia="zh-CN"/>
              </w:rPr>
              <w:t>-</w:t>
            </w:r>
            <w:r w:rsidRPr="00D85E74">
              <w:rPr>
                <w:rFonts w:ascii="Calibri" w:hAnsi="Calibri"/>
                <w:szCs w:val="24"/>
                <w:lang w:eastAsia="zh-CN"/>
              </w:rPr>
              <w:tab/>
            </w:r>
            <w:r w:rsidRPr="00D85E74">
              <w:rPr>
                <w:rFonts w:ascii="Calibri" w:hAnsi="Calibri" w:hint="eastAsia"/>
                <w:szCs w:val="24"/>
                <w:lang w:eastAsia="zh-CN"/>
              </w:rPr>
              <w:t>国际电联各成员国主管部门；</w:t>
            </w:r>
          </w:p>
          <w:p w14:paraId="40FF9E87" w14:textId="77777777" w:rsidR="007A7AF9" w:rsidRPr="00D85E74" w:rsidRDefault="007A7AF9" w:rsidP="007A7AF9">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szCs w:val="24"/>
                <w:lang w:eastAsia="zh-CN"/>
              </w:rPr>
              <w:t>ITU-T</w:t>
            </w:r>
            <w:r w:rsidRPr="00D85E74">
              <w:rPr>
                <w:rFonts w:ascii="Calibri" w:hAnsi="Calibri" w:hint="eastAsia"/>
                <w:szCs w:val="24"/>
                <w:lang w:eastAsia="zh-CN"/>
              </w:rPr>
              <w:t>部门成员；</w:t>
            </w:r>
          </w:p>
          <w:p w14:paraId="29717B2F" w14:textId="77777777" w:rsidR="007A7AF9" w:rsidRPr="00D85E74" w:rsidRDefault="007A7AF9" w:rsidP="007A7AF9">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szCs w:val="24"/>
                <w:lang w:eastAsia="zh-CN"/>
              </w:rPr>
              <w:tab/>
              <w:t>ITU-T</w:t>
            </w:r>
            <w:r w:rsidRPr="00D85E74">
              <w:rPr>
                <w:rFonts w:ascii="Calibri" w:hAnsi="Calibri" w:hint="eastAsia"/>
                <w:szCs w:val="24"/>
                <w:lang w:eastAsia="zh-CN"/>
              </w:rPr>
              <w:t>部门准成员；</w:t>
            </w:r>
          </w:p>
          <w:p w14:paraId="795E89E1" w14:textId="7FCCB98A" w:rsidR="008F066A" w:rsidRPr="00D85E74" w:rsidRDefault="007A7AF9" w:rsidP="00B7296B">
            <w:pPr>
              <w:pStyle w:val="Tabletext"/>
              <w:spacing w:before="0" w:after="0"/>
              <w:ind w:left="283" w:hanging="283"/>
              <w:rPr>
                <w:rFonts w:ascii="Verdana" w:hAnsi="Verdana"/>
                <w:szCs w:val="24"/>
                <w:lang w:val="en-US"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Times New Roman" w:eastAsia="SimSun" w:hAnsi="Times New Roman" w:hint="eastAsia"/>
                <w:szCs w:val="24"/>
                <w:lang w:eastAsia="zh-CN"/>
              </w:rPr>
              <w:t>国际电联学术成员</w:t>
            </w:r>
          </w:p>
        </w:tc>
      </w:tr>
      <w:tr w:rsidR="004E6707" w:rsidRPr="00D85E74" w14:paraId="1051F2DE" w14:textId="77777777" w:rsidTr="0057420A">
        <w:trPr>
          <w:cantSplit/>
          <w:trHeight w:val="416"/>
        </w:trPr>
        <w:tc>
          <w:tcPr>
            <w:tcW w:w="1276" w:type="dxa"/>
          </w:tcPr>
          <w:p w14:paraId="362DF839" w14:textId="7D084F34" w:rsidR="004E6707" w:rsidRPr="00D85E74" w:rsidRDefault="004E6707" w:rsidP="004E6707">
            <w:pPr>
              <w:pStyle w:val="Tabletext"/>
              <w:rPr>
                <w:rFonts w:ascii="Calibri" w:eastAsia="SimSun" w:hAnsi="Calibri"/>
                <w:szCs w:val="24"/>
                <w:lang w:eastAsia="zh-CN"/>
              </w:rPr>
            </w:pPr>
            <w:r w:rsidRPr="00B3541A">
              <w:rPr>
                <w:rFonts w:ascii="Calibri" w:eastAsia="SimSun" w:hAnsi="Calibri" w:hint="eastAsia"/>
                <w:b/>
                <w:bCs/>
                <w:szCs w:val="24"/>
                <w:lang w:eastAsia="zh-CN"/>
              </w:rPr>
              <w:t>联系人</w:t>
            </w:r>
            <w:r w:rsidRPr="00D85E74">
              <w:rPr>
                <w:rFonts w:ascii="Calibri" w:eastAsia="SimSun" w:hAnsi="Calibri" w:hint="eastAsia"/>
                <w:szCs w:val="24"/>
                <w:lang w:eastAsia="zh-CN"/>
              </w:rPr>
              <w:t>：</w:t>
            </w:r>
          </w:p>
        </w:tc>
        <w:tc>
          <w:tcPr>
            <w:tcW w:w="4394" w:type="dxa"/>
            <w:gridSpan w:val="2"/>
          </w:tcPr>
          <w:p w14:paraId="1C9867F1" w14:textId="00228A22" w:rsidR="004E6707" w:rsidRPr="00D85E74" w:rsidRDefault="004E6707" w:rsidP="004E6707">
            <w:pPr>
              <w:pStyle w:val="Tabletext"/>
              <w:ind w:left="142"/>
              <w:rPr>
                <w:rFonts w:ascii="Calibri" w:eastAsia="SimSun" w:hAnsi="Calibri"/>
                <w:b/>
                <w:szCs w:val="24"/>
              </w:rPr>
            </w:pPr>
            <w:bookmarkStart w:id="1" w:name="lt_pId042"/>
            <w:r w:rsidRPr="00D85E74">
              <w:rPr>
                <w:szCs w:val="24"/>
              </w:rPr>
              <w:t>Vijay Mauree</w:t>
            </w:r>
            <w:bookmarkEnd w:id="1"/>
          </w:p>
        </w:tc>
        <w:tc>
          <w:tcPr>
            <w:tcW w:w="3969" w:type="dxa"/>
            <w:gridSpan w:val="2"/>
            <w:vMerge/>
            <w:vAlign w:val="center"/>
          </w:tcPr>
          <w:p w14:paraId="1DD85C19" w14:textId="77777777" w:rsidR="004E6707" w:rsidRPr="00D85E74" w:rsidRDefault="004E6707" w:rsidP="004E6707">
            <w:pPr>
              <w:ind w:left="993" w:hanging="993"/>
              <w:jc w:val="right"/>
              <w:rPr>
                <w:rFonts w:ascii="Verdana" w:hAnsi="Verdana"/>
                <w:szCs w:val="24"/>
                <w:lang w:val="en-US" w:eastAsia="zh-CN"/>
              </w:rPr>
            </w:pPr>
          </w:p>
        </w:tc>
      </w:tr>
      <w:tr w:rsidR="004E6707" w:rsidRPr="00D85E74" w14:paraId="695A8771" w14:textId="77777777" w:rsidTr="00875426">
        <w:trPr>
          <w:cantSplit/>
          <w:trHeight w:val="711"/>
        </w:trPr>
        <w:tc>
          <w:tcPr>
            <w:tcW w:w="1276" w:type="dxa"/>
          </w:tcPr>
          <w:p w14:paraId="46B10BA5" w14:textId="77777777" w:rsidR="004E6707" w:rsidRPr="00D85E74" w:rsidRDefault="004E6707" w:rsidP="004E6707">
            <w:pPr>
              <w:pStyle w:val="Tabletext"/>
              <w:rPr>
                <w:rFonts w:ascii="Calibri" w:eastAsia="SimSun" w:hAnsi="Calibri"/>
                <w:b/>
                <w:szCs w:val="24"/>
                <w:lang w:eastAsia="zh-CN"/>
              </w:rPr>
            </w:pPr>
            <w:r w:rsidRPr="00D85E74">
              <w:rPr>
                <w:rFonts w:ascii="Calibri" w:eastAsia="SimSun" w:hAnsi="Calibri"/>
                <w:b/>
                <w:szCs w:val="24"/>
                <w:lang w:eastAsia="zh-CN"/>
              </w:rPr>
              <w:t>电话：</w:t>
            </w:r>
          </w:p>
          <w:p w14:paraId="32DEE293" w14:textId="1758DA07" w:rsidR="004E6707" w:rsidRPr="00D85E74" w:rsidRDefault="004E6707" w:rsidP="004E6707">
            <w:pPr>
              <w:pStyle w:val="Tabletext"/>
              <w:rPr>
                <w:rFonts w:ascii="Calibri" w:eastAsia="SimSun" w:hAnsi="Calibri"/>
                <w:szCs w:val="24"/>
              </w:rPr>
            </w:pPr>
            <w:r w:rsidRPr="00D85E74">
              <w:rPr>
                <w:rFonts w:ascii="Calibri" w:eastAsia="SimSun" w:hAnsi="Calibri"/>
                <w:b/>
                <w:szCs w:val="24"/>
                <w:lang w:eastAsia="zh-CN"/>
              </w:rPr>
              <w:t>传真：</w:t>
            </w:r>
          </w:p>
        </w:tc>
        <w:tc>
          <w:tcPr>
            <w:tcW w:w="4394" w:type="dxa"/>
            <w:gridSpan w:val="2"/>
          </w:tcPr>
          <w:p w14:paraId="09903D21" w14:textId="77777777" w:rsidR="004E6707" w:rsidRPr="00D85E74" w:rsidRDefault="004E6707" w:rsidP="004E6707">
            <w:pPr>
              <w:pStyle w:val="Tabletext"/>
              <w:ind w:left="142"/>
              <w:rPr>
                <w:szCs w:val="24"/>
              </w:rPr>
            </w:pPr>
            <w:r w:rsidRPr="00D85E74">
              <w:rPr>
                <w:szCs w:val="24"/>
              </w:rPr>
              <w:t>+41 22 730 5591</w:t>
            </w:r>
          </w:p>
          <w:p w14:paraId="2BA6F686" w14:textId="5B7EB9A0" w:rsidR="004E6707" w:rsidRPr="00D85E74" w:rsidRDefault="004E6707" w:rsidP="004E6707">
            <w:pPr>
              <w:pStyle w:val="Tabletext"/>
              <w:ind w:left="142"/>
              <w:rPr>
                <w:rFonts w:ascii="Calibri" w:eastAsia="SimSun" w:hAnsi="Calibri"/>
                <w:b/>
                <w:szCs w:val="24"/>
              </w:rPr>
            </w:pPr>
            <w:r w:rsidRPr="00D85E74">
              <w:rPr>
                <w:szCs w:val="24"/>
              </w:rPr>
              <w:t>+41 22 730 5853</w:t>
            </w:r>
          </w:p>
        </w:tc>
        <w:tc>
          <w:tcPr>
            <w:tcW w:w="3969" w:type="dxa"/>
            <w:gridSpan w:val="2"/>
            <w:vMerge/>
            <w:vAlign w:val="center"/>
          </w:tcPr>
          <w:p w14:paraId="3F4C3358" w14:textId="77777777" w:rsidR="004E6707" w:rsidRPr="00D85E74" w:rsidRDefault="004E6707" w:rsidP="004E6707">
            <w:pPr>
              <w:ind w:left="993" w:hanging="993"/>
              <w:jc w:val="right"/>
              <w:rPr>
                <w:rFonts w:ascii="Verdana" w:hAnsi="Verdana"/>
                <w:szCs w:val="24"/>
                <w:lang w:val="en-US" w:eastAsia="zh-CN"/>
              </w:rPr>
            </w:pPr>
          </w:p>
        </w:tc>
      </w:tr>
      <w:tr w:rsidR="004E6707" w:rsidRPr="00D85E74" w14:paraId="4E241A53" w14:textId="77777777" w:rsidTr="00875426">
        <w:trPr>
          <w:cantSplit/>
          <w:trHeight w:val="1332"/>
        </w:trPr>
        <w:tc>
          <w:tcPr>
            <w:tcW w:w="1276" w:type="dxa"/>
          </w:tcPr>
          <w:p w14:paraId="510AD709" w14:textId="77777777" w:rsidR="004E6707" w:rsidRPr="00D85E74" w:rsidRDefault="004E6707" w:rsidP="004E6707">
            <w:pPr>
              <w:pStyle w:val="Tabletext"/>
              <w:spacing w:before="120"/>
              <w:rPr>
                <w:rFonts w:ascii="Verdana" w:hAnsi="Verdana"/>
                <w:b/>
                <w:bCs/>
                <w:iCs/>
                <w:szCs w:val="24"/>
                <w:lang w:eastAsia="zh-CN"/>
              </w:rPr>
            </w:pPr>
            <w:r w:rsidRPr="00D85E74">
              <w:rPr>
                <w:rFonts w:ascii="Calibri" w:eastAsia="SimSun" w:hAnsi="Calibri" w:hint="eastAsia"/>
                <w:b/>
                <w:szCs w:val="24"/>
                <w:lang w:eastAsia="zh-CN"/>
              </w:rPr>
              <w:t>电子邮件：</w:t>
            </w:r>
          </w:p>
        </w:tc>
        <w:tc>
          <w:tcPr>
            <w:tcW w:w="4394" w:type="dxa"/>
            <w:gridSpan w:val="2"/>
          </w:tcPr>
          <w:p w14:paraId="27E85E12" w14:textId="5C679126" w:rsidR="004E6707" w:rsidRPr="00D85E74" w:rsidRDefault="00EB4AEE" w:rsidP="006940CB">
            <w:pPr>
              <w:pStyle w:val="Tabletext"/>
              <w:spacing w:before="120"/>
              <w:ind w:left="142"/>
              <w:rPr>
                <w:szCs w:val="24"/>
              </w:rPr>
            </w:pPr>
            <w:hyperlink r:id="rId9" w:history="1">
              <w:r w:rsidR="006940CB" w:rsidRPr="006940CB">
                <w:rPr>
                  <w:rStyle w:val="Hyperlink"/>
                </w:rPr>
                <w:t>tsbevents@itu.int</w:t>
              </w:r>
            </w:hyperlink>
          </w:p>
        </w:tc>
        <w:tc>
          <w:tcPr>
            <w:tcW w:w="3969" w:type="dxa"/>
            <w:gridSpan w:val="2"/>
          </w:tcPr>
          <w:p w14:paraId="186D9E4D" w14:textId="77777777" w:rsidR="004E6707" w:rsidRPr="00D85E74" w:rsidRDefault="004E6707" w:rsidP="004E6707">
            <w:pPr>
              <w:tabs>
                <w:tab w:val="left" w:pos="4111"/>
              </w:tabs>
              <w:rPr>
                <w:b/>
                <w:szCs w:val="24"/>
                <w:lang w:eastAsia="zh-CN"/>
              </w:rPr>
            </w:pPr>
            <w:r w:rsidRPr="00D85E74">
              <w:rPr>
                <w:rFonts w:hint="eastAsia"/>
                <w:b/>
                <w:szCs w:val="24"/>
                <w:lang w:eastAsia="zh-CN"/>
              </w:rPr>
              <w:t>抄送：</w:t>
            </w:r>
          </w:p>
          <w:p w14:paraId="405EA792" w14:textId="7BDACDE8" w:rsidR="004E6707" w:rsidRPr="00D85E74" w:rsidRDefault="004E6707" w:rsidP="004E6707">
            <w:pPr>
              <w:tabs>
                <w:tab w:val="clear" w:pos="794"/>
                <w:tab w:val="left" w:pos="284"/>
                <w:tab w:val="left" w:pos="4111"/>
              </w:tabs>
              <w:spacing w:before="40" w:after="40"/>
              <w:ind w:left="23"/>
              <w:rPr>
                <w:rFonts w:ascii="Calibri" w:hAnsi="Calibri"/>
                <w:b/>
                <w:bCs/>
                <w:szCs w:val="24"/>
                <w:lang w:eastAsia="zh-CN"/>
              </w:rPr>
            </w:pPr>
            <w:r w:rsidRPr="00D85E74">
              <w:rPr>
                <w:rFonts w:ascii="Calibri" w:hAnsi="Calibri"/>
                <w:szCs w:val="24"/>
                <w:lang w:eastAsia="zh-CN"/>
              </w:rPr>
              <w:t>-</w:t>
            </w:r>
            <w:r w:rsidRPr="00D85E74">
              <w:rPr>
                <w:rFonts w:ascii="Calibri" w:hAnsi="Calibri"/>
                <w:szCs w:val="24"/>
                <w:lang w:eastAsia="zh-CN"/>
              </w:rPr>
              <w:tab/>
            </w:r>
            <w:r w:rsidRPr="00D85E74">
              <w:rPr>
                <w:rFonts w:ascii="Calibri" w:hAnsi="Calibri" w:hint="eastAsia"/>
                <w:szCs w:val="24"/>
                <w:lang w:eastAsia="zh-CN"/>
              </w:rPr>
              <w:t>各研究组正副主席；</w:t>
            </w:r>
          </w:p>
          <w:p w14:paraId="0A4F5D57" w14:textId="77777777" w:rsidR="004E6707" w:rsidRPr="00D85E74" w:rsidRDefault="004E6707" w:rsidP="004E6707">
            <w:pPr>
              <w:tabs>
                <w:tab w:val="clear" w:pos="794"/>
                <w:tab w:val="clear" w:pos="1191"/>
                <w:tab w:val="clear" w:pos="1588"/>
                <w:tab w:val="clear" w:pos="1985"/>
                <w:tab w:val="left" w:pos="284"/>
              </w:tabs>
              <w:spacing w:before="40" w:after="40"/>
              <w:ind w:left="23"/>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hint="eastAsia"/>
                <w:szCs w:val="24"/>
                <w:lang w:val="en-US" w:eastAsia="zh-CN"/>
              </w:rPr>
              <w:t>电信发展局主任</w:t>
            </w:r>
            <w:r w:rsidRPr="00D85E74">
              <w:rPr>
                <w:rFonts w:ascii="Calibri" w:hAnsi="Calibri"/>
                <w:szCs w:val="24"/>
                <w:lang w:eastAsia="zh-CN"/>
              </w:rPr>
              <w:t>；</w:t>
            </w:r>
          </w:p>
          <w:p w14:paraId="4FDF5828" w14:textId="77777777" w:rsidR="004E6707" w:rsidRDefault="004E6707" w:rsidP="00875426">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szCs w:val="24"/>
                <w:lang w:eastAsia="zh-CN"/>
              </w:rPr>
              <w:t>无线电通信局主任；</w:t>
            </w:r>
          </w:p>
          <w:p w14:paraId="1DC949E2" w14:textId="6485E5C6" w:rsidR="00B7296B" w:rsidRPr="00D85E74" w:rsidRDefault="00B7296B" w:rsidP="00875426">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E3212">
              <w:rPr>
                <w:rFonts w:ascii="Times New Roman" w:hAnsi="Times New Roman" w:hint="eastAsia"/>
                <w:szCs w:val="24"/>
                <w:lang w:eastAsia="zh-CN"/>
              </w:rPr>
              <w:t>国际电联各区域代表处主任</w:t>
            </w:r>
          </w:p>
        </w:tc>
      </w:tr>
      <w:tr w:rsidR="00113BC0" w:rsidRPr="00D85E74" w14:paraId="38CA59FA" w14:textId="77777777" w:rsidTr="00875426">
        <w:trPr>
          <w:cantSplit/>
          <w:trHeight w:val="414"/>
        </w:trPr>
        <w:tc>
          <w:tcPr>
            <w:tcW w:w="1276" w:type="dxa"/>
          </w:tcPr>
          <w:p w14:paraId="5A12B6F8" w14:textId="77777777" w:rsidR="00113BC0" w:rsidRPr="00D85E74" w:rsidRDefault="00113BC0" w:rsidP="006940CB">
            <w:pPr>
              <w:tabs>
                <w:tab w:val="right" w:pos="8732"/>
              </w:tabs>
              <w:rPr>
                <w:rFonts w:ascii="Verdana" w:hAnsi="Verdana"/>
                <w:b/>
                <w:bCs/>
                <w:iCs/>
                <w:szCs w:val="24"/>
                <w:lang w:eastAsia="zh-CN"/>
              </w:rPr>
            </w:pPr>
            <w:r w:rsidRPr="00D85E74">
              <w:rPr>
                <w:rFonts w:hint="eastAsia"/>
                <w:b/>
                <w:bCs/>
                <w:szCs w:val="24"/>
                <w:lang w:eastAsia="zh-CN"/>
              </w:rPr>
              <w:t>事由：</w:t>
            </w:r>
          </w:p>
        </w:tc>
        <w:tc>
          <w:tcPr>
            <w:tcW w:w="8363" w:type="dxa"/>
            <w:gridSpan w:val="4"/>
          </w:tcPr>
          <w:p w14:paraId="3F68F6A1" w14:textId="6BF6D073" w:rsidR="00113BC0" w:rsidRPr="00D85E74" w:rsidRDefault="006C2D8C" w:rsidP="006940CB">
            <w:pPr>
              <w:tabs>
                <w:tab w:val="left" w:pos="4111"/>
              </w:tabs>
              <w:ind w:left="57" w:right="28"/>
              <w:rPr>
                <w:rFonts w:eastAsiaTheme="minorEastAsia"/>
                <w:b/>
                <w:bCs/>
                <w:szCs w:val="24"/>
                <w:lang w:eastAsia="zh-CN"/>
              </w:rPr>
            </w:pPr>
            <w:bookmarkStart w:id="2" w:name="_Hlk40109090"/>
            <w:r w:rsidRPr="00D85E74">
              <w:rPr>
                <w:rFonts w:eastAsiaTheme="minorEastAsia" w:hint="eastAsia"/>
                <w:b/>
                <w:bCs/>
                <w:szCs w:val="24"/>
                <w:lang w:eastAsia="zh-CN"/>
              </w:rPr>
              <w:t>关于</w:t>
            </w:r>
            <w:r w:rsidRPr="00D85E74">
              <w:rPr>
                <w:rFonts w:eastAsiaTheme="minorEastAsia" w:hint="eastAsia"/>
                <w:b/>
                <w:bCs/>
                <w:szCs w:val="24"/>
                <w:lang w:eastAsia="zh-CN"/>
              </w:rPr>
              <w:t>COVID-19</w:t>
            </w:r>
            <w:r w:rsidRPr="00D85E74">
              <w:rPr>
                <w:rFonts w:eastAsiaTheme="minorEastAsia" w:hint="eastAsia"/>
                <w:b/>
                <w:bCs/>
                <w:szCs w:val="24"/>
                <w:lang w:eastAsia="zh-CN"/>
              </w:rPr>
              <w:t>期间数字金融服务</w:t>
            </w:r>
            <w:r w:rsidR="002C6ACE" w:rsidRPr="00D85E74">
              <w:rPr>
                <w:rFonts w:eastAsiaTheme="minorEastAsia" w:hint="eastAsia"/>
                <w:b/>
                <w:bCs/>
                <w:szCs w:val="24"/>
                <w:lang w:eastAsia="zh-CN"/>
              </w:rPr>
              <w:t>见解</w:t>
            </w:r>
            <w:r w:rsidRPr="00D85E74">
              <w:rPr>
                <w:rFonts w:eastAsiaTheme="minorEastAsia" w:hint="eastAsia"/>
                <w:b/>
                <w:bCs/>
                <w:szCs w:val="24"/>
                <w:lang w:eastAsia="zh-CN"/>
              </w:rPr>
              <w:t>的网络研讨会系列</w:t>
            </w:r>
            <w:r w:rsidR="006940CB">
              <w:rPr>
                <w:rFonts w:eastAsiaTheme="minorEastAsia"/>
                <w:b/>
                <w:bCs/>
                <w:szCs w:val="24"/>
                <w:lang w:eastAsia="zh-CN"/>
              </w:rPr>
              <w:br/>
            </w:r>
            <w:r w:rsidRPr="00D85E74">
              <w:rPr>
                <w:rFonts w:eastAsiaTheme="minorEastAsia" w:hint="eastAsia"/>
                <w:b/>
                <w:bCs/>
                <w:szCs w:val="24"/>
                <w:lang w:eastAsia="zh-CN"/>
              </w:rPr>
              <w:t>（全虚拟式会议</w:t>
            </w:r>
            <w:r w:rsidR="006168FE" w:rsidRPr="00DE3212">
              <w:rPr>
                <w:rFonts w:eastAsiaTheme="minorEastAsia"/>
                <w:b/>
                <w:bCs/>
                <w:szCs w:val="24"/>
                <w:lang w:eastAsia="zh-CN"/>
              </w:rPr>
              <w:t>2020</w:t>
            </w:r>
            <w:r w:rsidR="006168FE">
              <w:rPr>
                <w:rFonts w:eastAsiaTheme="minorEastAsia" w:hint="eastAsia"/>
                <w:b/>
                <w:bCs/>
                <w:szCs w:val="24"/>
                <w:lang w:eastAsia="zh-CN"/>
              </w:rPr>
              <w:t>年</w:t>
            </w:r>
            <w:r w:rsidR="006168FE">
              <w:rPr>
                <w:rFonts w:eastAsiaTheme="minorEastAsia" w:hint="eastAsia"/>
                <w:b/>
                <w:bCs/>
                <w:szCs w:val="24"/>
                <w:lang w:eastAsia="zh-CN"/>
              </w:rPr>
              <w:t>6</w:t>
            </w:r>
            <w:r w:rsidR="006168FE">
              <w:rPr>
                <w:rFonts w:eastAsiaTheme="minorEastAsia" w:hint="eastAsia"/>
                <w:b/>
                <w:bCs/>
                <w:szCs w:val="24"/>
                <w:lang w:eastAsia="zh-CN"/>
              </w:rPr>
              <w:t>月</w:t>
            </w:r>
            <w:r w:rsidR="00DE3212" w:rsidRPr="00DE3212">
              <w:rPr>
                <w:rFonts w:eastAsiaTheme="minorEastAsia"/>
                <w:b/>
                <w:bCs/>
                <w:szCs w:val="24"/>
                <w:lang w:eastAsia="zh-CN"/>
              </w:rPr>
              <w:t>11</w:t>
            </w:r>
            <w:r w:rsidR="006168FE">
              <w:rPr>
                <w:rFonts w:eastAsiaTheme="minorEastAsia" w:hint="eastAsia"/>
                <w:b/>
                <w:bCs/>
                <w:szCs w:val="24"/>
                <w:lang w:eastAsia="zh-CN"/>
              </w:rPr>
              <w:t>、</w:t>
            </w:r>
            <w:r w:rsidR="00B7296B">
              <w:rPr>
                <w:rFonts w:eastAsiaTheme="minorEastAsia" w:hint="eastAsia"/>
                <w:b/>
                <w:bCs/>
                <w:szCs w:val="24"/>
                <w:lang w:eastAsia="zh-CN"/>
              </w:rPr>
              <w:t>2</w:t>
            </w:r>
            <w:r w:rsidR="00DE3212" w:rsidRPr="00DE3212">
              <w:rPr>
                <w:rFonts w:eastAsiaTheme="minorEastAsia"/>
                <w:b/>
                <w:bCs/>
                <w:szCs w:val="24"/>
                <w:lang w:eastAsia="zh-CN"/>
              </w:rPr>
              <w:t>3</w:t>
            </w:r>
            <w:r w:rsidR="006168FE">
              <w:rPr>
                <w:rFonts w:eastAsiaTheme="minorEastAsia" w:hint="eastAsia"/>
                <w:b/>
                <w:bCs/>
                <w:szCs w:val="24"/>
                <w:lang w:eastAsia="zh-CN"/>
              </w:rPr>
              <w:t>、</w:t>
            </w:r>
            <w:r w:rsidR="00DE3212" w:rsidRPr="00DE3212">
              <w:rPr>
                <w:rFonts w:eastAsiaTheme="minorEastAsia"/>
                <w:b/>
                <w:bCs/>
                <w:szCs w:val="24"/>
                <w:lang w:eastAsia="zh-CN"/>
              </w:rPr>
              <w:t>26</w:t>
            </w:r>
            <w:r w:rsidR="006168FE">
              <w:rPr>
                <w:rFonts w:eastAsiaTheme="minorEastAsia" w:hint="eastAsia"/>
                <w:b/>
                <w:bCs/>
                <w:szCs w:val="24"/>
                <w:lang w:eastAsia="zh-CN"/>
              </w:rPr>
              <w:t>、</w:t>
            </w:r>
            <w:r w:rsidR="00DE3212" w:rsidRPr="00DE3212">
              <w:rPr>
                <w:rFonts w:eastAsiaTheme="minorEastAsia"/>
                <w:b/>
                <w:bCs/>
                <w:szCs w:val="24"/>
                <w:lang w:eastAsia="zh-CN"/>
              </w:rPr>
              <w:t>29</w:t>
            </w:r>
            <w:r w:rsidR="006168FE">
              <w:rPr>
                <w:rFonts w:eastAsiaTheme="minorEastAsia" w:hint="eastAsia"/>
                <w:b/>
                <w:bCs/>
                <w:szCs w:val="24"/>
                <w:lang w:eastAsia="zh-CN"/>
              </w:rPr>
              <w:t>和</w:t>
            </w:r>
            <w:r w:rsidR="00DE3212" w:rsidRPr="00DE3212">
              <w:rPr>
                <w:rFonts w:eastAsiaTheme="minorEastAsia"/>
                <w:b/>
                <w:bCs/>
                <w:szCs w:val="24"/>
                <w:lang w:eastAsia="zh-CN"/>
              </w:rPr>
              <w:t>30</w:t>
            </w:r>
            <w:r w:rsidR="006168FE">
              <w:rPr>
                <w:rFonts w:eastAsiaTheme="minorEastAsia" w:hint="eastAsia"/>
                <w:b/>
                <w:bCs/>
                <w:szCs w:val="24"/>
                <w:lang w:eastAsia="zh-CN"/>
              </w:rPr>
              <w:t>日</w:t>
            </w:r>
            <w:r w:rsidRPr="00D85E74">
              <w:rPr>
                <w:rFonts w:eastAsiaTheme="minorEastAsia" w:hint="eastAsia"/>
                <w:b/>
                <w:bCs/>
                <w:szCs w:val="24"/>
                <w:lang w:eastAsia="zh-CN"/>
              </w:rPr>
              <w:t>）</w:t>
            </w:r>
            <w:bookmarkEnd w:id="2"/>
          </w:p>
        </w:tc>
      </w:tr>
    </w:tbl>
    <w:p w14:paraId="45EA9D58" w14:textId="77777777" w:rsidR="007A7AF9" w:rsidRPr="00D85E74" w:rsidRDefault="007A7AF9" w:rsidP="00875426">
      <w:pPr>
        <w:spacing w:before="480" w:after="120"/>
        <w:rPr>
          <w:rFonts w:eastAsiaTheme="minorEastAsia"/>
          <w:szCs w:val="24"/>
          <w:lang w:eastAsia="zh-CN"/>
        </w:rPr>
      </w:pPr>
      <w:bookmarkStart w:id="3" w:name="StartTyping_E"/>
      <w:bookmarkEnd w:id="3"/>
      <w:r w:rsidRPr="00D85E74">
        <w:rPr>
          <w:rFonts w:eastAsiaTheme="minorEastAsia"/>
          <w:szCs w:val="24"/>
          <w:lang w:eastAsia="zh-CN"/>
        </w:rPr>
        <w:t>尊敬的先生</w:t>
      </w:r>
      <w:r w:rsidRPr="00D85E74">
        <w:rPr>
          <w:rFonts w:eastAsiaTheme="minorEastAsia"/>
          <w:szCs w:val="24"/>
          <w:lang w:eastAsia="zh-CN"/>
        </w:rPr>
        <w:t>/</w:t>
      </w:r>
      <w:r w:rsidRPr="00D85E74">
        <w:rPr>
          <w:rFonts w:eastAsiaTheme="minorEastAsia"/>
          <w:szCs w:val="24"/>
          <w:lang w:eastAsia="zh-CN"/>
        </w:rPr>
        <w:t>女士：</w:t>
      </w:r>
    </w:p>
    <w:p w14:paraId="754FB456" w14:textId="53FF295C" w:rsidR="004E6707" w:rsidRPr="00D85E74" w:rsidRDefault="004E6707" w:rsidP="00346B8D">
      <w:pPr>
        <w:spacing w:before="360"/>
        <w:jc w:val="both"/>
        <w:rPr>
          <w:szCs w:val="24"/>
          <w:lang w:eastAsia="zh-CN"/>
        </w:rPr>
      </w:pPr>
      <w:bookmarkStart w:id="4" w:name="suitetext"/>
      <w:bookmarkStart w:id="5" w:name="text"/>
      <w:bookmarkEnd w:id="4"/>
      <w:bookmarkEnd w:id="5"/>
      <w:r w:rsidRPr="00D85E74">
        <w:rPr>
          <w:szCs w:val="24"/>
          <w:lang w:eastAsia="zh-CN"/>
        </w:rPr>
        <w:t>1</w:t>
      </w:r>
      <w:r w:rsidRPr="00D85E74">
        <w:rPr>
          <w:szCs w:val="24"/>
          <w:lang w:eastAsia="zh-CN"/>
        </w:rPr>
        <w:tab/>
      </w:r>
      <w:bookmarkStart w:id="6" w:name="lt_pId054"/>
      <w:bookmarkStart w:id="7" w:name="_Hlk38880448"/>
      <w:r w:rsidR="002C6ACE" w:rsidRPr="00D85E74">
        <w:rPr>
          <w:rFonts w:hint="eastAsia"/>
          <w:szCs w:val="24"/>
          <w:lang w:eastAsia="zh-CN"/>
        </w:rPr>
        <w:t>国际电信联盟（</w:t>
      </w:r>
      <w:r w:rsidR="002C6ACE" w:rsidRPr="00D85E74">
        <w:rPr>
          <w:szCs w:val="24"/>
          <w:lang w:eastAsia="zh-CN"/>
        </w:rPr>
        <w:t>ITU</w:t>
      </w:r>
      <w:r w:rsidR="002C6ACE" w:rsidRPr="00D85E74">
        <w:rPr>
          <w:rFonts w:hint="eastAsia"/>
          <w:szCs w:val="24"/>
          <w:lang w:eastAsia="zh-CN"/>
        </w:rPr>
        <w:t>）正在组织</w:t>
      </w:r>
      <w:hyperlink r:id="rId10" w:history="1">
        <w:r w:rsidR="002C6ACE" w:rsidRPr="00D85E74">
          <w:rPr>
            <w:rStyle w:val="Hyperlink"/>
            <w:rFonts w:hint="eastAsia"/>
            <w:b/>
            <w:bCs/>
            <w:szCs w:val="24"/>
            <w:lang w:eastAsia="zh-CN"/>
          </w:rPr>
          <w:t>关于</w:t>
        </w:r>
        <w:r w:rsidRPr="00D85E74">
          <w:rPr>
            <w:rStyle w:val="Hyperlink"/>
            <w:b/>
            <w:bCs/>
            <w:szCs w:val="24"/>
            <w:lang w:eastAsia="zh-CN"/>
          </w:rPr>
          <w:t>COVID-1</w:t>
        </w:r>
        <w:r w:rsidR="002C6ACE" w:rsidRPr="00D85E74">
          <w:rPr>
            <w:rStyle w:val="Hyperlink"/>
            <w:rFonts w:hint="eastAsia"/>
            <w:b/>
            <w:bCs/>
            <w:szCs w:val="24"/>
            <w:lang w:eastAsia="zh-CN"/>
          </w:rPr>
          <w:t>9</w:t>
        </w:r>
        <w:r w:rsidR="002C6ACE" w:rsidRPr="00D85E74">
          <w:rPr>
            <w:rStyle w:val="Hyperlink"/>
            <w:rFonts w:hint="eastAsia"/>
            <w:b/>
            <w:bCs/>
            <w:szCs w:val="24"/>
            <w:lang w:eastAsia="zh-CN"/>
          </w:rPr>
          <w:t>期间数字金融服务</w:t>
        </w:r>
        <w:r w:rsidR="008B2DCF" w:rsidRPr="00D85E74">
          <w:rPr>
            <w:rStyle w:val="Hyperlink"/>
            <w:rFonts w:hint="eastAsia"/>
            <w:b/>
            <w:bCs/>
            <w:szCs w:val="24"/>
            <w:lang w:eastAsia="zh-CN"/>
          </w:rPr>
          <w:t>（</w:t>
        </w:r>
        <w:r w:rsidR="008B2DCF" w:rsidRPr="00D85E74">
          <w:rPr>
            <w:rStyle w:val="Hyperlink"/>
            <w:rFonts w:hint="eastAsia"/>
            <w:b/>
            <w:bCs/>
            <w:szCs w:val="24"/>
            <w:lang w:eastAsia="zh-CN"/>
          </w:rPr>
          <w:t>D</w:t>
        </w:r>
        <w:r w:rsidR="008B2DCF" w:rsidRPr="00D85E74">
          <w:rPr>
            <w:rStyle w:val="Hyperlink"/>
            <w:b/>
            <w:bCs/>
            <w:szCs w:val="24"/>
            <w:lang w:eastAsia="zh-CN"/>
          </w:rPr>
          <w:t>FS</w:t>
        </w:r>
        <w:r w:rsidR="008B2DCF" w:rsidRPr="00D85E74">
          <w:rPr>
            <w:rStyle w:val="Hyperlink"/>
            <w:rFonts w:hint="eastAsia"/>
            <w:b/>
            <w:bCs/>
            <w:szCs w:val="24"/>
            <w:lang w:eastAsia="zh-CN"/>
          </w:rPr>
          <w:t>）</w:t>
        </w:r>
        <w:r w:rsidR="002C6ACE" w:rsidRPr="00D85E74">
          <w:rPr>
            <w:rStyle w:val="Hyperlink"/>
            <w:rFonts w:hint="eastAsia"/>
            <w:b/>
            <w:bCs/>
            <w:szCs w:val="24"/>
            <w:lang w:eastAsia="zh-CN"/>
          </w:rPr>
          <w:t>见解</w:t>
        </w:r>
      </w:hyperlink>
      <w:r w:rsidR="002C6ACE" w:rsidRPr="00D85E74">
        <w:rPr>
          <w:rFonts w:hint="eastAsia"/>
          <w:b/>
          <w:bCs/>
          <w:szCs w:val="24"/>
          <w:lang w:eastAsia="zh-CN"/>
        </w:rPr>
        <w:t>的</w:t>
      </w:r>
      <w:r w:rsidR="008B2DCF" w:rsidRPr="00D85E74">
        <w:rPr>
          <w:rFonts w:hint="eastAsia"/>
          <w:szCs w:val="24"/>
          <w:lang w:eastAsia="zh-CN"/>
        </w:rPr>
        <w:t>一系列</w:t>
      </w:r>
      <w:r w:rsidR="002C6ACE" w:rsidRPr="00D85E74">
        <w:rPr>
          <w:rFonts w:hint="eastAsia"/>
          <w:b/>
          <w:bCs/>
          <w:szCs w:val="24"/>
          <w:lang w:eastAsia="zh-CN"/>
        </w:rPr>
        <w:t>网络研讨会，</w:t>
      </w:r>
      <w:bookmarkEnd w:id="6"/>
      <w:r w:rsidR="00875426" w:rsidRPr="00875426">
        <w:rPr>
          <w:rFonts w:hint="eastAsia"/>
          <w:szCs w:val="24"/>
          <w:lang w:eastAsia="zh-CN"/>
        </w:rPr>
        <w:t>目的在于讨论</w:t>
      </w:r>
      <w:r w:rsidR="00875426" w:rsidRPr="00875426">
        <w:rPr>
          <w:rFonts w:hint="eastAsia"/>
          <w:b/>
          <w:bCs/>
          <w:szCs w:val="24"/>
          <w:lang w:eastAsia="zh-CN"/>
        </w:rPr>
        <w:t>电信服务、数字支付和金融科技的创新型应用，以研究解决因</w:t>
      </w:r>
      <w:r w:rsidR="00875426" w:rsidRPr="00875426">
        <w:rPr>
          <w:rFonts w:hint="eastAsia"/>
          <w:b/>
          <w:bCs/>
          <w:szCs w:val="24"/>
          <w:lang w:eastAsia="zh-CN"/>
        </w:rPr>
        <w:t>COVID-19</w:t>
      </w:r>
      <w:r w:rsidR="00875426" w:rsidRPr="00875426">
        <w:rPr>
          <w:rFonts w:hint="eastAsia"/>
          <w:b/>
          <w:bCs/>
          <w:szCs w:val="24"/>
          <w:lang w:eastAsia="zh-CN"/>
        </w:rPr>
        <w:t>引发的与社交距离相关的挑战。</w:t>
      </w:r>
      <w:r w:rsidR="00875426" w:rsidRPr="00875426">
        <w:rPr>
          <w:rFonts w:hint="eastAsia"/>
          <w:szCs w:val="24"/>
          <w:lang w:eastAsia="zh-CN"/>
        </w:rPr>
        <w:t>网络研讨会将分享各国及</w:t>
      </w:r>
      <w:r w:rsidR="00875426" w:rsidRPr="00875426">
        <w:rPr>
          <w:rFonts w:hint="eastAsia"/>
          <w:szCs w:val="24"/>
          <w:lang w:eastAsia="zh-CN"/>
        </w:rPr>
        <w:t>DFS</w:t>
      </w:r>
      <w:r w:rsidR="00875426" w:rsidRPr="00875426">
        <w:rPr>
          <w:rFonts w:hint="eastAsia"/>
          <w:szCs w:val="24"/>
          <w:lang w:eastAsia="zh-CN"/>
        </w:rPr>
        <w:t>利益攸关方从正在实施的各种措施中取得的经验教训。</w:t>
      </w:r>
      <w:r w:rsidR="006168FE">
        <w:rPr>
          <w:rFonts w:hint="eastAsia"/>
          <w:szCs w:val="24"/>
          <w:lang w:eastAsia="zh-CN"/>
        </w:rPr>
        <w:t>6</w:t>
      </w:r>
      <w:r w:rsidR="006168FE">
        <w:rPr>
          <w:rFonts w:hint="eastAsia"/>
          <w:szCs w:val="24"/>
          <w:lang w:eastAsia="zh-CN"/>
        </w:rPr>
        <w:t>月</w:t>
      </w:r>
      <w:r w:rsidR="00875426" w:rsidRPr="00875426">
        <w:rPr>
          <w:rFonts w:hint="eastAsia"/>
          <w:szCs w:val="24"/>
          <w:lang w:eastAsia="zh-CN"/>
        </w:rPr>
        <w:t>网络研讨会系列的</w:t>
      </w:r>
      <w:r w:rsidR="006168FE">
        <w:rPr>
          <w:rFonts w:hint="eastAsia"/>
          <w:szCs w:val="24"/>
          <w:lang w:eastAsia="zh-CN"/>
        </w:rPr>
        <w:t>后续各期</w:t>
      </w:r>
      <w:r w:rsidR="00875426" w:rsidRPr="00875426">
        <w:rPr>
          <w:rFonts w:hint="eastAsia"/>
          <w:szCs w:val="24"/>
          <w:lang w:eastAsia="zh-CN"/>
        </w:rPr>
        <w:t>将涉及以下主题：</w:t>
      </w:r>
    </w:p>
    <w:p w14:paraId="78120102" w14:textId="44898A2A" w:rsidR="00875426" w:rsidRDefault="004E6707" w:rsidP="00DE3212">
      <w:pPr>
        <w:ind w:left="720" w:right="895" w:hanging="436"/>
        <w:jc w:val="both"/>
        <w:rPr>
          <w:szCs w:val="24"/>
          <w:lang w:val="en-US" w:eastAsia="zh-CN"/>
        </w:rPr>
      </w:pPr>
      <w:bookmarkStart w:id="8" w:name="lt_pId057"/>
      <w:r w:rsidRPr="00D85E74">
        <w:rPr>
          <w:szCs w:val="24"/>
          <w:lang w:eastAsia="zh-CN"/>
        </w:rPr>
        <w:t>a)</w:t>
      </w:r>
      <w:bookmarkEnd w:id="8"/>
      <w:r w:rsidRPr="00D85E74">
        <w:rPr>
          <w:szCs w:val="24"/>
          <w:lang w:eastAsia="zh-CN"/>
        </w:rPr>
        <w:tab/>
      </w:r>
      <w:bookmarkStart w:id="9" w:name="lt_pId061"/>
      <w:r w:rsidR="006168FE">
        <w:rPr>
          <w:rFonts w:hint="eastAsia"/>
          <w:szCs w:val="24"/>
          <w:lang w:eastAsia="zh-CN"/>
        </w:rPr>
        <w:t>第</w:t>
      </w:r>
      <w:r w:rsidR="00DE3212" w:rsidRPr="00DE3212">
        <w:rPr>
          <w:szCs w:val="24"/>
          <w:lang w:eastAsia="zh-CN"/>
        </w:rPr>
        <w:t>4</w:t>
      </w:r>
      <w:r w:rsidR="006168FE">
        <w:rPr>
          <w:rFonts w:hint="eastAsia"/>
          <w:szCs w:val="24"/>
          <w:lang w:eastAsia="zh-CN"/>
        </w:rPr>
        <w:t>期</w:t>
      </w:r>
      <w:r w:rsidR="00B10CE5">
        <w:rPr>
          <w:rFonts w:hint="eastAsia"/>
          <w:szCs w:val="24"/>
          <w:lang w:eastAsia="zh-CN"/>
        </w:rPr>
        <w:t>：</w:t>
      </w:r>
      <w:r w:rsidR="006168FE" w:rsidRPr="006168FE">
        <w:rPr>
          <w:rFonts w:hint="eastAsia"/>
          <w:b/>
          <w:szCs w:val="24"/>
          <w:lang w:eastAsia="zh-CN"/>
        </w:rPr>
        <w:t>数字信贷和消费者保护</w:t>
      </w:r>
      <w:r w:rsidR="006168FE">
        <w:rPr>
          <w:rFonts w:hint="eastAsia"/>
          <w:szCs w:val="24"/>
          <w:lang w:eastAsia="zh-CN"/>
        </w:rPr>
        <w:t>，</w:t>
      </w:r>
      <w:r w:rsidR="00DE3212" w:rsidRPr="00DE3212">
        <w:rPr>
          <w:szCs w:val="24"/>
          <w:lang w:val="en-US" w:eastAsia="zh-CN"/>
        </w:rPr>
        <w:t>2020</w:t>
      </w:r>
      <w:r w:rsidR="006168FE">
        <w:rPr>
          <w:rFonts w:hint="eastAsia"/>
          <w:szCs w:val="24"/>
          <w:lang w:val="en-US" w:eastAsia="zh-CN"/>
        </w:rPr>
        <w:t>年</w:t>
      </w:r>
      <w:r w:rsidR="006168FE">
        <w:rPr>
          <w:rFonts w:hint="eastAsia"/>
          <w:szCs w:val="24"/>
          <w:lang w:val="en-US" w:eastAsia="zh-CN"/>
        </w:rPr>
        <w:t>6</w:t>
      </w:r>
      <w:r w:rsidR="006168FE">
        <w:rPr>
          <w:rFonts w:hint="eastAsia"/>
          <w:szCs w:val="24"/>
          <w:lang w:val="en-US" w:eastAsia="zh-CN"/>
        </w:rPr>
        <w:t>月</w:t>
      </w:r>
      <w:r w:rsidR="006168FE">
        <w:rPr>
          <w:rFonts w:hint="eastAsia"/>
          <w:szCs w:val="24"/>
          <w:lang w:val="en-US" w:eastAsia="zh-CN"/>
        </w:rPr>
        <w:t>11</w:t>
      </w:r>
      <w:r w:rsidR="006168FE">
        <w:rPr>
          <w:rFonts w:hint="eastAsia"/>
          <w:szCs w:val="24"/>
          <w:lang w:val="en-US" w:eastAsia="zh-CN"/>
        </w:rPr>
        <w:t>日下午</w:t>
      </w:r>
      <w:r w:rsidR="00DE3212" w:rsidRPr="00DE3212">
        <w:rPr>
          <w:szCs w:val="24"/>
          <w:lang w:val="en-US" w:eastAsia="zh-CN"/>
        </w:rPr>
        <w:t>3:00 – 4:30</w:t>
      </w:r>
      <w:r w:rsidR="006168FE">
        <w:rPr>
          <w:rFonts w:hint="eastAsia"/>
          <w:szCs w:val="24"/>
          <w:lang w:val="en-US" w:eastAsia="zh-CN"/>
        </w:rPr>
        <w:t>中欧夏令时</w:t>
      </w:r>
    </w:p>
    <w:p w14:paraId="591CCCD2" w14:textId="68D62912" w:rsidR="00DE3212" w:rsidRDefault="004E6707" w:rsidP="00DE3212">
      <w:pPr>
        <w:ind w:left="720" w:right="895" w:hanging="436"/>
        <w:jc w:val="both"/>
        <w:rPr>
          <w:szCs w:val="24"/>
          <w:lang w:val="en-US" w:eastAsia="zh-CN"/>
        </w:rPr>
      </w:pPr>
      <w:r w:rsidRPr="00D85E74">
        <w:rPr>
          <w:szCs w:val="24"/>
          <w:lang w:val="en-US" w:eastAsia="zh-CN"/>
        </w:rPr>
        <w:t>b)</w:t>
      </w:r>
      <w:bookmarkEnd w:id="9"/>
      <w:r w:rsidRPr="00D85E74">
        <w:rPr>
          <w:szCs w:val="24"/>
          <w:lang w:val="en-US" w:eastAsia="zh-CN"/>
        </w:rPr>
        <w:tab/>
      </w:r>
      <w:bookmarkStart w:id="10" w:name="lt_pId065"/>
      <w:r w:rsidR="006168FE">
        <w:rPr>
          <w:rFonts w:hint="eastAsia"/>
          <w:szCs w:val="24"/>
          <w:lang w:eastAsia="zh-CN"/>
        </w:rPr>
        <w:t>第</w:t>
      </w:r>
      <w:r w:rsidR="006168FE">
        <w:rPr>
          <w:rFonts w:hint="eastAsia"/>
          <w:szCs w:val="24"/>
          <w:lang w:eastAsia="zh-CN"/>
        </w:rPr>
        <w:t>5</w:t>
      </w:r>
      <w:r w:rsidR="006168FE">
        <w:rPr>
          <w:rFonts w:hint="eastAsia"/>
          <w:szCs w:val="24"/>
          <w:lang w:eastAsia="zh-CN"/>
        </w:rPr>
        <w:t>期</w:t>
      </w:r>
      <w:r w:rsidR="00B10CE5">
        <w:rPr>
          <w:rFonts w:hint="eastAsia"/>
          <w:szCs w:val="24"/>
          <w:lang w:eastAsia="zh-CN"/>
        </w:rPr>
        <w:t>：</w:t>
      </w:r>
      <w:r w:rsidR="00566A37">
        <w:rPr>
          <w:rFonts w:asciiTheme="minorEastAsia" w:eastAsiaTheme="minorEastAsia" w:hAnsiTheme="minorEastAsia" w:hint="eastAsia"/>
          <w:b/>
          <w:lang w:eastAsia="zh-CN"/>
        </w:rPr>
        <w:t>数字</w:t>
      </w:r>
      <w:r w:rsidR="006168FE" w:rsidRPr="006168FE">
        <w:rPr>
          <w:rFonts w:asciiTheme="minorEastAsia" w:eastAsiaTheme="minorEastAsia" w:hAnsiTheme="minorEastAsia" w:hint="eastAsia"/>
          <w:b/>
          <w:lang w:eastAsia="zh-CN"/>
        </w:rPr>
        <w:t>信贷技术和金融</w:t>
      </w:r>
      <w:r w:rsidR="00566A37">
        <w:rPr>
          <w:rFonts w:asciiTheme="minorEastAsia" w:eastAsiaTheme="minorEastAsia" w:hAnsiTheme="minorEastAsia" w:hint="eastAsia"/>
          <w:b/>
          <w:lang w:eastAsia="zh-CN"/>
        </w:rPr>
        <w:t>包容性</w:t>
      </w:r>
      <w:r w:rsidR="006168FE">
        <w:rPr>
          <w:rFonts w:asciiTheme="minorEastAsia" w:eastAsiaTheme="minorEastAsia" w:hAnsiTheme="minorEastAsia" w:hint="eastAsia"/>
          <w:lang w:eastAsia="zh-CN"/>
        </w:rPr>
        <w:t>，</w:t>
      </w:r>
      <w:r w:rsidR="006168FE" w:rsidRPr="00DE3212">
        <w:rPr>
          <w:szCs w:val="24"/>
          <w:lang w:val="en-US" w:eastAsia="zh-CN"/>
        </w:rPr>
        <w:t>2020</w:t>
      </w:r>
      <w:r w:rsidR="006168FE">
        <w:rPr>
          <w:rFonts w:hint="eastAsia"/>
          <w:szCs w:val="24"/>
          <w:lang w:val="en-US" w:eastAsia="zh-CN"/>
        </w:rPr>
        <w:t>年</w:t>
      </w:r>
      <w:r w:rsidR="006168FE">
        <w:rPr>
          <w:rFonts w:hint="eastAsia"/>
          <w:szCs w:val="24"/>
          <w:lang w:val="en-US" w:eastAsia="zh-CN"/>
        </w:rPr>
        <w:t>6</w:t>
      </w:r>
      <w:r w:rsidR="006168FE">
        <w:rPr>
          <w:rFonts w:hint="eastAsia"/>
          <w:szCs w:val="24"/>
          <w:lang w:val="en-US" w:eastAsia="zh-CN"/>
        </w:rPr>
        <w:t>月</w:t>
      </w:r>
      <w:r w:rsidR="006168FE">
        <w:rPr>
          <w:rFonts w:hint="eastAsia"/>
          <w:szCs w:val="24"/>
          <w:lang w:val="en-US" w:eastAsia="zh-CN"/>
        </w:rPr>
        <w:t>11</w:t>
      </w:r>
      <w:r w:rsidR="006168FE">
        <w:rPr>
          <w:rFonts w:hint="eastAsia"/>
          <w:szCs w:val="24"/>
          <w:lang w:val="en-US" w:eastAsia="zh-CN"/>
        </w:rPr>
        <w:t>日下午</w:t>
      </w:r>
      <w:r w:rsidR="006168FE" w:rsidRPr="00DE3212">
        <w:rPr>
          <w:szCs w:val="24"/>
          <w:lang w:val="en-US" w:eastAsia="zh-CN"/>
        </w:rPr>
        <w:t>3:00 – 4:30</w:t>
      </w:r>
      <w:r w:rsidR="006168FE">
        <w:rPr>
          <w:rFonts w:hint="eastAsia"/>
          <w:szCs w:val="24"/>
          <w:lang w:val="en-US" w:eastAsia="zh-CN"/>
        </w:rPr>
        <w:t>中欧夏令时</w:t>
      </w:r>
    </w:p>
    <w:p w14:paraId="223F62A8" w14:textId="7AF2829C" w:rsidR="00DE3212" w:rsidRPr="00B3541A" w:rsidRDefault="004E6707" w:rsidP="00DE3212">
      <w:pPr>
        <w:spacing w:after="120"/>
        <w:ind w:left="720" w:right="893" w:hanging="432"/>
        <w:jc w:val="both"/>
        <w:rPr>
          <w:rFonts w:cstheme="minorHAnsi"/>
          <w:szCs w:val="24"/>
          <w:lang w:eastAsia="zh-CN"/>
        </w:rPr>
      </w:pPr>
      <w:r w:rsidRPr="00D85E74">
        <w:rPr>
          <w:szCs w:val="24"/>
          <w:lang w:val="en-US" w:eastAsia="zh-CN"/>
        </w:rPr>
        <w:t>c)</w:t>
      </w:r>
      <w:bookmarkEnd w:id="10"/>
      <w:r w:rsidRPr="00D85E74">
        <w:rPr>
          <w:szCs w:val="24"/>
          <w:lang w:val="en-US" w:eastAsia="zh-CN"/>
        </w:rPr>
        <w:tab/>
      </w:r>
      <w:r w:rsidR="006168FE">
        <w:rPr>
          <w:rFonts w:hint="eastAsia"/>
          <w:szCs w:val="24"/>
          <w:lang w:eastAsia="zh-CN"/>
        </w:rPr>
        <w:t>第</w:t>
      </w:r>
      <w:r w:rsidR="006168FE">
        <w:rPr>
          <w:rFonts w:hint="eastAsia"/>
          <w:szCs w:val="24"/>
          <w:lang w:eastAsia="zh-CN"/>
        </w:rPr>
        <w:t>6</w:t>
      </w:r>
      <w:r w:rsidR="006168FE">
        <w:rPr>
          <w:rFonts w:hint="eastAsia"/>
          <w:szCs w:val="24"/>
          <w:lang w:eastAsia="zh-CN"/>
        </w:rPr>
        <w:t>期</w:t>
      </w:r>
      <w:r w:rsidR="00B10CE5">
        <w:rPr>
          <w:rFonts w:hint="eastAsia"/>
          <w:szCs w:val="24"/>
          <w:lang w:eastAsia="zh-CN"/>
        </w:rPr>
        <w:t>：</w:t>
      </w:r>
      <w:r w:rsidR="006168FE" w:rsidRPr="006168FE">
        <w:rPr>
          <w:rFonts w:asciiTheme="minorEastAsia" w:eastAsiaTheme="minorEastAsia" w:hAnsiTheme="minorEastAsia" w:hint="eastAsia"/>
          <w:b/>
          <w:szCs w:val="24"/>
          <w:lang w:val="en-US" w:eastAsia="zh-CN"/>
        </w:rPr>
        <w:t>央行数字货币和数字金融</w:t>
      </w:r>
      <w:r w:rsidR="00566A37">
        <w:rPr>
          <w:rFonts w:asciiTheme="minorEastAsia" w:eastAsiaTheme="minorEastAsia" w:hAnsiTheme="minorEastAsia" w:hint="eastAsia"/>
          <w:b/>
          <w:szCs w:val="24"/>
          <w:lang w:val="en-US" w:eastAsia="zh-CN"/>
        </w:rPr>
        <w:t>包容性</w:t>
      </w:r>
      <w:r w:rsidR="006168FE">
        <w:rPr>
          <w:rFonts w:asciiTheme="minorEastAsia" w:eastAsiaTheme="minorEastAsia" w:hAnsiTheme="minorEastAsia" w:hint="eastAsia"/>
          <w:szCs w:val="24"/>
          <w:lang w:val="en-US" w:eastAsia="zh-CN"/>
        </w:rPr>
        <w:t>，</w:t>
      </w:r>
      <w:r w:rsidR="006168FE" w:rsidRPr="00DE3212">
        <w:rPr>
          <w:szCs w:val="24"/>
          <w:lang w:val="en-US" w:eastAsia="zh-CN"/>
        </w:rPr>
        <w:t>2020</w:t>
      </w:r>
      <w:r w:rsidR="006168FE">
        <w:rPr>
          <w:rFonts w:hint="eastAsia"/>
          <w:szCs w:val="24"/>
          <w:lang w:val="en-US" w:eastAsia="zh-CN"/>
        </w:rPr>
        <w:t>年</w:t>
      </w:r>
      <w:r w:rsidR="006168FE">
        <w:rPr>
          <w:rFonts w:hint="eastAsia"/>
          <w:szCs w:val="24"/>
          <w:lang w:val="en-US" w:eastAsia="zh-CN"/>
        </w:rPr>
        <w:t>6</w:t>
      </w:r>
      <w:r w:rsidR="006168FE">
        <w:rPr>
          <w:rFonts w:hint="eastAsia"/>
          <w:szCs w:val="24"/>
          <w:lang w:val="en-US" w:eastAsia="zh-CN"/>
        </w:rPr>
        <w:t>月</w:t>
      </w:r>
      <w:r w:rsidR="006168FE">
        <w:rPr>
          <w:rFonts w:hint="eastAsia"/>
          <w:szCs w:val="24"/>
          <w:lang w:val="en-US" w:eastAsia="zh-CN"/>
        </w:rPr>
        <w:t>26</w:t>
      </w:r>
      <w:r w:rsidR="006168FE">
        <w:rPr>
          <w:rFonts w:hint="eastAsia"/>
          <w:szCs w:val="24"/>
          <w:lang w:val="en-US" w:eastAsia="zh-CN"/>
        </w:rPr>
        <w:t>日下午</w:t>
      </w:r>
      <w:r w:rsidR="006168FE" w:rsidRPr="00DE3212">
        <w:rPr>
          <w:rFonts w:ascii="Calibri" w:eastAsia="Times New Roman" w:hAnsi="Calibri" w:cs="Calibri"/>
          <w:szCs w:val="24"/>
          <w:lang w:val="en-US" w:eastAsia="zh-CN"/>
        </w:rPr>
        <w:t>4:00</w:t>
      </w:r>
      <w:r w:rsidR="006168FE" w:rsidRPr="00DE3212">
        <w:rPr>
          <w:rFonts w:ascii="Calibri" w:eastAsia="Times New Roman" w:hAnsi="Calibri"/>
          <w:lang w:eastAsia="zh-CN"/>
        </w:rPr>
        <w:t> </w:t>
      </w:r>
      <w:r w:rsidR="006168FE" w:rsidRPr="00DE3212">
        <w:rPr>
          <w:rFonts w:ascii="Calibri" w:eastAsia="Times New Roman" w:hAnsi="Calibri" w:cs="Calibri"/>
          <w:szCs w:val="24"/>
          <w:lang w:val="en-US" w:eastAsia="zh-CN"/>
        </w:rPr>
        <w:t>– 5:45</w:t>
      </w:r>
      <w:r w:rsidR="006168FE">
        <w:rPr>
          <w:rFonts w:hint="eastAsia"/>
          <w:szCs w:val="24"/>
          <w:lang w:val="en-US" w:eastAsia="zh-CN"/>
        </w:rPr>
        <w:t>中欧夏令时</w:t>
      </w:r>
    </w:p>
    <w:p w14:paraId="7DAF87DF" w14:textId="6B8651E2" w:rsidR="00DE3212" w:rsidRDefault="00DE3212" w:rsidP="00DE3212">
      <w:pPr>
        <w:ind w:left="720" w:right="895" w:hanging="436"/>
        <w:rPr>
          <w:rFonts w:cs="Calibri"/>
          <w:szCs w:val="24"/>
          <w:lang w:val="en-US" w:eastAsia="zh-CN"/>
        </w:rPr>
      </w:pPr>
      <w:r>
        <w:rPr>
          <w:lang w:eastAsia="zh-CN"/>
        </w:rPr>
        <w:t>d)</w:t>
      </w:r>
      <w:r w:rsidRPr="00D85E74">
        <w:rPr>
          <w:szCs w:val="24"/>
          <w:lang w:val="en-US" w:eastAsia="zh-CN"/>
        </w:rPr>
        <w:tab/>
      </w:r>
      <w:r w:rsidR="006168FE">
        <w:rPr>
          <w:rFonts w:hint="eastAsia"/>
          <w:szCs w:val="24"/>
          <w:lang w:eastAsia="zh-CN"/>
        </w:rPr>
        <w:t>第</w:t>
      </w:r>
      <w:r w:rsidR="006168FE">
        <w:rPr>
          <w:rFonts w:hint="eastAsia"/>
          <w:szCs w:val="24"/>
          <w:lang w:eastAsia="zh-CN"/>
        </w:rPr>
        <w:t>7</w:t>
      </w:r>
      <w:r w:rsidR="006168FE">
        <w:rPr>
          <w:rFonts w:hint="eastAsia"/>
          <w:szCs w:val="24"/>
          <w:lang w:eastAsia="zh-CN"/>
        </w:rPr>
        <w:t>期</w:t>
      </w:r>
      <w:r w:rsidR="00B10CE5">
        <w:rPr>
          <w:rFonts w:hint="eastAsia"/>
          <w:szCs w:val="24"/>
          <w:lang w:eastAsia="zh-CN"/>
        </w:rPr>
        <w:t>：</w:t>
      </w:r>
      <w:r w:rsidR="006168FE" w:rsidRPr="006168FE">
        <w:rPr>
          <w:rFonts w:hint="eastAsia"/>
          <w:b/>
          <w:lang w:eastAsia="zh-CN"/>
        </w:rPr>
        <w:t>数字货币应用和标准需求</w:t>
      </w:r>
      <w:r w:rsidR="006168FE">
        <w:rPr>
          <w:rFonts w:hint="eastAsia"/>
          <w:szCs w:val="24"/>
          <w:lang w:val="en-US" w:eastAsia="zh-CN"/>
        </w:rPr>
        <w:t>，</w:t>
      </w:r>
      <w:r w:rsidR="006168FE" w:rsidRPr="00DE3212">
        <w:rPr>
          <w:szCs w:val="24"/>
          <w:lang w:val="en-US" w:eastAsia="zh-CN"/>
        </w:rPr>
        <w:t>2020</w:t>
      </w:r>
      <w:r w:rsidR="006168FE">
        <w:rPr>
          <w:rFonts w:hint="eastAsia"/>
          <w:szCs w:val="24"/>
          <w:lang w:val="en-US" w:eastAsia="zh-CN"/>
        </w:rPr>
        <w:t>年</w:t>
      </w:r>
      <w:r w:rsidR="006168FE">
        <w:rPr>
          <w:rFonts w:hint="eastAsia"/>
          <w:szCs w:val="24"/>
          <w:lang w:val="en-US" w:eastAsia="zh-CN"/>
        </w:rPr>
        <w:t>6</w:t>
      </w:r>
      <w:r w:rsidR="006168FE">
        <w:rPr>
          <w:rFonts w:hint="eastAsia"/>
          <w:szCs w:val="24"/>
          <w:lang w:val="en-US" w:eastAsia="zh-CN"/>
        </w:rPr>
        <w:t>月</w:t>
      </w:r>
      <w:r w:rsidR="006168FE">
        <w:rPr>
          <w:rFonts w:hint="eastAsia"/>
          <w:szCs w:val="24"/>
          <w:lang w:val="en-US" w:eastAsia="zh-CN"/>
        </w:rPr>
        <w:t>29</w:t>
      </w:r>
      <w:r w:rsidR="006168FE">
        <w:rPr>
          <w:rFonts w:hint="eastAsia"/>
          <w:szCs w:val="24"/>
          <w:lang w:val="en-US" w:eastAsia="zh-CN"/>
        </w:rPr>
        <w:t>日下午</w:t>
      </w:r>
      <w:r w:rsidR="006168FE">
        <w:rPr>
          <w:szCs w:val="24"/>
          <w:lang w:val="en-US" w:eastAsia="zh-CN"/>
        </w:rPr>
        <w:t>4:00 – 5:45</w:t>
      </w:r>
      <w:r w:rsidR="006168FE">
        <w:rPr>
          <w:rFonts w:hint="eastAsia"/>
          <w:szCs w:val="24"/>
          <w:lang w:val="en-US" w:eastAsia="zh-CN"/>
        </w:rPr>
        <w:t>中欧夏令时</w:t>
      </w:r>
    </w:p>
    <w:p w14:paraId="51FC826D" w14:textId="6C49DDFD" w:rsidR="00DE3212" w:rsidRPr="00777BDB" w:rsidRDefault="00DE3212" w:rsidP="00DE3212">
      <w:pPr>
        <w:spacing w:after="120"/>
        <w:ind w:left="720" w:right="893" w:hanging="432"/>
        <w:rPr>
          <w:rFonts w:cs="Calibri"/>
          <w:szCs w:val="24"/>
          <w:lang w:val="en-US" w:eastAsia="zh-CN"/>
        </w:rPr>
      </w:pPr>
      <w:r>
        <w:rPr>
          <w:szCs w:val="24"/>
          <w:lang w:val="en-US" w:eastAsia="zh-CN"/>
        </w:rPr>
        <w:t>e)</w:t>
      </w:r>
      <w:r>
        <w:rPr>
          <w:szCs w:val="24"/>
          <w:lang w:val="en-US" w:eastAsia="zh-CN"/>
        </w:rPr>
        <w:tab/>
      </w:r>
      <w:r w:rsidR="006168FE">
        <w:rPr>
          <w:rFonts w:hint="eastAsia"/>
          <w:szCs w:val="24"/>
          <w:lang w:eastAsia="zh-CN"/>
        </w:rPr>
        <w:t>第</w:t>
      </w:r>
      <w:r w:rsidR="006168FE">
        <w:rPr>
          <w:rFonts w:hint="eastAsia"/>
          <w:szCs w:val="24"/>
          <w:lang w:eastAsia="zh-CN"/>
        </w:rPr>
        <w:t>8</w:t>
      </w:r>
      <w:r w:rsidR="006168FE">
        <w:rPr>
          <w:rFonts w:hint="eastAsia"/>
          <w:szCs w:val="24"/>
          <w:lang w:eastAsia="zh-CN"/>
        </w:rPr>
        <w:t>期</w:t>
      </w:r>
      <w:r w:rsidR="00B10CE5">
        <w:rPr>
          <w:rFonts w:hint="eastAsia"/>
          <w:szCs w:val="24"/>
          <w:lang w:eastAsia="zh-CN"/>
        </w:rPr>
        <w:t>：</w:t>
      </w:r>
      <w:r w:rsidR="00913811" w:rsidRPr="00913811">
        <w:rPr>
          <w:rFonts w:hint="eastAsia"/>
          <w:b/>
          <w:szCs w:val="24"/>
          <w:lang w:val="en-US" w:eastAsia="zh-CN"/>
        </w:rPr>
        <w:t>数字金融犯罪和</w:t>
      </w:r>
      <w:r w:rsidR="00B732E3">
        <w:rPr>
          <w:rFonts w:hint="eastAsia"/>
          <w:b/>
          <w:szCs w:val="24"/>
          <w:lang w:val="en-US" w:eastAsia="zh-CN"/>
        </w:rPr>
        <w:t>诈骗</w:t>
      </w:r>
      <w:r w:rsidR="00913811" w:rsidRPr="00913811">
        <w:rPr>
          <w:rFonts w:hint="eastAsia"/>
          <w:b/>
          <w:szCs w:val="24"/>
          <w:lang w:val="en-US" w:eastAsia="zh-CN"/>
        </w:rPr>
        <w:t>的处理</w:t>
      </w:r>
      <w:r w:rsidR="00913811">
        <w:rPr>
          <w:rFonts w:cs="Calibri" w:hint="eastAsia"/>
          <w:szCs w:val="24"/>
          <w:lang w:val="en-US" w:eastAsia="zh-CN"/>
        </w:rPr>
        <w:t>，</w:t>
      </w:r>
      <w:r w:rsidR="006168FE" w:rsidRPr="00DE3212">
        <w:rPr>
          <w:szCs w:val="24"/>
          <w:lang w:val="en-US" w:eastAsia="zh-CN"/>
        </w:rPr>
        <w:t>2020</w:t>
      </w:r>
      <w:r w:rsidR="006168FE">
        <w:rPr>
          <w:rFonts w:hint="eastAsia"/>
          <w:szCs w:val="24"/>
          <w:lang w:val="en-US" w:eastAsia="zh-CN"/>
        </w:rPr>
        <w:t>年</w:t>
      </w:r>
      <w:r w:rsidR="006168FE">
        <w:rPr>
          <w:rFonts w:hint="eastAsia"/>
          <w:szCs w:val="24"/>
          <w:lang w:val="en-US" w:eastAsia="zh-CN"/>
        </w:rPr>
        <w:t>6</w:t>
      </w:r>
      <w:r w:rsidR="006168FE">
        <w:rPr>
          <w:rFonts w:hint="eastAsia"/>
          <w:szCs w:val="24"/>
          <w:lang w:val="en-US" w:eastAsia="zh-CN"/>
        </w:rPr>
        <w:t>月</w:t>
      </w:r>
      <w:r w:rsidR="006C71F4">
        <w:rPr>
          <w:rFonts w:hint="eastAsia"/>
          <w:szCs w:val="24"/>
          <w:lang w:val="en-US" w:eastAsia="zh-CN"/>
        </w:rPr>
        <w:t>30</w:t>
      </w:r>
      <w:r w:rsidR="006168FE">
        <w:rPr>
          <w:rFonts w:hint="eastAsia"/>
          <w:szCs w:val="24"/>
          <w:lang w:val="en-US" w:eastAsia="zh-CN"/>
        </w:rPr>
        <w:t>日下午</w:t>
      </w:r>
      <w:r w:rsidR="006168FE" w:rsidRPr="00DE3212">
        <w:rPr>
          <w:szCs w:val="24"/>
          <w:lang w:val="en-US" w:eastAsia="zh-CN"/>
        </w:rPr>
        <w:t>3:00 – 4:30</w:t>
      </w:r>
      <w:r w:rsidR="006168FE">
        <w:rPr>
          <w:rFonts w:hint="eastAsia"/>
          <w:szCs w:val="24"/>
          <w:lang w:val="en-US" w:eastAsia="zh-CN"/>
        </w:rPr>
        <w:t>中欧夏令时</w:t>
      </w:r>
    </w:p>
    <w:bookmarkEnd w:id="7"/>
    <w:p w14:paraId="742E52F0" w14:textId="710425E5" w:rsidR="00DE3212" w:rsidRPr="00566A37" w:rsidRDefault="00DE3212" w:rsidP="00DE3212">
      <w:pPr>
        <w:jc w:val="both"/>
        <w:rPr>
          <w:szCs w:val="24"/>
          <w:lang w:val="en-US" w:eastAsia="zh-CN"/>
        </w:rPr>
      </w:pPr>
      <w:r>
        <w:rPr>
          <w:lang w:eastAsia="zh-CN"/>
        </w:rPr>
        <w:t>2</w:t>
      </w:r>
      <w:r w:rsidRPr="00777BDB">
        <w:rPr>
          <w:lang w:eastAsia="zh-CN"/>
        </w:rPr>
        <w:tab/>
      </w:r>
      <w:proofErr w:type="gramStart"/>
      <w:r w:rsidR="00913811">
        <w:rPr>
          <w:rFonts w:hint="eastAsia"/>
          <w:lang w:eastAsia="zh-CN"/>
        </w:rPr>
        <w:t>有关“</w:t>
      </w:r>
      <w:proofErr w:type="gramEnd"/>
      <w:r w:rsidR="00913811" w:rsidRPr="006168FE">
        <w:rPr>
          <w:rFonts w:hint="eastAsia"/>
          <w:b/>
          <w:szCs w:val="24"/>
          <w:lang w:eastAsia="zh-CN"/>
        </w:rPr>
        <w:t>数字信贷和消费者保护</w:t>
      </w:r>
      <w:r w:rsidR="00913811">
        <w:rPr>
          <w:rFonts w:hint="eastAsia"/>
          <w:b/>
          <w:szCs w:val="24"/>
          <w:lang w:eastAsia="zh-CN"/>
        </w:rPr>
        <w:t>”</w:t>
      </w:r>
      <w:r w:rsidR="00913811">
        <w:rPr>
          <w:rFonts w:hint="eastAsia"/>
          <w:szCs w:val="24"/>
          <w:lang w:eastAsia="zh-CN"/>
        </w:rPr>
        <w:t>的第四季</w:t>
      </w:r>
      <w:r w:rsidR="00913811" w:rsidRPr="00566A37">
        <w:rPr>
          <w:szCs w:val="24"/>
          <w:lang w:val="en-US" w:eastAsia="zh-CN"/>
        </w:rPr>
        <w:t>将</w:t>
      </w:r>
      <w:r w:rsidR="00566A37">
        <w:rPr>
          <w:rFonts w:hint="eastAsia"/>
          <w:szCs w:val="24"/>
          <w:lang w:val="en-US" w:eastAsia="zh-CN"/>
        </w:rPr>
        <w:t>探讨</w:t>
      </w:r>
      <w:r w:rsidR="00913811" w:rsidRPr="00566A37">
        <w:rPr>
          <w:szCs w:val="24"/>
          <w:lang w:val="en-US" w:eastAsia="zh-CN"/>
        </w:rPr>
        <w:t>数字信贷如何</w:t>
      </w:r>
      <w:r w:rsidR="00566A37">
        <w:rPr>
          <w:rFonts w:hint="eastAsia"/>
          <w:szCs w:val="24"/>
          <w:lang w:val="en-US" w:eastAsia="zh-CN"/>
        </w:rPr>
        <w:t>使</w:t>
      </w:r>
      <w:r w:rsidR="00913811" w:rsidRPr="00566A37">
        <w:rPr>
          <w:szCs w:val="24"/>
          <w:lang w:val="en-US" w:eastAsia="zh-CN"/>
        </w:rPr>
        <w:t>消费者获得</w:t>
      </w:r>
      <w:r w:rsidR="00566A37" w:rsidRPr="00566A37">
        <w:rPr>
          <w:szCs w:val="24"/>
          <w:lang w:val="en-US" w:eastAsia="zh-CN"/>
        </w:rPr>
        <w:t>他们同意在指定的时间内偿还</w:t>
      </w:r>
      <w:r w:rsidR="00566A37">
        <w:rPr>
          <w:rFonts w:hint="eastAsia"/>
          <w:szCs w:val="24"/>
          <w:lang w:val="en-US" w:eastAsia="zh-CN"/>
        </w:rPr>
        <w:t>的</w:t>
      </w:r>
      <w:r w:rsidR="00913811" w:rsidRPr="00566A37">
        <w:rPr>
          <w:szCs w:val="24"/>
          <w:lang w:val="en-US" w:eastAsia="zh-CN"/>
        </w:rPr>
        <w:t>信贷额度或预付款。贷款决策</w:t>
      </w:r>
      <w:r w:rsidR="00566A37">
        <w:rPr>
          <w:rFonts w:hint="eastAsia"/>
          <w:szCs w:val="24"/>
          <w:lang w:val="en-US" w:eastAsia="zh-CN"/>
        </w:rPr>
        <w:t>实行</w:t>
      </w:r>
      <w:r w:rsidR="00913811" w:rsidRPr="00566A37">
        <w:rPr>
          <w:szCs w:val="24"/>
          <w:lang w:val="en-US" w:eastAsia="zh-CN"/>
        </w:rPr>
        <w:t>自动化，可以利用传统的数据来源，如人口概况和信贷局数据，以及非传统的数字数据，如电信数据</w:t>
      </w:r>
      <w:r w:rsidR="008B1FC4">
        <w:rPr>
          <w:szCs w:val="24"/>
          <w:lang w:val="en-US" w:eastAsia="zh-CN"/>
        </w:rPr>
        <w:t>（</w:t>
      </w:r>
      <w:r w:rsidR="00913811" w:rsidRPr="00566A37">
        <w:rPr>
          <w:szCs w:val="24"/>
          <w:lang w:val="en-US" w:eastAsia="zh-CN"/>
        </w:rPr>
        <w:t>语音、</w:t>
      </w:r>
      <w:r w:rsidR="00566A37">
        <w:rPr>
          <w:rFonts w:hint="eastAsia"/>
          <w:szCs w:val="24"/>
          <w:lang w:val="en-US" w:eastAsia="zh-CN"/>
        </w:rPr>
        <w:t>通话</w:t>
      </w:r>
      <w:r w:rsidR="00913811" w:rsidRPr="00566A37">
        <w:rPr>
          <w:szCs w:val="24"/>
          <w:lang w:val="en-US" w:eastAsia="zh-CN"/>
        </w:rPr>
        <w:t>时间</w:t>
      </w:r>
      <w:r w:rsidR="008B1FC4">
        <w:rPr>
          <w:szCs w:val="24"/>
          <w:lang w:val="en-US" w:eastAsia="zh-CN"/>
        </w:rPr>
        <w:t>）</w:t>
      </w:r>
      <w:r w:rsidR="00913811" w:rsidRPr="00566A37">
        <w:rPr>
          <w:szCs w:val="24"/>
          <w:lang w:val="en-US" w:eastAsia="zh-CN"/>
        </w:rPr>
        <w:t>、金融交易数据和社交媒体数据。会议将审查</w:t>
      </w:r>
      <w:r w:rsidR="00913811" w:rsidRPr="00566A37">
        <w:rPr>
          <w:szCs w:val="24"/>
          <w:lang w:val="en-US" w:eastAsia="zh-CN"/>
        </w:rPr>
        <w:t>COVID-19</w:t>
      </w:r>
      <w:r w:rsidR="00566A37">
        <w:rPr>
          <w:rFonts w:hint="eastAsia"/>
          <w:szCs w:val="24"/>
          <w:lang w:val="en-US" w:eastAsia="zh-CN"/>
        </w:rPr>
        <w:t>疫情在</w:t>
      </w:r>
      <w:r w:rsidR="00913811" w:rsidRPr="00566A37">
        <w:rPr>
          <w:szCs w:val="24"/>
          <w:lang w:val="en-US" w:eastAsia="zh-CN"/>
        </w:rPr>
        <w:t>大流行</w:t>
      </w:r>
      <w:r w:rsidR="006C71F4">
        <w:rPr>
          <w:rFonts w:hint="eastAsia"/>
          <w:szCs w:val="24"/>
          <w:lang w:val="en-US" w:eastAsia="zh-CN"/>
        </w:rPr>
        <w:t>期间</w:t>
      </w:r>
      <w:r w:rsidR="00913811" w:rsidRPr="00566A37">
        <w:rPr>
          <w:szCs w:val="24"/>
          <w:lang w:val="en-US" w:eastAsia="zh-CN"/>
        </w:rPr>
        <w:t>对数字信贷和消费者保护实践的影响。</w:t>
      </w:r>
    </w:p>
    <w:p w14:paraId="3030ADAF" w14:textId="2AD5439E" w:rsidR="00DE3212" w:rsidRDefault="00DE3212" w:rsidP="00DE3212">
      <w:pPr>
        <w:jc w:val="both"/>
        <w:rPr>
          <w:rFonts w:cs="Calibri"/>
          <w:szCs w:val="24"/>
          <w:shd w:val="clear" w:color="auto" w:fill="FFFFFF"/>
          <w:lang w:eastAsia="zh-CN"/>
        </w:rPr>
      </w:pPr>
      <w:r>
        <w:rPr>
          <w:rFonts w:cs="Calibri"/>
          <w:szCs w:val="24"/>
          <w:shd w:val="clear" w:color="auto" w:fill="FFFFFF"/>
          <w:lang w:eastAsia="zh-CN"/>
        </w:rPr>
        <w:lastRenderedPageBreak/>
        <w:t>3</w:t>
      </w:r>
      <w:r w:rsidRPr="00777BDB">
        <w:rPr>
          <w:rFonts w:cs="Calibri"/>
          <w:szCs w:val="24"/>
          <w:shd w:val="clear" w:color="auto" w:fill="FFFFFF"/>
          <w:lang w:eastAsia="zh-CN"/>
        </w:rPr>
        <w:tab/>
      </w:r>
      <w:proofErr w:type="gramStart"/>
      <w:r w:rsidR="00566A37" w:rsidRPr="00566A37">
        <w:rPr>
          <w:szCs w:val="24"/>
          <w:lang w:val="en-US" w:eastAsia="zh-CN"/>
        </w:rPr>
        <w:t>第五</w:t>
      </w:r>
      <w:r w:rsidR="00566A37">
        <w:rPr>
          <w:rFonts w:hint="eastAsia"/>
          <w:szCs w:val="24"/>
          <w:lang w:val="en-US" w:eastAsia="zh-CN"/>
        </w:rPr>
        <w:t>期</w:t>
      </w:r>
      <w:r w:rsidR="00566A37" w:rsidRPr="00566A37">
        <w:rPr>
          <w:szCs w:val="24"/>
          <w:lang w:val="en-US" w:eastAsia="zh-CN"/>
        </w:rPr>
        <w:t>将聚焦于</w:t>
      </w:r>
      <w:r w:rsidR="008B1FC4" w:rsidRPr="008B1FC4">
        <w:rPr>
          <w:rFonts w:ascii="SimSun" w:hAnsi="SimSun"/>
          <w:szCs w:val="24"/>
          <w:lang w:val="en-US" w:eastAsia="zh-CN"/>
        </w:rPr>
        <w:t>“</w:t>
      </w:r>
      <w:proofErr w:type="gramEnd"/>
      <w:r w:rsidR="00566A37" w:rsidRPr="00566A37">
        <w:rPr>
          <w:b/>
          <w:szCs w:val="24"/>
          <w:lang w:val="en-US" w:eastAsia="zh-CN"/>
        </w:rPr>
        <w:t>数字信贷技术和金融包容性</w:t>
      </w:r>
      <w:r w:rsidR="008B1FC4" w:rsidRPr="008B1FC4">
        <w:rPr>
          <w:rFonts w:ascii="SimSun" w:hAnsi="SimSun"/>
          <w:szCs w:val="24"/>
          <w:lang w:val="en-US" w:eastAsia="zh-CN"/>
        </w:rPr>
        <w:t>”</w:t>
      </w:r>
      <w:r w:rsidR="00566A37" w:rsidRPr="00566A37">
        <w:rPr>
          <w:szCs w:val="24"/>
          <w:lang w:val="en-US" w:eastAsia="zh-CN"/>
        </w:rPr>
        <w:t>。会议将探讨数字信贷技术的创新和新兴趋势，以及对新兴经济体金融包容性的影响。</w:t>
      </w:r>
    </w:p>
    <w:p w14:paraId="5683ED03" w14:textId="76A7CC93" w:rsidR="00DE3212" w:rsidRDefault="00DE3212" w:rsidP="00DE3212">
      <w:pPr>
        <w:jc w:val="both"/>
        <w:rPr>
          <w:rFonts w:cs="Calibri"/>
          <w:b/>
          <w:bCs/>
          <w:szCs w:val="24"/>
          <w:lang w:val="en-US" w:eastAsia="zh-CN"/>
        </w:rPr>
      </w:pPr>
      <w:r>
        <w:rPr>
          <w:rFonts w:cs="Calibri"/>
          <w:szCs w:val="24"/>
          <w:shd w:val="clear" w:color="auto" w:fill="FFFFFF"/>
          <w:lang w:eastAsia="zh-CN"/>
        </w:rPr>
        <w:t>4</w:t>
      </w:r>
      <w:r>
        <w:rPr>
          <w:rFonts w:cs="Calibri"/>
          <w:szCs w:val="24"/>
          <w:shd w:val="clear" w:color="auto" w:fill="FFFFFF"/>
          <w:lang w:eastAsia="zh-CN"/>
        </w:rPr>
        <w:tab/>
      </w:r>
      <w:proofErr w:type="gramStart"/>
      <w:r w:rsidR="00B732E3" w:rsidRPr="00566A37">
        <w:rPr>
          <w:szCs w:val="24"/>
          <w:lang w:val="en-US" w:eastAsia="zh-CN"/>
        </w:rPr>
        <w:t>第六</w:t>
      </w:r>
      <w:r w:rsidR="00B732E3">
        <w:rPr>
          <w:rFonts w:hint="eastAsia"/>
          <w:szCs w:val="24"/>
          <w:lang w:val="en-US" w:eastAsia="zh-CN"/>
        </w:rPr>
        <w:t>期</w:t>
      </w:r>
      <w:r w:rsidR="00B732E3" w:rsidRPr="00566A37">
        <w:rPr>
          <w:szCs w:val="24"/>
          <w:lang w:val="en-US" w:eastAsia="zh-CN"/>
        </w:rPr>
        <w:t>将</w:t>
      </w:r>
      <w:r w:rsidR="00B732E3">
        <w:rPr>
          <w:rFonts w:hint="eastAsia"/>
          <w:szCs w:val="24"/>
          <w:lang w:val="en-US" w:eastAsia="zh-CN"/>
        </w:rPr>
        <w:t>侧重</w:t>
      </w:r>
      <w:r w:rsidR="00B732E3" w:rsidRPr="00566A37">
        <w:rPr>
          <w:szCs w:val="24"/>
          <w:lang w:val="en-US" w:eastAsia="zh-CN"/>
        </w:rPr>
        <w:t>于</w:t>
      </w:r>
      <w:r w:rsidR="008B1FC4" w:rsidRPr="008B1FC4">
        <w:rPr>
          <w:rFonts w:ascii="SimSun" w:hAnsi="SimSun"/>
          <w:szCs w:val="24"/>
          <w:lang w:val="en-US" w:eastAsia="zh-CN"/>
        </w:rPr>
        <w:t>“</w:t>
      </w:r>
      <w:proofErr w:type="gramEnd"/>
      <w:r w:rsidR="00B732E3" w:rsidRPr="00566A37">
        <w:rPr>
          <w:b/>
          <w:szCs w:val="24"/>
          <w:lang w:val="en-US" w:eastAsia="zh-CN"/>
        </w:rPr>
        <w:t>央行数字货币和数字金融包容性</w:t>
      </w:r>
      <w:r w:rsidR="008B1FC4" w:rsidRPr="008B1FC4">
        <w:rPr>
          <w:rFonts w:ascii="SimSun" w:hAnsi="SimSun"/>
          <w:szCs w:val="24"/>
          <w:lang w:val="en-US" w:eastAsia="zh-CN"/>
        </w:rPr>
        <w:t>”</w:t>
      </w:r>
      <w:r w:rsidR="00B732E3" w:rsidRPr="00566A37">
        <w:rPr>
          <w:szCs w:val="24"/>
          <w:lang w:val="en-US" w:eastAsia="zh-CN"/>
        </w:rPr>
        <w:t>。</w:t>
      </w:r>
      <w:r w:rsidR="00B732E3">
        <w:rPr>
          <w:rFonts w:hint="eastAsia"/>
          <w:szCs w:val="24"/>
          <w:lang w:val="en-US" w:eastAsia="zh-CN"/>
        </w:rPr>
        <w:t>这期</w:t>
      </w:r>
      <w:r w:rsidR="00B732E3">
        <w:rPr>
          <w:szCs w:val="24"/>
          <w:lang w:val="en-US" w:eastAsia="zh-CN"/>
        </w:rPr>
        <w:t>将考虑什么是数字货币的不同概念，包括央</w:t>
      </w:r>
      <w:r w:rsidR="00B732E3" w:rsidRPr="00566A37">
        <w:rPr>
          <w:szCs w:val="24"/>
          <w:lang w:val="en-US" w:eastAsia="zh-CN"/>
        </w:rPr>
        <w:t>行数字货币在内的数字货币的各种用</w:t>
      </w:r>
      <w:r w:rsidR="00B732E3">
        <w:rPr>
          <w:rFonts w:hint="eastAsia"/>
          <w:szCs w:val="24"/>
          <w:lang w:val="en-US" w:eastAsia="zh-CN"/>
        </w:rPr>
        <w:t>例</w:t>
      </w:r>
      <w:r w:rsidR="00B732E3" w:rsidRPr="00566A37">
        <w:rPr>
          <w:szCs w:val="24"/>
          <w:lang w:val="en-US" w:eastAsia="zh-CN"/>
        </w:rPr>
        <w:t>，</w:t>
      </w:r>
      <w:r w:rsidR="00B732E3">
        <w:rPr>
          <w:szCs w:val="24"/>
          <w:lang w:val="en-US" w:eastAsia="zh-CN"/>
        </w:rPr>
        <w:t>并提供关于数字货币的部署及其应用的最新情况。特别是，会议将审查央</w:t>
      </w:r>
      <w:r w:rsidR="00B732E3" w:rsidRPr="00566A37">
        <w:rPr>
          <w:szCs w:val="24"/>
          <w:lang w:val="en-US" w:eastAsia="zh-CN"/>
        </w:rPr>
        <w:t>行数字货币是否有助于缩小金融包容性差距。</w:t>
      </w:r>
    </w:p>
    <w:p w14:paraId="1E286F26" w14:textId="1E602CE6" w:rsidR="00DE3212" w:rsidRDefault="00DE3212" w:rsidP="00DE3212">
      <w:pPr>
        <w:jc w:val="both"/>
        <w:rPr>
          <w:rFonts w:cs="Calibri"/>
          <w:szCs w:val="24"/>
          <w:shd w:val="clear" w:color="auto" w:fill="FFFFFF"/>
          <w:lang w:eastAsia="zh-CN"/>
        </w:rPr>
      </w:pPr>
      <w:r>
        <w:rPr>
          <w:rFonts w:cs="Calibri"/>
          <w:szCs w:val="24"/>
          <w:shd w:val="clear" w:color="auto" w:fill="FFFFFF"/>
          <w:lang w:eastAsia="zh-CN"/>
        </w:rPr>
        <w:t>5</w:t>
      </w:r>
      <w:r>
        <w:rPr>
          <w:rFonts w:cs="Calibri"/>
          <w:szCs w:val="24"/>
          <w:shd w:val="clear" w:color="auto" w:fill="FFFFFF"/>
          <w:lang w:eastAsia="zh-CN"/>
        </w:rPr>
        <w:tab/>
      </w:r>
      <w:proofErr w:type="gramStart"/>
      <w:r w:rsidR="00B732E3" w:rsidRPr="00566A37">
        <w:rPr>
          <w:szCs w:val="24"/>
          <w:lang w:val="en-US" w:eastAsia="zh-CN"/>
        </w:rPr>
        <w:t>第七</w:t>
      </w:r>
      <w:r w:rsidR="00B732E3">
        <w:rPr>
          <w:rFonts w:hint="eastAsia"/>
          <w:szCs w:val="24"/>
          <w:lang w:val="en-US" w:eastAsia="zh-CN"/>
        </w:rPr>
        <w:t>期</w:t>
      </w:r>
      <w:r w:rsidR="00B732E3" w:rsidRPr="00566A37">
        <w:rPr>
          <w:szCs w:val="24"/>
          <w:lang w:val="en-US" w:eastAsia="zh-CN"/>
        </w:rPr>
        <w:t>将聚焦于</w:t>
      </w:r>
      <w:r w:rsidR="008B1FC4" w:rsidRPr="008B1FC4">
        <w:rPr>
          <w:rFonts w:ascii="SimSun" w:hAnsi="SimSun"/>
          <w:szCs w:val="24"/>
          <w:lang w:val="en-US" w:eastAsia="zh-CN"/>
        </w:rPr>
        <w:t>“</w:t>
      </w:r>
      <w:proofErr w:type="gramEnd"/>
      <w:r w:rsidR="00B732E3" w:rsidRPr="00B732E3">
        <w:rPr>
          <w:b/>
          <w:szCs w:val="24"/>
          <w:lang w:val="en-US" w:eastAsia="zh-CN"/>
        </w:rPr>
        <w:t>数字货币应用和标准需求</w:t>
      </w:r>
      <w:r w:rsidR="008B1FC4" w:rsidRPr="008B1FC4">
        <w:rPr>
          <w:rFonts w:ascii="SimSun" w:hAnsi="SimSun"/>
          <w:szCs w:val="24"/>
          <w:lang w:val="en-US" w:eastAsia="zh-CN"/>
        </w:rPr>
        <w:t>”</w:t>
      </w:r>
      <w:r w:rsidR="00B732E3" w:rsidRPr="00566A37">
        <w:rPr>
          <w:szCs w:val="24"/>
          <w:lang w:val="en-US" w:eastAsia="zh-CN"/>
        </w:rPr>
        <w:t>。</w:t>
      </w:r>
      <w:r w:rsidR="00B732E3">
        <w:rPr>
          <w:rFonts w:hint="eastAsia"/>
          <w:szCs w:val="24"/>
          <w:lang w:val="en-US" w:eastAsia="zh-CN"/>
        </w:rPr>
        <w:t>这期</w:t>
      </w:r>
      <w:r w:rsidR="00B732E3" w:rsidRPr="00566A37">
        <w:rPr>
          <w:szCs w:val="24"/>
          <w:lang w:val="en-US" w:eastAsia="zh-CN"/>
        </w:rPr>
        <w:t>将考虑数字货币的不同用例和应用，包括央行数字货币及其背后的技术。将特别讨论</w:t>
      </w:r>
      <w:r w:rsidR="00B732E3">
        <w:rPr>
          <w:rFonts w:hint="eastAsia"/>
          <w:szCs w:val="24"/>
          <w:lang w:val="en-US" w:eastAsia="zh-CN"/>
        </w:rPr>
        <w:t>为实现</w:t>
      </w:r>
      <w:r w:rsidR="00B732E3" w:rsidRPr="00566A37">
        <w:rPr>
          <w:szCs w:val="24"/>
          <w:lang w:val="en-US" w:eastAsia="zh-CN"/>
        </w:rPr>
        <w:t>互操作性、治理和安全性</w:t>
      </w:r>
      <w:r w:rsidR="00B732E3">
        <w:rPr>
          <w:rFonts w:hint="eastAsia"/>
          <w:szCs w:val="24"/>
          <w:lang w:val="en-US" w:eastAsia="zh-CN"/>
        </w:rPr>
        <w:t>而对</w:t>
      </w:r>
      <w:r w:rsidR="00B732E3" w:rsidRPr="00566A37">
        <w:rPr>
          <w:szCs w:val="24"/>
          <w:lang w:val="en-US" w:eastAsia="zh-CN"/>
        </w:rPr>
        <w:t>标准的需求。</w:t>
      </w:r>
    </w:p>
    <w:p w14:paraId="513AC08F" w14:textId="1D395F34" w:rsidR="00B732E3" w:rsidRPr="00566A37" w:rsidRDefault="00DE3212" w:rsidP="00B732E3">
      <w:pPr>
        <w:jc w:val="both"/>
        <w:rPr>
          <w:szCs w:val="24"/>
          <w:lang w:val="en-US" w:eastAsia="zh-CN"/>
        </w:rPr>
      </w:pPr>
      <w:r>
        <w:rPr>
          <w:rFonts w:cs="Calibri"/>
          <w:szCs w:val="24"/>
          <w:shd w:val="clear" w:color="auto" w:fill="FFFFFF"/>
          <w:lang w:eastAsia="zh-CN"/>
        </w:rPr>
        <w:t>6</w:t>
      </w:r>
      <w:r>
        <w:rPr>
          <w:rFonts w:cs="Calibri"/>
          <w:szCs w:val="24"/>
          <w:shd w:val="clear" w:color="auto" w:fill="FFFFFF"/>
          <w:lang w:eastAsia="zh-CN"/>
        </w:rPr>
        <w:tab/>
      </w:r>
      <w:r w:rsidR="00B732E3" w:rsidRPr="00566A37">
        <w:rPr>
          <w:szCs w:val="24"/>
          <w:lang w:val="en-US" w:eastAsia="zh-CN"/>
        </w:rPr>
        <w:t>在第八</w:t>
      </w:r>
      <w:r w:rsidR="00B732E3">
        <w:rPr>
          <w:rFonts w:hint="eastAsia"/>
          <w:szCs w:val="24"/>
          <w:lang w:val="en-US" w:eastAsia="zh-CN"/>
        </w:rPr>
        <w:t>期</w:t>
      </w:r>
      <w:r w:rsidR="00B732E3" w:rsidRPr="00566A37">
        <w:rPr>
          <w:szCs w:val="24"/>
          <w:lang w:val="en-US" w:eastAsia="zh-CN"/>
        </w:rPr>
        <w:t>，</w:t>
      </w:r>
      <w:proofErr w:type="gramStart"/>
      <w:r w:rsidR="00B732E3" w:rsidRPr="00566A37">
        <w:rPr>
          <w:szCs w:val="24"/>
          <w:lang w:val="en-US" w:eastAsia="zh-CN"/>
        </w:rPr>
        <w:t>讨论将集中在</w:t>
      </w:r>
      <w:r w:rsidR="008B1FC4" w:rsidRPr="008B1FC4">
        <w:rPr>
          <w:rFonts w:ascii="SimSun" w:hAnsi="SimSun"/>
          <w:szCs w:val="24"/>
          <w:lang w:val="en-US" w:eastAsia="zh-CN"/>
        </w:rPr>
        <w:t>“</w:t>
      </w:r>
      <w:proofErr w:type="gramEnd"/>
      <w:r w:rsidR="00B732E3" w:rsidRPr="00B732E3">
        <w:rPr>
          <w:b/>
          <w:szCs w:val="24"/>
          <w:lang w:val="en-US" w:eastAsia="zh-CN"/>
        </w:rPr>
        <w:t>数字金融犯罪和诈骗的处理</w:t>
      </w:r>
      <w:r w:rsidR="008B1FC4" w:rsidRPr="008B1FC4">
        <w:rPr>
          <w:rFonts w:ascii="SimSun" w:hAnsi="SimSun"/>
          <w:szCs w:val="24"/>
          <w:lang w:val="en-US" w:eastAsia="zh-CN"/>
        </w:rPr>
        <w:t>”</w:t>
      </w:r>
      <w:r w:rsidR="00B732E3" w:rsidRPr="00566A37">
        <w:rPr>
          <w:szCs w:val="24"/>
          <w:lang w:val="en-US" w:eastAsia="zh-CN"/>
        </w:rPr>
        <w:t>。</w:t>
      </w:r>
      <w:r w:rsidR="00B732E3">
        <w:rPr>
          <w:rFonts w:hint="eastAsia"/>
          <w:szCs w:val="24"/>
          <w:lang w:val="en-US" w:eastAsia="zh-CN"/>
        </w:rPr>
        <w:t>诈骗</w:t>
      </w:r>
      <w:r w:rsidR="00B732E3">
        <w:rPr>
          <w:szCs w:val="24"/>
          <w:lang w:val="en-US" w:eastAsia="zh-CN"/>
        </w:rPr>
        <w:t>者</w:t>
      </w:r>
      <w:r w:rsidR="00B732E3" w:rsidRPr="00566A37">
        <w:rPr>
          <w:szCs w:val="24"/>
          <w:lang w:val="en-US" w:eastAsia="zh-CN"/>
        </w:rPr>
        <w:t>利用冠状病毒</w:t>
      </w:r>
      <w:r w:rsidR="00B7296B">
        <w:rPr>
          <w:szCs w:val="24"/>
          <w:lang w:val="en-US" w:eastAsia="zh-CN"/>
        </w:rPr>
        <w:t>（</w:t>
      </w:r>
      <w:r w:rsidR="00B732E3" w:rsidRPr="00566A37">
        <w:rPr>
          <w:szCs w:val="24"/>
          <w:lang w:val="en-US" w:eastAsia="zh-CN"/>
        </w:rPr>
        <w:t>COVID-19</w:t>
      </w:r>
      <w:r w:rsidR="00B7296B">
        <w:rPr>
          <w:szCs w:val="24"/>
          <w:lang w:val="en-US" w:eastAsia="zh-CN"/>
        </w:rPr>
        <w:t>）</w:t>
      </w:r>
      <w:r w:rsidR="00B732E3" w:rsidRPr="00566A37">
        <w:rPr>
          <w:szCs w:val="24"/>
          <w:lang w:val="en-US" w:eastAsia="zh-CN"/>
        </w:rPr>
        <w:t>的传播实施欺诈和网络犯罪。执法当局报告了</w:t>
      </w:r>
      <w:r w:rsidR="00B732E3">
        <w:rPr>
          <w:rFonts w:hint="eastAsia"/>
          <w:szCs w:val="24"/>
          <w:lang w:val="en-US" w:eastAsia="zh-CN"/>
        </w:rPr>
        <w:t>与</w:t>
      </w:r>
      <w:r w:rsidR="00B732E3" w:rsidRPr="00566A37">
        <w:rPr>
          <w:szCs w:val="24"/>
          <w:lang w:val="en-US" w:eastAsia="zh-CN"/>
        </w:rPr>
        <w:t>冠状病毒相关</w:t>
      </w:r>
      <w:r w:rsidR="00B732E3">
        <w:rPr>
          <w:rFonts w:hint="eastAsia"/>
          <w:szCs w:val="24"/>
          <w:lang w:val="en-US" w:eastAsia="zh-CN"/>
        </w:rPr>
        <w:t>的</w:t>
      </w:r>
      <w:r w:rsidR="00B732E3" w:rsidRPr="00566A37">
        <w:rPr>
          <w:szCs w:val="24"/>
          <w:lang w:val="en-US" w:eastAsia="zh-CN"/>
        </w:rPr>
        <w:t>诈骗的增加。因此，需要利益攸关多方努力以保护更多的人不成为受害者，而此时许多人正因疾病被迫呆在家</w:t>
      </w:r>
      <w:r w:rsidR="00B732E3">
        <w:rPr>
          <w:rFonts w:hint="eastAsia"/>
          <w:szCs w:val="24"/>
          <w:lang w:val="en-US" w:eastAsia="zh-CN"/>
        </w:rPr>
        <w:t>中</w:t>
      </w:r>
      <w:r w:rsidR="00B732E3" w:rsidRPr="00566A37">
        <w:rPr>
          <w:szCs w:val="24"/>
          <w:lang w:val="en-US" w:eastAsia="zh-CN"/>
        </w:rPr>
        <w:t>而</w:t>
      </w:r>
      <w:r w:rsidR="00B732E3">
        <w:rPr>
          <w:rFonts w:hint="eastAsia"/>
          <w:szCs w:val="24"/>
          <w:lang w:val="en-US" w:eastAsia="zh-CN"/>
        </w:rPr>
        <w:t>为</w:t>
      </w:r>
      <w:r w:rsidR="00B732E3" w:rsidRPr="00566A37">
        <w:rPr>
          <w:szCs w:val="24"/>
          <w:lang w:val="en-US" w:eastAsia="zh-CN"/>
        </w:rPr>
        <w:t>失去收入</w:t>
      </w:r>
      <w:r w:rsidR="00B732E3">
        <w:rPr>
          <w:rFonts w:hint="eastAsia"/>
          <w:szCs w:val="24"/>
          <w:lang w:val="en-US" w:eastAsia="zh-CN"/>
        </w:rPr>
        <w:t>而挣扎</w:t>
      </w:r>
      <w:r w:rsidR="00B732E3" w:rsidRPr="00566A37">
        <w:rPr>
          <w:szCs w:val="24"/>
          <w:lang w:val="en-US" w:eastAsia="zh-CN"/>
        </w:rPr>
        <w:t>。本次会议将强调在国家和国际层面采取的行动，以应对大流行期间的数字金融诈骗</w:t>
      </w:r>
      <w:r w:rsidR="00B732E3" w:rsidRPr="00566A37">
        <w:rPr>
          <w:rFonts w:hint="eastAsia"/>
          <w:szCs w:val="24"/>
          <w:lang w:val="en-US" w:eastAsia="zh-CN"/>
        </w:rPr>
        <w:t>。</w:t>
      </w:r>
    </w:p>
    <w:p w14:paraId="3A06DC20" w14:textId="517D50FC" w:rsidR="004E6707" w:rsidRPr="00D85E74" w:rsidRDefault="00DE3212" w:rsidP="004E6707">
      <w:pPr>
        <w:jc w:val="both"/>
        <w:rPr>
          <w:rFonts w:cs="Calibri"/>
          <w:b/>
          <w:color w:val="800000"/>
          <w:szCs w:val="24"/>
          <w:lang w:eastAsia="zh-CN"/>
        </w:rPr>
      </w:pPr>
      <w:r>
        <w:rPr>
          <w:szCs w:val="24"/>
          <w:lang w:eastAsia="zh-CN"/>
        </w:rPr>
        <w:t>7</w:t>
      </w:r>
      <w:r w:rsidR="004E6707" w:rsidRPr="00D85E74">
        <w:rPr>
          <w:szCs w:val="24"/>
          <w:lang w:eastAsia="zh-CN"/>
        </w:rPr>
        <w:tab/>
      </w:r>
      <w:bookmarkStart w:id="11" w:name="lt_pId088"/>
      <w:r w:rsidR="004E6707" w:rsidRPr="00D85E74">
        <w:rPr>
          <w:szCs w:val="24"/>
          <w:lang w:eastAsia="zh-CN"/>
        </w:rPr>
        <w:t>国际电联成员国、部门成员、部门准成员和学术机构以及有意参加此工作的来自国际电联成员国的任何个人均可参加</w:t>
      </w:r>
      <w:r w:rsidR="00454100" w:rsidRPr="00D85E74">
        <w:rPr>
          <w:rFonts w:hint="eastAsia"/>
          <w:szCs w:val="24"/>
          <w:lang w:eastAsia="zh-CN"/>
        </w:rPr>
        <w:t>这些网络研讨会</w:t>
      </w:r>
      <w:r w:rsidR="004E6707" w:rsidRPr="00D85E74">
        <w:rPr>
          <w:szCs w:val="24"/>
          <w:lang w:eastAsia="zh-CN"/>
        </w:rPr>
        <w:t>。</w:t>
      </w:r>
      <w:r w:rsidR="00454100" w:rsidRPr="00D85E74">
        <w:rPr>
          <w:rFonts w:hint="eastAsia"/>
          <w:szCs w:val="24"/>
          <w:lang w:eastAsia="zh-CN"/>
        </w:rPr>
        <w:t>在此</w:t>
      </w:r>
      <w:r w:rsidR="004E6707" w:rsidRPr="00D85E74">
        <w:rPr>
          <w:szCs w:val="24"/>
          <w:lang w:eastAsia="zh-CN"/>
        </w:rPr>
        <w:t>包括作为国际、区域和国家组织成员的个人。</w:t>
      </w:r>
      <w:bookmarkEnd w:id="11"/>
    </w:p>
    <w:p w14:paraId="343792F7" w14:textId="54E51B95" w:rsidR="004E6707" w:rsidRPr="00D85E74" w:rsidRDefault="00DE3212" w:rsidP="004E6707">
      <w:pPr>
        <w:jc w:val="both"/>
        <w:rPr>
          <w:szCs w:val="24"/>
          <w:lang w:eastAsia="zh-CN"/>
        </w:rPr>
      </w:pPr>
      <w:r>
        <w:rPr>
          <w:szCs w:val="24"/>
          <w:lang w:eastAsia="zh-CN"/>
        </w:rPr>
        <w:t>8</w:t>
      </w:r>
      <w:r w:rsidR="004E6707" w:rsidRPr="00D85E74">
        <w:rPr>
          <w:szCs w:val="24"/>
          <w:lang w:eastAsia="zh-CN"/>
        </w:rPr>
        <w:tab/>
      </w:r>
      <w:r w:rsidR="005D1487" w:rsidRPr="00D85E74">
        <w:rPr>
          <w:rFonts w:ascii="inherit" w:hAnsi="inherit" w:hint="eastAsia"/>
          <w:color w:val="222222"/>
          <w:szCs w:val="24"/>
          <w:lang w:eastAsia="zh-CN"/>
        </w:rPr>
        <w:t>与网络研讨会有关的所有相关信息（演讲人、注册链接、远程连接细节等）</w:t>
      </w:r>
      <w:r w:rsidR="008B2DCF" w:rsidRPr="00D85E74">
        <w:rPr>
          <w:rFonts w:ascii="inherit" w:hAnsi="inherit" w:hint="eastAsia"/>
          <w:color w:val="222222"/>
          <w:szCs w:val="24"/>
          <w:lang w:eastAsia="zh-CN"/>
        </w:rPr>
        <w:t>均</w:t>
      </w:r>
      <w:r w:rsidR="005D1487" w:rsidRPr="00D85E74">
        <w:rPr>
          <w:rFonts w:ascii="inherit" w:hAnsi="inherit" w:hint="eastAsia"/>
          <w:color w:val="222222"/>
          <w:szCs w:val="24"/>
          <w:lang w:eastAsia="zh-CN"/>
        </w:rPr>
        <w:t>将在</w:t>
      </w:r>
      <w:hyperlink r:id="rId11" w:history="1">
        <w:r w:rsidR="005D1487" w:rsidRPr="00D85E74">
          <w:rPr>
            <w:rStyle w:val="Hyperlink"/>
            <w:rFonts w:hint="eastAsia"/>
            <w:szCs w:val="24"/>
            <w:lang w:eastAsia="zh-CN"/>
          </w:rPr>
          <w:t>主登录页</w:t>
        </w:r>
      </w:hyperlink>
      <w:r w:rsidR="005D1487" w:rsidRPr="00D85E74">
        <w:rPr>
          <w:rFonts w:ascii="inherit" w:hAnsi="inherit" w:hint="eastAsia"/>
          <w:color w:val="222222"/>
          <w:szCs w:val="24"/>
          <w:lang w:eastAsia="zh-CN"/>
        </w:rPr>
        <w:t>和以下各相应活动的网站上提供</w:t>
      </w:r>
      <w:r w:rsidR="005D1487" w:rsidRPr="00D85E74">
        <w:rPr>
          <w:rFonts w:ascii="SimSun" w:hAnsi="SimSun" w:cs="SimSun" w:hint="eastAsia"/>
          <w:color w:val="222222"/>
          <w:szCs w:val="24"/>
          <w:lang w:eastAsia="zh-CN"/>
        </w:rPr>
        <w:t>。</w:t>
      </w:r>
      <w:r w:rsidR="005D1487" w:rsidRPr="00D85E74">
        <w:rPr>
          <w:szCs w:val="24"/>
          <w:lang w:eastAsia="zh-CN"/>
        </w:rPr>
        <w:t>随着新信息或修改信息的</w:t>
      </w:r>
      <w:r w:rsidR="005D1487" w:rsidRPr="00D85E74">
        <w:rPr>
          <w:rFonts w:hint="eastAsia"/>
          <w:szCs w:val="24"/>
          <w:lang w:eastAsia="zh-CN"/>
        </w:rPr>
        <w:t>提供，</w:t>
      </w:r>
      <w:r w:rsidR="005D1487" w:rsidRPr="00D85E74">
        <w:rPr>
          <w:szCs w:val="24"/>
          <w:lang w:eastAsia="zh-CN"/>
        </w:rPr>
        <w:t>这些网站将定期更新。请参</w:t>
      </w:r>
      <w:r w:rsidR="005D1487" w:rsidRPr="00D85E74">
        <w:rPr>
          <w:rFonts w:hint="eastAsia"/>
          <w:szCs w:val="24"/>
          <w:lang w:eastAsia="zh-CN"/>
        </w:rPr>
        <w:t>会</w:t>
      </w:r>
      <w:r w:rsidR="005D1487" w:rsidRPr="00D85E74">
        <w:rPr>
          <w:szCs w:val="24"/>
          <w:lang w:eastAsia="zh-CN"/>
        </w:rPr>
        <w:t>者定期查</w:t>
      </w:r>
      <w:r w:rsidR="005D1487" w:rsidRPr="00D85E74">
        <w:rPr>
          <w:rFonts w:hint="eastAsia"/>
          <w:szCs w:val="24"/>
          <w:lang w:eastAsia="zh-CN"/>
        </w:rPr>
        <w:t>看</w:t>
      </w:r>
      <w:r w:rsidR="00A9473B">
        <w:rPr>
          <w:rFonts w:hint="eastAsia"/>
          <w:szCs w:val="24"/>
          <w:lang w:eastAsia="zh-CN"/>
        </w:rPr>
        <w:t>各期网页</w:t>
      </w:r>
      <w:r w:rsidR="005D1487" w:rsidRPr="00D85E74">
        <w:rPr>
          <w:szCs w:val="24"/>
          <w:lang w:eastAsia="zh-CN"/>
        </w:rPr>
        <w:t>是否有新的更新</w:t>
      </w:r>
      <w:r w:rsidR="005D1487" w:rsidRPr="00D85E74">
        <w:rPr>
          <w:rFonts w:hint="eastAsia"/>
          <w:szCs w:val="24"/>
          <w:lang w:eastAsia="zh-CN"/>
        </w:rPr>
        <w:t>。</w:t>
      </w:r>
    </w:p>
    <w:p w14:paraId="1A3D034F" w14:textId="6E420A27" w:rsidR="00DE3212" w:rsidRPr="00DE3212" w:rsidRDefault="00A9473B" w:rsidP="00DE3212">
      <w:pPr>
        <w:pStyle w:val="ListParagraph"/>
        <w:numPr>
          <w:ilvl w:val="0"/>
          <w:numId w:val="1"/>
        </w:numPr>
        <w:tabs>
          <w:tab w:val="left" w:pos="794"/>
          <w:tab w:val="left" w:pos="1191"/>
          <w:tab w:val="left" w:pos="1588"/>
          <w:tab w:val="left" w:pos="1985"/>
        </w:tabs>
        <w:overflowPunct w:val="0"/>
        <w:autoSpaceDE w:val="0"/>
        <w:autoSpaceDN w:val="0"/>
        <w:adjustRightInd w:val="0"/>
        <w:spacing w:before="120"/>
        <w:textAlignment w:val="baseline"/>
        <w:rPr>
          <w:rFonts w:ascii="Calibri" w:hAnsi="Calibri" w:cs="Calibri"/>
        </w:rPr>
      </w:pPr>
      <w:r>
        <w:rPr>
          <w:rFonts w:asciiTheme="minorEastAsia" w:eastAsiaTheme="minorEastAsia" w:hAnsiTheme="minorEastAsia" w:cs="Calibri" w:hint="eastAsia"/>
          <w:lang w:eastAsia="zh-CN"/>
        </w:rPr>
        <w:t>第</w:t>
      </w:r>
      <w:r w:rsidR="00DE3212" w:rsidRPr="00DE3212">
        <w:rPr>
          <w:rFonts w:ascii="Calibri" w:hAnsi="Calibri" w:cs="Calibri"/>
        </w:rPr>
        <w:t>4</w:t>
      </w:r>
      <w:r>
        <w:rPr>
          <w:rFonts w:asciiTheme="minorEastAsia" w:eastAsiaTheme="minorEastAsia" w:hAnsiTheme="minorEastAsia" w:cs="Calibri" w:hint="eastAsia"/>
          <w:lang w:eastAsia="zh-CN"/>
        </w:rPr>
        <w:t>期</w:t>
      </w:r>
      <w:r w:rsidR="008B1FC4">
        <w:rPr>
          <w:rFonts w:eastAsiaTheme="minorEastAsia" w:hint="eastAsia"/>
          <w:lang w:eastAsia="zh-CN"/>
        </w:rPr>
        <w:t>：</w:t>
      </w:r>
      <w:hyperlink r:id="rId12" w:history="1">
        <w:r w:rsidR="00DE3212" w:rsidRPr="00DE3212">
          <w:rPr>
            <w:rStyle w:val="Hyperlink"/>
            <w:rFonts w:ascii="Calibri" w:hAnsi="Calibri" w:cs="Calibri"/>
          </w:rPr>
          <w:t>https://www.itu.int/en/ITU-T/webinars/20200611/Pages/default.aspx</w:t>
        </w:r>
      </w:hyperlink>
    </w:p>
    <w:p w14:paraId="31B4ADFD" w14:textId="77B18DCA" w:rsidR="00DE3212" w:rsidRPr="008B1FC4" w:rsidRDefault="00EE2F6B" w:rsidP="00DE3212">
      <w:pPr>
        <w:pStyle w:val="ListParagraph"/>
        <w:numPr>
          <w:ilvl w:val="0"/>
          <w:numId w:val="1"/>
        </w:numPr>
        <w:tabs>
          <w:tab w:val="left" w:pos="794"/>
          <w:tab w:val="left" w:pos="1191"/>
          <w:tab w:val="left" w:pos="1588"/>
          <w:tab w:val="left" w:pos="1985"/>
        </w:tabs>
        <w:overflowPunct w:val="0"/>
        <w:autoSpaceDE w:val="0"/>
        <w:autoSpaceDN w:val="0"/>
        <w:adjustRightInd w:val="0"/>
        <w:spacing w:before="120"/>
        <w:textAlignment w:val="baseline"/>
        <w:rPr>
          <w:rStyle w:val="Hyperlink"/>
          <w:rFonts w:ascii="Calibri" w:hAnsi="Calibri" w:cs="Calibri"/>
          <w:color w:val="auto"/>
          <w:u w:val="none"/>
        </w:rPr>
      </w:pPr>
      <w:r>
        <w:rPr>
          <w:rFonts w:asciiTheme="minorEastAsia" w:eastAsiaTheme="minorEastAsia" w:hAnsiTheme="minorEastAsia" w:cs="Calibri" w:hint="eastAsia"/>
          <w:lang w:eastAsia="zh-CN"/>
        </w:rPr>
        <w:t>第</w:t>
      </w:r>
      <w:r w:rsidR="00DE3212" w:rsidRPr="00DE3212">
        <w:rPr>
          <w:rFonts w:ascii="Calibri" w:hAnsi="Calibri" w:cs="Calibri"/>
        </w:rPr>
        <w:t>5</w:t>
      </w:r>
      <w:r>
        <w:rPr>
          <w:rFonts w:asciiTheme="minorEastAsia" w:eastAsiaTheme="minorEastAsia" w:hAnsiTheme="minorEastAsia" w:cs="Calibri" w:hint="eastAsia"/>
          <w:lang w:eastAsia="zh-CN"/>
        </w:rPr>
        <w:t>期</w:t>
      </w:r>
      <w:r w:rsidR="008B1FC4">
        <w:rPr>
          <w:rFonts w:asciiTheme="minorEastAsia" w:eastAsiaTheme="minorEastAsia" w:hAnsiTheme="minorEastAsia" w:cs="Calibri" w:hint="eastAsia"/>
          <w:lang w:eastAsia="zh-CN"/>
        </w:rPr>
        <w:t>：</w:t>
      </w:r>
      <w:hyperlink r:id="rId13" w:history="1">
        <w:r w:rsidR="00DE3212" w:rsidRPr="00DE3212">
          <w:rPr>
            <w:rStyle w:val="Hyperlink"/>
            <w:rFonts w:ascii="Calibri" w:hAnsi="Calibri" w:cs="Calibri"/>
          </w:rPr>
          <w:t>https://www.itu.int/en/ITU-T/webinars/20200623/Pages/default.aspx</w:t>
        </w:r>
      </w:hyperlink>
    </w:p>
    <w:p w14:paraId="71996D20" w14:textId="13569133" w:rsidR="008B1FC4" w:rsidRPr="00732472" w:rsidRDefault="008B1FC4" w:rsidP="00DE3212">
      <w:pPr>
        <w:pStyle w:val="ListParagraph"/>
        <w:numPr>
          <w:ilvl w:val="0"/>
          <w:numId w:val="1"/>
        </w:num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cstheme="minorHAnsi"/>
        </w:rPr>
      </w:pPr>
      <w:r w:rsidRPr="00732472">
        <w:rPr>
          <w:rFonts w:asciiTheme="minorHAnsi" w:eastAsiaTheme="minorEastAsia" w:hAnsiTheme="minorHAnsi" w:cstheme="minorHAnsi"/>
          <w:lang w:eastAsia="zh-CN"/>
        </w:rPr>
        <w:t>第</w:t>
      </w:r>
      <w:r w:rsidRPr="00732472">
        <w:rPr>
          <w:rFonts w:asciiTheme="minorHAnsi" w:eastAsiaTheme="minorEastAsia" w:hAnsiTheme="minorHAnsi" w:cstheme="minorHAnsi"/>
          <w:lang w:eastAsia="zh-CN"/>
        </w:rPr>
        <w:t>6</w:t>
      </w:r>
      <w:r w:rsidRPr="00732472">
        <w:rPr>
          <w:rFonts w:asciiTheme="minorHAnsi" w:eastAsiaTheme="minorEastAsia" w:hAnsiTheme="minorHAnsi" w:cstheme="minorHAnsi"/>
          <w:lang w:eastAsia="zh-CN"/>
        </w:rPr>
        <w:t>期：</w:t>
      </w:r>
      <w:hyperlink r:id="rId14" w:history="1">
        <w:r w:rsidR="00732472" w:rsidRPr="00732472">
          <w:rPr>
            <w:rStyle w:val="Hyperlink"/>
            <w:rFonts w:asciiTheme="minorHAnsi" w:eastAsiaTheme="minorEastAsia" w:hAnsiTheme="minorHAnsi" w:cstheme="minorHAnsi"/>
            <w:lang w:val="en-GB" w:eastAsia="zh-CN"/>
          </w:rPr>
          <w:t>https://www.itu.int/en/ITU-T/webinars/20200626/Pages/default.aspx</w:t>
        </w:r>
      </w:hyperlink>
    </w:p>
    <w:p w14:paraId="0CDB679E" w14:textId="0C793AD7" w:rsidR="008B1FC4" w:rsidRPr="00732472" w:rsidRDefault="008B1FC4" w:rsidP="00DE3212">
      <w:pPr>
        <w:pStyle w:val="ListParagraph"/>
        <w:numPr>
          <w:ilvl w:val="0"/>
          <w:numId w:val="1"/>
        </w:num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cstheme="minorHAnsi"/>
        </w:rPr>
      </w:pPr>
      <w:r w:rsidRPr="00732472">
        <w:rPr>
          <w:rFonts w:asciiTheme="minorHAnsi" w:eastAsiaTheme="minorEastAsia" w:hAnsiTheme="minorHAnsi" w:cstheme="minorHAnsi"/>
          <w:lang w:eastAsia="zh-CN"/>
        </w:rPr>
        <w:t>第</w:t>
      </w:r>
      <w:r w:rsidRPr="00732472">
        <w:rPr>
          <w:rFonts w:asciiTheme="minorHAnsi" w:eastAsiaTheme="minorEastAsia" w:hAnsiTheme="minorHAnsi" w:cstheme="minorHAnsi"/>
          <w:lang w:eastAsia="zh-CN"/>
        </w:rPr>
        <w:t>7</w:t>
      </w:r>
      <w:r w:rsidRPr="00732472">
        <w:rPr>
          <w:rFonts w:asciiTheme="minorHAnsi" w:eastAsiaTheme="minorEastAsia" w:hAnsiTheme="minorHAnsi" w:cstheme="minorHAnsi"/>
          <w:lang w:eastAsia="zh-CN"/>
        </w:rPr>
        <w:t>期：</w:t>
      </w:r>
      <w:hyperlink r:id="rId15" w:history="1">
        <w:r w:rsidR="00732472" w:rsidRPr="00732472">
          <w:rPr>
            <w:rStyle w:val="Hyperlink"/>
            <w:rFonts w:asciiTheme="minorHAnsi" w:eastAsiaTheme="minorEastAsia" w:hAnsiTheme="minorHAnsi" w:cstheme="minorHAnsi"/>
            <w:lang w:val="en-GB" w:eastAsia="zh-CN"/>
          </w:rPr>
          <w:t>https://www.itu.int/en/ITU-T/webinars/20200629/Pages/default.aspx</w:t>
        </w:r>
      </w:hyperlink>
    </w:p>
    <w:p w14:paraId="3D2914AE" w14:textId="3DCA31E4" w:rsidR="008B1FC4" w:rsidRPr="00732472" w:rsidRDefault="008B1FC4" w:rsidP="00DE3212">
      <w:pPr>
        <w:pStyle w:val="ListParagraph"/>
        <w:numPr>
          <w:ilvl w:val="0"/>
          <w:numId w:val="1"/>
        </w:numPr>
        <w:tabs>
          <w:tab w:val="left" w:pos="794"/>
          <w:tab w:val="left" w:pos="1191"/>
          <w:tab w:val="left" w:pos="1588"/>
          <w:tab w:val="left" w:pos="1985"/>
        </w:tabs>
        <w:overflowPunct w:val="0"/>
        <w:autoSpaceDE w:val="0"/>
        <w:autoSpaceDN w:val="0"/>
        <w:adjustRightInd w:val="0"/>
        <w:spacing w:before="120"/>
        <w:textAlignment w:val="baseline"/>
        <w:rPr>
          <w:rFonts w:ascii="Calibri" w:hAnsi="Calibri" w:cs="Calibri"/>
        </w:rPr>
      </w:pPr>
      <w:r w:rsidRPr="00732472">
        <w:rPr>
          <w:rFonts w:asciiTheme="minorHAnsi" w:eastAsiaTheme="minorEastAsia" w:hAnsiTheme="minorHAnsi" w:cstheme="minorHAnsi"/>
          <w:lang w:eastAsia="zh-CN"/>
        </w:rPr>
        <w:t>第</w:t>
      </w:r>
      <w:r w:rsidRPr="00732472">
        <w:rPr>
          <w:rFonts w:asciiTheme="minorHAnsi" w:eastAsiaTheme="minorEastAsia" w:hAnsiTheme="minorHAnsi" w:cstheme="minorHAnsi"/>
          <w:lang w:eastAsia="zh-CN"/>
        </w:rPr>
        <w:t>8</w:t>
      </w:r>
      <w:r w:rsidRPr="00732472">
        <w:rPr>
          <w:rFonts w:asciiTheme="minorHAnsi" w:eastAsiaTheme="minorEastAsia" w:hAnsiTheme="minorHAnsi" w:cstheme="minorHAnsi"/>
          <w:lang w:eastAsia="zh-CN"/>
        </w:rPr>
        <w:t>期：</w:t>
      </w:r>
      <w:hyperlink r:id="rId16" w:history="1">
        <w:r w:rsidR="00732472" w:rsidRPr="00732472">
          <w:rPr>
            <w:rStyle w:val="Hyperlink"/>
            <w:rFonts w:asciiTheme="minorHAnsi" w:eastAsiaTheme="minorEastAsia" w:hAnsiTheme="minorHAnsi" w:cstheme="minorHAnsi"/>
            <w:lang w:val="en-GB" w:eastAsia="zh-CN"/>
          </w:rPr>
          <w:t>https://www.itu.int/en/ITU-T/webinars/20200630/Pages/default.aspx</w:t>
        </w:r>
      </w:hyperlink>
    </w:p>
    <w:p w14:paraId="024F194D" w14:textId="73A08ECD" w:rsidR="007A7AF9" w:rsidRDefault="007A7AF9" w:rsidP="00DE3212">
      <w:pPr>
        <w:spacing w:before="480"/>
        <w:rPr>
          <w:rFonts w:eastAsiaTheme="minorEastAsia"/>
          <w:szCs w:val="24"/>
          <w:lang w:val="en-US" w:eastAsia="zh-CN"/>
        </w:rPr>
      </w:pPr>
      <w:r w:rsidRPr="00D85E74">
        <w:rPr>
          <w:rFonts w:eastAsiaTheme="minorEastAsia"/>
          <w:szCs w:val="24"/>
          <w:lang w:val="en-US" w:eastAsia="zh-CN"/>
        </w:rPr>
        <w:t>顺致敬意！</w:t>
      </w:r>
    </w:p>
    <w:p w14:paraId="2F8A6375" w14:textId="719334D3" w:rsidR="007A7AF9" w:rsidRPr="00875426" w:rsidRDefault="00EB4AEE" w:rsidP="002E6859">
      <w:pPr>
        <w:tabs>
          <w:tab w:val="center" w:pos="4819"/>
        </w:tabs>
        <w:spacing w:before="960"/>
        <w:rPr>
          <w:rFonts w:ascii="Calibri" w:hAnsi="Calibri"/>
          <w:szCs w:val="24"/>
          <w:lang w:eastAsia="zh-CN"/>
        </w:rPr>
      </w:pPr>
      <w:r>
        <w:rPr>
          <w:rFonts w:eastAsiaTheme="minorEastAsia"/>
          <w:noProof/>
          <w:szCs w:val="24"/>
          <w:lang w:val="zh-CN" w:eastAsia="zh-CN"/>
        </w:rPr>
        <w:drawing>
          <wp:anchor distT="0" distB="0" distL="114300" distR="114300" simplePos="0" relativeHeight="251658240" behindDoc="1" locked="0" layoutInCell="1" allowOverlap="1" wp14:anchorId="4DBC5683" wp14:editId="20B66C5A">
            <wp:simplePos x="0" y="0"/>
            <wp:positionH relativeFrom="column">
              <wp:posOffset>3811</wp:posOffset>
            </wp:positionH>
            <wp:positionV relativeFrom="paragraph">
              <wp:posOffset>139700</wp:posOffset>
            </wp:positionV>
            <wp:extent cx="912790" cy="342900"/>
            <wp:effectExtent l="0" t="0" r="1905"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H.PNG"/>
                    <pic:cNvPicPr/>
                  </pic:nvPicPr>
                  <pic:blipFill>
                    <a:blip r:embed="rId17">
                      <a:extLst>
                        <a:ext uri="{28A0092B-C50C-407E-A947-70E740481C1C}">
                          <a14:useLocalDpi xmlns:a14="http://schemas.microsoft.com/office/drawing/2010/main" val="0"/>
                        </a:ext>
                      </a:extLst>
                    </a:blip>
                    <a:stretch>
                      <a:fillRect/>
                    </a:stretch>
                  </pic:blipFill>
                  <pic:spPr>
                    <a:xfrm>
                      <a:off x="0" y="0"/>
                      <a:ext cx="917478" cy="344661"/>
                    </a:xfrm>
                    <a:prstGeom prst="rect">
                      <a:avLst/>
                    </a:prstGeom>
                  </pic:spPr>
                </pic:pic>
              </a:graphicData>
            </a:graphic>
            <wp14:sizeRelH relativeFrom="margin">
              <wp14:pctWidth>0</wp14:pctWidth>
            </wp14:sizeRelH>
            <wp14:sizeRelV relativeFrom="margin">
              <wp14:pctHeight>0</wp14:pctHeight>
            </wp14:sizeRelV>
          </wp:anchor>
        </w:drawing>
      </w:r>
      <w:r w:rsidR="007A7AF9" w:rsidRPr="00D85E74">
        <w:rPr>
          <w:rFonts w:eastAsiaTheme="minorEastAsia"/>
          <w:szCs w:val="24"/>
          <w:lang w:eastAsia="zh-CN"/>
        </w:rPr>
        <w:t>电信标准化局主任</w:t>
      </w:r>
      <w:r w:rsidR="007A7AF9" w:rsidRPr="00D85E74">
        <w:rPr>
          <w:rFonts w:eastAsiaTheme="minorEastAsia"/>
          <w:szCs w:val="24"/>
          <w:lang w:eastAsia="zh-CN"/>
        </w:rPr>
        <w:br/>
      </w:r>
      <w:r w:rsidR="007A7AF9" w:rsidRPr="00D85E74">
        <w:rPr>
          <w:rFonts w:eastAsiaTheme="minorEastAsia"/>
          <w:szCs w:val="24"/>
          <w:lang w:eastAsia="zh-CN"/>
        </w:rPr>
        <w:t>李在摄</w:t>
      </w:r>
    </w:p>
    <w:sectPr w:rsidR="007A7AF9" w:rsidRPr="00875426" w:rsidSect="00B37BD9">
      <w:headerReference w:type="even" r:id="rId18"/>
      <w:headerReference w:type="default" r:id="rId19"/>
      <w:footerReference w:type="first" r:id="rId20"/>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86B8B" w14:textId="77777777" w:rsidR="001108DA" w:rsidRDefault="001108DA">
      <w:r>
        <w:separator/>
      </w:r>
    </w:p>
  </w:endnote>
  <w:endnote w:type="continuationSeparator" w:id="0">
    <w:p w14:paraId="63C336A3" w14:textId="77777777" w:rsidR="001108DA" w:rsidRDefault="0011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773C" w14:textId="70525BA2" w:rsidR="00682EF6" w:rsidRPr="008B1FC4" w:rsidRDefault="008B1FC4" w:rsidP="008B1FC4">
    <w:pPr>
      <w:pStyle w:val="FirstFooter"/>
      <w:spacing w:before="120"/>
      <w:ind w:left="-397" w:right="-397"/>
      <w:jc w:val="center"/>
      <w:rPr>
        <w:rFonts w:ascii="Calibri" w:hAnsi="Calibri" w:cs="Calibri"/>
      </w:rPr>
    </w:pPr>
    <w:r w:rsidRPr="008B1FC4">
      <w:rPr>
        <w:rFonts w:ascii="Calibri" w:hAnsi="Calibri" w:cs="Calibri"/>
        <w:sz w:val="18"/>
        <w:szCs w:val="18"/>
      </w:rPr>
      <w:t xml:space="preserve">International </w:t>
    </w:r>
    <w:proofErr w:type="spellStart"/>
    <w:r w:rsidRPr="008B1FC4">
      <w:rPr>
        <w:rFonts w:ascii="Calibri" w:hAnsi="Calibri" w:cs="Calibri"/>
        <w:sz w:val="18"/>
        <w:szCs w:val="18"/>
      </w:rPr>
      <w:t>Telecommunication</w:t>
    </w:r>
    <w:proofErr w:type="spellEnd"/>
    <w:r w:rsidRPr="008B1FC4">
      <w:rPr>
        <w:rFonts w:ascii="Calibri" w:hAnsi="Calibri" w:cs="Calibri"/>
        <w:sz w:val="18"/>
        <w:szCs w:val="18"/>
      </w:rPr>
      <w:t xml:space="preserve"> Union • Place des Nations • CH-1211 Geneva 20 • Switzerland</w:t>
    </w:r>
    <w:r w:rsidRPr="008B1FC4">
      <w:rPr>
        <w:rFonts w:ascii="Calibri" w:hAnsi="Calibri" w:cs="Calibri"/>
        <w:sz w:val="18"/>
        <w:szCs w:val="18"/>
      </w:rPr>
      <w:br/>
    </w:r>
    <w:proofErr w:type="gramStart"/>
    <w:r w:rsidRPr="008B1FC4">
      <w:rPr>
        <w:rFonts w:ascii="Calibri" w:hAnsi="Calibri" w:cs="Calibri"/>
        <w:sz w:val="18"/>
        <w:szCs w:val="18"/>
      </w:rPr>
      <w:t>Tel:</w:t>
    </w:r>
    <w:proofErr w:type="gramEnd"/>
    <w:r w:rsidRPr="008B1FC4">
      <w:rPr>
        <w:rFonts w:ascii="Calibri" w:hAnsi="Calibri" w:cs="Calibri"/>
        <w:sz w:val="18"/>
        <w:szCs w:val="18"/>
      </w:rPr>
      <w:t xml:space="preserve"> +41 22 730 5111 • Fax: +41 22 733 7256 • E-mail: </w:t>
    </w:r>
    <w:hyperlink r:id="rId1" w:history="1">
      <w:r w:rsidRPr="008B1FC4">
        <w:rPr>
          <w:rStyle w:val="Hyperlink"/>
          <w:rFonts w:ascii="Calibri" w:hAnsi="Calibri" w:cs="Calibri"/>
          <w:sz w:val="18"/>
          <w:szCs w:val="18"/>
        </w:rPr>
        <w:t>itumail@itu.int</w:t>
      </w:r>
    </w:hyperlink>
    <w:r w:rsidRPr="008B1FC4">
      <w:rPr>
        <w:rFonts w:ascii="Calibri" w:hAnsi="Calibri" w:cs="Calibri"/>
        <w:sz w:val="18"/>
        <w:szCs w:val="18"/>
      </w:rPr>
      <w:t xml:space="preserve"> • </w:t>
    </w:r>
    <w:hyperlink r:id="rId2" w:history="1">
      <w:r w:rsidRPr="008B1FC4">
        <w:rPr>
          <w:rStyle w:val="Hyperlink"/>
          <w:rFonts w:ascii="Calibri" w:hAnsi="Calibri" w:cs="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037CF" w14:textId="77777777" w:rsidR="001108DA" w:rsidRDefault="001108DA">
      <w:r>
        <w:separator/>
      </w:r>
    </w:p>
  </w:footnote>
  <w:footnote w:type="continuationSeparator" w:id="0">
    <w:p w14:paraId="5747F02A" w14:textId="77777777" w:rsidR="001108DA" w:rsidRDefault="00110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D9C3" w14:textId="77777777" w:rsidR="002C2EDC" w:rsidRPr="002C2EDC" w:rsidRDefault="00EB4AEE"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57B0C9E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B3E7" w14:textId="23896FF9" w:rsidR="0099096C" w:rsidRPr="0042667D" w:rsidRDefault="00EB4AEE" w:rsidP="0099096C">
    <w:pPr>
      <w:spacing w:before="0"/>
      <w:jc w:val="center"/>
      <w:rPr>
        <w:rFonts w:eastAsia="Times New Roman" w:cstheme="minorHAnsi"/>
        <w:noProof/>
        <w:sz w:val="18"/>
      </w:rPr>
    </w:pPr>
    <w:sdt>
      <w:sdtPr>
        <w:rPr>
          <w:rFonts w:eastAsia="Times New Roman" w:cstheme="minorHAnsi"/>
          <w:sz w:val="18"/>
        </w:rPr>
        <w:id w:val="-2072032795"/>
        <w:docPartObj>
          <w:docPartGallery w:val="Page Numbers (Top of Page)"/>
          <w:docPartUnique/>
        </w:docPartObj>
      </w:sdtPr>
      <w:sdtEndPr>
        <w:rPr>
          <w:noProof/>
        </w:rPr>
      </w:sdtEndPr>
      <w:sdtContent>
        <w:r w:rsidR="0099096C" w:rsidRPr="0042667D">
          <w:rPr>
            <w:rFonts w:eastAsia="Times New Roman" w:cstheme="minorHAnsi"/>
            <w:noProof/>
            <w:sz w:val="18"/>
          </w:rPr>
          <w:t>-</w:t>
        </w:r>
        <w:r w:rsidR="0099096C" w:rsidRPr="0042667D">
          <w:rPr>
            <w:rFonts w:eastAsia="Times New Roman" w:cstheme="minorHAnsi"/>
            <w:sz w:val="18"/>
          </w:rPr>
          <w:t xml:space="preserve"> </w:t>
        </w:r>
        <w:r w:rsidR="0099096C" w:rsidRPr="0042667D">
          <w:rPr>
            <w:rFonts w:eastAsia="Times New Roman" w:cstheme="minorHAnsi"/>
            <w:sz w:val="18"/>
          </w:rPr>
          <w:fldChar w:fldCharType="begin"/>
        </w:r>
        <w:r w:rsidR="0099096C" w:rsidRPr="0042667D">
          <w:rPr>
            <w:rFonts w:eastAsia="Times New Roman" w:cstheme="minorHAnsi"/>
            <w:sz w:val="18"/>
          </w:rPr>
          <w:instrText xml:space="preserve"> PAGE   \* MERGEFORMAT </w:instrText>
        </w:r>
        <w:r w:rsidR="0099096C" w:rsidRPr="0042667D">
          <w:rPr>
            <w:rFonts w:eastAsia="Times New Roman" w:cstheme="minorHAnsi"/>
            <w:sz w:val="18"/>
          </w:rPr>
          <w:fldChar w:fldCharType="separate"/>
        </w:r>
        <w:r w:rsidR="006C71F4" w:rsidRPr="0042667D">
          <w:rPr>
            <w:rFonts w:eastAsia="Times New Roman" w:cstheme="minorHAnsi"/>
            <w:noProof/>
            <w:sz w:val="18"/>
          </w:rPr>
          <w:t>2</w:t>
        </w:r>
        <w:r w:rsidR="0099096C" w:rsidRPr="0042667D">
          <w:rPr>
            <w:rFonts w:eastAsia="Times New Roman" w:cstheme="minorHAnsi"/>
            <w:noProof/>
            <w:sz w:val="18"/>
          </w:rPr>
          <w:fldChar w:fldCharType="end"/>
        </w:r>
      </w:sdtContent>
    </w:sdt>
    <w:r w:rsidR="0099096C" w:rsidRPr="0042667D">
      <w:rPr>
        <w:rFonts w:eastAsia="Times New Roman" w:cstheme="minorHAnsi"/>
        <w:noProof/>
        <w:sz w:val="18"/>
      </w:rPr>
      <w:t xml:space="preserve"> -</w:t>
    </w:r>
  </w:p>
  <w:p w14:paraId="40B35180" w14:textId="629BC2AA" w:rsidR="00682EF6" w:rsidRPr="0042667D" w:rsidRDefault="0099096C" w:rsidP="008252C5">
    <w:pPr>
      <w:spacing w:before="0"/>
      <w:jc w:val="center"/>
      <w:rPr>
        <w:rFonts w:eastAsiaTheme="minorEastAsia" w:cstheme="minorHAnsi"/>
        <w:sz w:val="18"/>
        <w:lang w:val="en-US"/>
      </w:rPr>
    </w:pPr>
    <w:r w:rsidRPr="0042667D">
      <w:rPr>
        <w:rFonts w:eastAsiaTheme="minorEastAsia" w:cstheme="minorHAnsi"/>
        <w:noProof/>
        <w:sz w:val="18"/>
      </w:rPr>
      <w:t>电信标准化局第</w:t>
    </w:r>
    <w:r w:rsidR="004E6707" w:rsidRPr="0042667D">
      <w:rPr>
        <w:rFonts w:eastAsiaTheme="minorEastAsia" w:cstheme="minorHAnsi"/>
        <w:noProof/>
        <w:sz w:val="18"/>
        <w:lang w:eastAsia="zh-CN"/>
      </w:rPr>
      <w:t>2</w:t>
    </w:r>
    <w:r w:rsidR="002E6859" w:rsidRPr="0042667D">
      <w:rPr>
        <w:rFonts w:eastAsiaTheme="minorEastAsia" w:cstheme="minorHAnsi"/>
        <w:noProof/>
        <w:sz w:val="18"/>
        <w:lang w:eastAsia="zh-CN"/>
      </w:rPr>
      <w:t>52</w:t>
    </w:r>
    <w:r w:rsidRPr="0042667D">
      <w:rPr>
        <w:rFonts w:eastAsiaTheme="minorEastAsia" w:cstheme="minorHAnsi"/>
        <w:noProof/>
        <w:sz w:val="18"/>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7EE3"/>
    <w:rsid w:val="00041121"/>
    <w:rsid w:val="00053301"/>
    <w:rsid w:val="00057CFB"/>
    <w:rsid w:val="00062F47"/>
    <w:rsid w:val="00070602"/>
    <w:rsid w:val="00072C4C"/>
    <w:rsid w:val="00076E0A"/>
    <w:rsid w:val="00076F28"/>
    <w:rsid w:val="000776E5"/>
    <w:rsid w:val="00081BA5"/>
    <w:rsid w:val="00083168"/>
    <w:rsid w:val="0008699A"/>
    <w:rsid w:val="00090E72"/>
    <w:rsid w:val="00091497"/>
    <w:rsid w:val="000938AC"/>
    <w:rsid w:val="00094C0B"/>
    <w:rsid w:val="000A03EC"/>
    <w:rsid w:val="000A2484"/>
    <w:rsid w:val="000A6A3A"/>
    <w:rsid w:val="000C07B5"/>
    <w:rsid w:val="000C12B1"/>
    <w:rsid w:val="000C4F7A"/>
    <w:rsid w:val="000D1DA5"/>
    <w:rsid w:val="000D205A"/>
    <w:rsid w:val="000D22C5"/>
    <w:rsid w:val="000F67FA"/>
    <w:rsid w:val="000F7CEA"/>
    <w:rsid w:val="00107C89"/>
    <w:rsid w:val="001108DA"/>
    <w:rsid w:val="00113BC0"/>
    <w:rsid w:val="001154A8"/>
    <w:rsid w:val="00117471"/>
    <w:rsid w:val="001314B5"/>
    <w:rsid w:val="001421CF"/>
    <w:rsid w:val="001448EC"/>
    <w:rsid w:val="00160A43"/>
    <w:rsid w:val="00163AA5"/>
    <w:rsid w:val="001815CA"/>
    <w:rsid w:val="00185441"/>
    <w:rsid w:val="00186E9B"/>
    <w:rsid w:val="001A641B"/>
    <w:rsid w:val="001B1705"/>
    <w:rsid w:val="001B7130"/>
    <w:rsid w:val="001B7C08"/>
    <w:rsid w:val="001C4D23"/>
    <w:rsid w:val="001C5996"/>
    <w:rsid w:val="001D6E70"/>
    <w:rsid w:val="001D737E"/>
    <w:rsid w:val="001E6C28"/>
    <w:rsid w:val="00204823"/>
    <w:rsid w:val="00210C1D"/>
    <w:rsid w:val="002217BC"/>
    <w:rsid w:val="00223861"/>
    <w:rsid w:val="002255DE"/>
    <w:rsid w:val="00227FB0"/>
    <w:rsid w:val="002331F8"/>
    <w:rsid w:val="0023394B"/>
    <w:rsid w:val="00234A9B"/>
    <w:rsid w:val="00246125"/>
    <w:rsid w:val="00267EEF"/>
    <w:rsid w:val="00272B42"/>
    <w:rsid w:val="00280608"/>
    <w:rsid w:val="00282732"/>
    <w:rsid w:val="00283917"/>
    <w:rsid w:val="00284869"/>
    <w:rsid w:val="0028751B"/>
    <w:rsid w:val="00296642"/>
    <w:rsid w:val="002A114E"/>
    <w:rsid w:val="002A22D4"/>
    <w:rsid w:val="002A653A"/>
    <w:rsid w:val="002B6C2B"/>
    <w:rsid w:val="002C2EDC"/>
    <w:rsid w:val="002C6ACE"/>
    <w:rsid w:val="002D3D14"/>
    <w:rsid w:val="002E05E3"/>
    <w:rsid w:val="002E42A1"/>
    <w:rsid w:val="002E6859"/>
    <w:rsid w:val="002E6F22"/>
    <w:rsid w:val="003036BC"/>
    <w:rsid w:val="00303A2A"/>
    <w:rsid w:val="003062D0"/>
    <w:rsid w:val="003064AD"/>
    <w:rsid w:val="00313752"/>
    <w:rsid w:val="00313DAE"/>
    <w:rsid w:val="00317742"/>
    <w:rsid w:val="0032142E"/>
    <w:rsid w:val="00330EE5"/>
    <w:rsid w:val="00333A9E"/>
    <w:rsid w:val="00334A24"/>
    <w:rsid w:val="00343E77"/>
    <w:rsid w:val="00346B8D"/>
    <w:rsid w:val="003546D7"/>
    <w:rsid w:val="0035674D"/>
    <w:rsid w:val="00372530"/>
    <w:rsid w:val="0038372D"/>
    <w:rsid w:val="00385E6F"/>
    <w:rsid w:val="003860AE"/>
    <w:rsid w:val="003B0056"/>
    <w:rsid w:val="003B2CB1"/>
    <w:rsid w:val="003B3FAC"/>
    <w:rsid w:val="003B62B4"/>
    <w:rsid w:val="003D39BC"/>
    <w:rsid w:val="003D74CE"/>
    <w:rsid w:val="003E52C9"/>
    <w:rsid w:val="003E669C"/>
    <w:rsid w:val="003F1CCA"/>
    <w:rsid w:val="003F27BD"/>
    <w:rsid w:val="00406625"/>
    <w:rsid w:val="00422060"/>
    <w:rsid w:val="00422E08"/>
    <w:rsid w:val="0042667D"/>
    <w:rsid w:val="004305E2"/>
    <w:rsid w:val="00433B71"/>
    <w:rsid w:val="00442B64"/>
    <w:rsid w:val="00454100"/>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C607A"/>
    <w:rsid w:val="004E131B"/>
    <w:rsid w:val="004E6707"/>
    <w:rsid w:val="004F0EAF"/>
    <w:rsid w:val="004F5BA9"/>
    <w:rsid w:val="004F72BB"/>
    <w:rsid w:val="004F77A5"/>
    <w:rsid w:val="00533EE6"/>
    <w:rsid w:val="00535C4E"/>
    <w:rsid w:val="005476D3"/>
    <w:rsid w:val="0055099D"/>
    <w:rsid w:val="00561B75"/>
    <w:rsid w:val="00566A37"/>
    <w:rsid w:val="00567360"/>
    <w:rsid w:val="0057420A"/>
    <w:rsid w:val="0058558B"/>
    <w:rsid w:val="00590119"/>
    <w:rsid w:val="00594CFE"/>
    <w:rsid w:val="00597A9D"/>
    <w:rsid w:val="00597BE4"/>
    <w:rsid w:val="005B0E7C"/>
    <w:rsid w:val="005B44B0"/>
    <w:rsid w:val="005C04FD"/>
    <w:rsid w:val="005C26FD"/>
    <w:rsid w:val="005C7FDF"/>
    <w:rsid w:val="005D1487"/>
    <w:rsid w:val="005D5A45"/>
    <w:rsid w:val="005F0821"/>
    <w:rsid w:val="006024E6"/>
    <w:rsid w:val="00610326"/>
    <w:rsid w:val="006168FE"/>
    <w:rsid w:val="00621618"/>
    <w:rsid w:val="00626613"/>
    <w:rsid w:val="00627AE8"/>
    <w:rsid w:val="0063445E"/>
    <w:rsid w:val="00642DFF"/>
    <w:rsid w:val="0064758E"/>
    <w:rsid w:val="006652D4"/>
    <w:rsid w:val="00675385"/>
    <w:rsid w:val="00682EF6"/>
    <w:rsid w:val="0068734E"/>
    <w:rsid w:val="006940CB"/>
    <w:rsid w:val="006945DD"/>
    <w:rsid w:val="006A10A9"/>
    <w:rsid w:val="006A3C72"/>
    <w:rsid w:val="006A6022"/>
    <w:rsid w:val="006B463C"/>
    <w:rsid w:val="006C1015"/>
    <w:rsid w:val="006C2D8C"/>
    <w:rsid w:val="006C6EBE"/>
    <w:rsid w:val="006C71F4"/>
    <w:rsid w:val="006D22B1"/>
    <w:rsid w:val="006D42C6"/>
    <w:rsid w:val="006D6DBA"/>
    <w:rsid w:val="006E512A"/>
    <w:rsid w:val="006E74AC"/>
    <w:rsid w:val="006F1207"/>
    <w:rsid w:val="006F2F28"/>
    <w:rsid w:val="006F5687"/>
    <w:rsid w:val="0071448A"/>
    <w:rsid w:val="00714A1B"/>
    <w:rsid w:val="00732472"/>
    <w:rsid w:val="00732EDD"/>
    <w:rsid w:val="0073574A"/>
    <w:rsid w:val="00740C2A"/>
    <w:rsid w:val="00752C9E"/>
    <w:rsid w:val="007568DA"/>
    <w:rsid w:val="007742E1"/>
    <w:rsid w:val="00785866"/>
    <w:rsid w:val="0079350C"/>
    <w:rsid w:val="007959A4"/>
    <w:rsid w:val="00796E70"/>
    <w:rsid w:val="007A1E12"/>
    <w:rsid w:val="007A1EF6"/>
    <w:rsid w:val="007A4CF9"/>
    <w:rsid w:val="007A7AF9"/>
    <w:rsid w:val="007E18BD"/>
    <w:rsid w:val="007E2DA1"/>
    <w:rsid w:val="007E43CE"/>
    <w:rsid w:val="007E6AE2"/>
    <w:rsid w:val="007E6EE4"/>
    <w:rsid w:val="008252C5"/>
    <w:rsid w:val="00825A1B"/>
    <w:rsid w:val="00826B5B"/>
    <w:rsid w:val="00833A21"/>
    <w:rsid w:val="00834349"/>
    <w:rsid w:val="00841612"/>
    <w:rsid w:val="0084436D"/>
    <w:rsid w:val="0085525D"/>
    <w:rsid w:val="00865B8E"/>
    <w:rsid w:val="0087102F"/>
    <w:rsid w:val="00875426"/>
    <w:rsid w:val="00875758"/>
    <w:rsid w:val="0087618D"/>
    <w:rsid w:val="0087678D"/>
    <w:rsid w:val="008906A0"/>
    <w:rsid w:val="008A502D"/>
    <w:rsid w:val="008A6258"/>
    <w:rsid w:val="008B1FC4"/>
    <w:rsid w:val="008B2BDA"/>
    <w:rsid w:val="008B2DCF"/>
    <w:rsid w:val="008B676A"/>
    <w:rsid w:val="008E7931"/>
    <w:rsid w:val="008F066A"/>
    <w:rsid w:val="008F06DB"/>
    <w:rsid w:val="008F3374"/>
    <w:rsid w:val="009128F1"/>
    <w:rsid w:val="00913811"/>
    <w:rsid w:val="00916EFE"/>
    <w:rsid w:val="009424FC"/>
    <w:rsid w:val="00943D67"/>
    <w:rsid w:val="00955904"/>
    <w:rsid w:val="00956D38"/>
    <w:rsid w:val="00963113"/>
    <w:rsid w:val="009727EA"/>
    <w:rsid w:val="00974486"/>
    <w:rsid w:val="0099096C"/>
    <w:rsid w:val="00997B88"/>
    <w:rsid w:val="009A1F64"/>
    <w:rsid w:val="009B1D2B"/>
    <w:rsid w:val="009B43F5"/>
    <w:rsid w:val="009C2792"/>
    <w:rsid w:val="009C2FF6"/>
    <w:rsid w:val="009C6159"/>
    <w:rsid w:val="009C664E"/>
    <w:rsid w:val="009D173C"/>
    <w:rsid w:val="009E2379"/>
    <w:rsid w:val="009F6486"/>
    <w:rsid w:val="009F74E9"/>
    <w:rsid w:val="00A02958"/>
    <w:rsid w:val="00A07212"/>
    <w:rsid w:val="00A1090D"/>
    <w:rsid w:val="00A110C2"/>
    <w:rsid w:val="00A16AB0"/>
    <w:rsid w:val="00A1745B"/>
    <w:rsid w:val="00A23834"/>
    <w:rsid w:val="00A372A1"/>
    <w:rsid w:val="00A465E1"/>
    <w:rsid w:val="00A504DB"/>
    <w:rsid w:val="00A55D76"/>
    <w:rsid w:val="00A576E2"/>
    <w:rsid w:val="00A773E7"/>
    <w:rsid w:val="00A821E4"/>
    <w:rsid w:val="00A82933"/>
    <w:rsid w:val="00A85FAD"/>
    <w:rsid w:val="00A903D4"/>
    <w:rsid w:val="00A92592"/>
    <w:rsid w:val="00A93999"/>
    <w:rsid w:val="00A9442E"/>
    <w:rsid w:val="00A9473B"/>
    <w:rsid w:val="00AA35BE"/>
    <w:rsid w:val="00AA4BD8"/>
    <w:rsid w:val="00AC6B57"/>
    <w:rsid w:val="00AC79FD"/>
    <w:rsid w:val="00AD0D67"/>
    <w:rsid w:val="00AE02AA"/>
    <w:rsid w:val="00AE1D7D"/>
    <w:rsid w:val="00AE2D4B"/>
    <w:rsid w:val="00AE479C"/>
    <w:rsid w:val="00AE734B"/>
    <w:rsid w:val="00AF6C53"/>
    <w:rsid w:val="00B01F79"/>
    <w:rsid w:val="00B10CE5"/>
    <w:rsid w:val="00B1445A"/>
    <w:rsid w:val="00B235FA"/>
    <w:rsid w:val="00B310BC"/>
    <w:rsid w:val="00B33117"/>
    <w:rsid w:val="00B3541A"/>
    <w:rsid w:val="00B36D50"/>
    <w:rsid w:val="00B37BD9"/>
    <w:rsid w:val="00B505CA"/>
    <w:rsid w:val="00B506BA"/>
    <w:rsid w:val="00B56B75"/>
    <w:rsid w:val="00B61A4D"/>
    <w:rsid w:val="00B7296B"/>
    <w:rsid w:val="00B732E3"/>
    <w:rsid w:val="00B9194C"/>
    <w:rsid w:val="00B95E1A"/>
    <w:rsid w:val="00B96F44"/>
    <w:rsid w:val="00BA46C8"/>
    <w:rsid w:val="00BB5392"/>
    <w:rsid w:val="00BC7AEE"/>
    <w:rsid w:val="00BD100F"/>
    <w:rsid w:val="00BD56AF"/>
    <w:rsid w:val="00BE339D"/>
    <w:rsid w:val="00BE49E3"/>
    <w:rsid w:val="00BE6BF5"/>
    <w:rsid w:val="00BF7334"/>
    <w:rsid w:val="00C03E87"/>
    <w:rsid w:val="00C04472"/>
    <w:rsid w:val="00C157A3"/>
    <w:rsid w:val="00C22100"/>
    <w:rsid w:val="00C4772D"/>
    <w:rsid w:val="00C55DE8"/>
    <w:rsid w:val="00C6016A"/>
    <w:rsid w:val="00C7008A"/>
    <w:rsid w:val="00C732FF"/>
    <w:rsid w:val="00C83817"/>
    <w:rsid w:val="00C916ED"/>
    <w:rsid w:val="00CB091E"/>
    <w:rsid w:val="00CB63AD"/>
    <w:rsid w:val="00CC108C"/>
    <w:rsid w:val="00CC6BEC"/>
    <w:rsid w:val="00CD40D6"/>
    <w:rsid w:val="00CE13B6"/>
    <w:rsid w:val="00CF2A50"/>
    <w:rsid w:val="00CF2CEE"/>
    <w:rsid w:val="00CF2EEC"/>
    <w:rsid w:val="00CF4E3A"/>
    <w:rsid w:val="00D03FEB"/>
    <w:rsid w:val="00D05C2D"/>
    <w:rsid w:val="00D15E11"/>
    <w:rsid w:val="00D16F47"/>
    <w:rsid w:val="00D17037"/>
    <w:rsid w:val="00D31AE5"/>
    <w:rsid w:val="00D34F86"/>
    <w:rsid w:val="00D50818"/>
    <w:rsid w:val="00D54F3F"/>
    <w:rsid w:val="00D57DAD"/>
    <w:rsid w:val="00D6294C"/>
    <w:rsid w:val="00D63234"/>
    <w:rsid w:val="00D6374D"/>
    <w:rsid w:val="00D66B67"/>
    <w:rsid w:val="00D672EA"/>
    <w:rsid w:val="00D70DAC"/>
    <w:rsid w:val="00D760C2"/>
    <w:rsid w:val="00D76801"/>
    <w:rsid w:val="00D85E74"/>
    <w:rsid w:val="00D92EE2"/>
    <w:rsid w:val="00DA1615"/>
    <w:rsid w:val="00DC0B86"/>
    <w:rsid w:val="00DC1F2E"/>
    <w:rsid w:val="00DC46EC"/>
    <w:rsid w:val="00DD52D5"/>
    <w:rsid w:val="00DE3212"/>
    <w:rsid w:val="00DE55B2"/>
    <w:rsid w:val="00DF2821"/>
    <w:rsid w:val="00E021ED"/>
    <w:rsid w:val="00E135FA"/>
    <w:rsid w:val="00E24077"/>
    <w:rsid w:val="00E3201D"/>
    <w:rsid w:val="00E35907"/>
    <w:rsid w:val="00E3607A"/>
    <w:rsid w:val="00E41E39"/>
    <w:rsid w:val="00E47AFF"/>
    <w:rsid w:val="00E65F9A"/>
    <w:rsid w:val="00E804DA"/>
    <w:rsid w:val="00E80ADC"/>
    <w:rsid w:val="00EA289E"/>
    <w:rsid w:val="00EB0D18"/>
    <w:rsid w:val="00EB13DD"/>
    <w:rsid w:val="00EB47C6"/>
    <w:rsid w:val="00EB4AEE"/>
    <w:rsid w:val="00EB6547"/>
    <w:rsid w:val="00EC4B70"/>
    <w:rsid w:val="00EC52D2"/>
    <w:rsid w:val="00EE0B16"/>
    <w:rsid w:val="00EE2F6B"/>
    <w:rsid w:val="00EF083A"/>
    <w:rsid w:val="00F06F6A"/>
    <w:rsid w:val="00F07A3C"/>
    <w:rsid w:val="00F118B4"/>
    <w:rsid w:val="00F1605C"/>
    <w:rsid w:val="00F2245E"/>
    <w:rsid w:val="00F25916"/>
    <w:rsid w:val="00F25B02"/>
    <w:rsid w:val="00F304AF"/>
    <w:rsid w:val="00F315BB"/>
    <w:rsid w:val="00F346AB"/>
    <w:rsid w:val="00F444AC"/>
    <w:rsid w:val="00F71DCD"/>
    <w:rsid w:val="00F75381"/>
    <w:rsid w:val="00F876D6"/>
    <w:rsid w:val="00F91BB2"/>
    <w:rsid w:val="00F9383A"/>
    <w:rsid w:val="00FA5998"/>
    <w:rsid w:val="00FB647D"/>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CAC0C"/>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 w:type="character" w:styleId="UnresolvedMention">
    <w:name w:val="Unresolved Mention"/>
    <w:basedOn w:val="DefaultParagraphFont"/>
    <w:uiPriority w:val="99"/>
    <w:semiHidden/>
    <w:unhideWhenUsed/>
    <w:rsid w:val="00694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753">
      <w:bodyDiv w:val="1"/>
      <w:marLeft w:val="0"/>
      <w:marRight w:val="0"/>
      <w:marTop w:val="0"/>
      <w:marBottom w:val="0"/>
      <w:divBdr>
        <w:top w:val="none" w:sz="0" w:space="0" w:color="auto"/>
        <w:left w:val="none" w:sz="0" w:space="0" w:color="auto"/>
        <w:bottom w:val="none" w:sz="0" w:space="0" w:color="auto"/>
        <w:right w:val="none" w:sz="0" w:space="0" w:color="auto"/>
      </w:divBdr>
      <w:divsChild>
        <w:div w:id="272520875">
          <w:marLeft w:val="0"/>
          <w:marRight w:val="0"/>
          <w:marTop w:val="0"/>
          <w:marBottom w:val="0"/>
          <w:divBdr>
            <w:top w:val="none" w:sz="0" w:space="0" w:color="auto"/>
            <w:left w:val="none" w:sz="0" w:space="0" w:color="auto"/>
            <w:bottom w:val="none" w:sz="0" w:space="0" w:color="auto"/>
            <w:right w:val="none" w:sz="0" w:space="0" w:color="auto"/>
          </w:divBdr>
        </w:div>
      </w:divsChild>
    </w:div>
    <w:div w:id="43151476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736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2">
          <w:marLeft w:val="-240"/>
          <w:marRight w:val="-240"/>
          <w:marTop w:val="0"/>
          <w:marBottom w:val="0"/>
          <w:divBdr>
            <w:top w:val="none" w:sz="0" w:space="0" w:color="auto"/>
            <w:left w:val="none" w:sz="0" w:space="0" w:color="auto"/>
            <w:bottom w:val="none" w:sz="0" w:space="0" w:color="auto"/>
            <w:right w:val="none" w:sz="0" w:space="0" w:color="auto"/>
          </w:divBdr>
          <w:divsChild>
            <w:div w:id="1158226011">
              <w:marLeft w:val="0"/>
              <w:marRight w:val="0"/>
              <w:marTop w:val="0"/>
              <w:marBottom w:val="0"/>
              <w:divBdr>
                <w:top w:val="none" w:sz="0" w:space="0" w:color="auto"/>
                <w:left w:val="none" w:sz="0" w:space="0" w:color="auto"/>
                <w:bottom w:val="none" w:sz="0" w:space="0" w:color="auto"/>
                <w:right w:val="none" w:sz="0" w:space="0" w:color="auto"/>
              </w:divBdr>
              <w:divsChild>
                <w:div w:id="30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09">
      <w:bodyDiv w:val="1"/>
      <w:marLeft w:val="0"/>
      <w:marRight w:val="0"/>
      <w:marTop w:val="0"/>
      <w:marBottom w:val="0"/>
      <w:divBdr>
        <w:top w:val="none" w:sz="0" w:space="0" w:color="auto"/>
        <w:left w:val="none" w:sz="0" w:space="0" w:color="auto"/>
        <w:bottom w:val="none" w:sz="0" w:space="0" w:color="auto"/>
        <w:right w:val="none" w:sz="0" w:space="0" w:color="auto"/>
      </w:divBdr>
      <w:divsChild>
        <w:div w:id="298655951">
          <w:marLeft w:val="-240"/>
          <w:marRight w:val="-240"/>
          <w:marTop w:val="0"/>
          <w:marBottom w:val="0"/>
          <w:divBdr>
            <w:top w:val="none" w:sz="0" w:space="0" w:color="auto"/>
            <w:left w:val="none" w:sz="0" w:space="0" w:color="auto"/>
            <w:bottom w:val="none" w:sz="0" w:space="0" w:color="auto"/>
            <w:right w:val="none" w:sz="0" w:space="0" w:color="auto"/>
          </w:divBdr>
          <w:divsChild>
            <w:div w:id="1249997122">
              <w:marLeft w:val="0"/>
              <w:marRight w:val="0"/>
              <w:marTop w:val="0"/>
              <w:marBottom w:val="0"/>
              <w:divBdr>
                <w:top w:val="none" w:sz="0" w:space="0" w:color="auto"/>
                <w:left w:val="none" w:sz="0" w:space="0" w:color="auto"/>
                <w:bottom w:val="none" w:sz="0" w:space="0" w:color="auto"/>
                <w:right w:val="none" w:sz="0" w:space="0" w:color="auto"/>
              </w:divBdr>
              <w:divsChild>
                <w:div w:id="2040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58591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3039564">
      <w:bodyDiv w:val="1"/>
      <w:marLeft w:val="0"/>
      <w:marRight w:val="0"/>
      <w:marTop w:val="0"/>
      <w:marBottom w:val="0"/>
      <w:divBdr>
        <w:top w:val="none" w:sz="0" w:space="0" w:color="auto"/>
        <w:left w:val="none" w:sz="0" w:space="0" w:color="auto"/>
        <w:bottom w:val="none" w:sz="0" w:space="0" w:color="auto"/>
        <w:right w:val="none" w:sz="0" w:space="0" w:color="auto"/>
      </w:divBdr>
      <w:divsChild>
        <w:div w:id="851068779">
          <w:marLeft w:val="-240"/>
          <w:marRight w:val="-240"/>
          <w:marTop w:val="0"/>
          <w:marBottom w:val="0"/>
          <w:divBdr>
            <w:top w:val="none" w:sz="0" w:space="0" w:color="auto"/>
            <w:left w:val="none" w:sz="0" w:space="0" w:color="auto"/>
            <w:bottom w:val="none" w:sz="0" w:space="0" w:color="auto"/>
            <w:right w:val="none" w:sz="0" w:space="0" w:color="auto"/>
          </w:divBdr>
          <w:divsChild>
            <w:div w:id="1649440177">
              <w:marLeft w:val="0"/>
              <w:marRight w:val="0"/>
              <w:marTop w:val="0"/>
              <w:marBottom w:val="0"/>
              <w:divBdr>
                <w:top w:val="none" w:sz="0" w:space="0" w:color="auto"/>
                <w:left w:val="none" w:sz="0" w:space="0" w:color="auto"/>
                <w:bottom w:val="none" w:sz="0" w:space="0" w:color="auto"/>
                <w:right w:val="none" w:sz="0" w:space="0" w:color="auto"/>
              </w:divBdr>
              <w:divsChild>
                <w:div w:id="426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20200623/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webinars/20200611/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en/ITU-T/webinars/20200630/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Pages/dfs.aspx" TargetMode="External"/><Relationship Id="rId5" Type="http://schemas.openxmlformats.org/officeDocument/2006/relationships/webSettings" Target="webSettings.xml"/><Relationship Id="rId15" Type="http://schemas.openxmlformats.org/officeDocument/2006/relationships/hyperlink" Target="https://www.itu.int/en/ITU-T/webinars/20200629/Pages/default.aspx" TargetMode="External"/><Relationship Id="rId10" Type="http://schemas.openxmlformats.org/officeDocument/2006/relationships/hyperlink" Target="https://www.itu.int/en/ITU-T/webinars/Pages/dfs.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ebinars/20200626/Pages/defaul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157E8-94C0-4E97-94A4-7C4706DE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6</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2493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6</cp:revision>
  <cp:lastPrinted>2020-06-10T15:37:00Z</cp:lastPrinted>
  <dcterms:created xsi:type="dcterms:W3CDTF">2020-06-01T13:36:00Z</dcterms:created>
  <dcterms:modified xsi:type="dcterms:W3CDTF">2020-06-10T15:38:00Z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