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9961" w:type="dxa"/>
        <w:tblLayout w:type="fixed"/>
        <w:tblLook w:val="0000" w:firstRow="0" w:lastRow="0" w:firstColumn="0" w:lastColumn="0" w:noHBand="0" w:noVBand="0"/>
      </w:tblPr>
      <w:tblGrid>
        <w:gridCol w:w="1314"/>
        <w:gridCol w:w="142"/>
        <w:gridCol w:w="3402"/>
        <w:gridCol w:w="3512"/>
        <w:gridCol w:w="1591"/>
      </w:tblGrid>
      <w:tr w:rsidR="00FA46A0" w:rsidRPr="004D2A5F" w14:paraId="6DB7A0E3" w14:textId="77777777" w:rsidTr="005A1329">
        <w:trPr>
          <w:trHeight w:val="267"/>
        </w:trPr>
        <w:tc>
          <w:tcPr>
            <w:tcW w:w="145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0BE54" w14:textId="77777777" w:rsidR="00FA46A0" w:rsidRPr="00133089" w:rsidRDefault="009747C5">
            <w:pPr>
              <w:pStyle w:val="Tabletext"/>
              <w:jc w:val="center"/>
              <w:rPr>
                <w:lang w:val="fr-FR"/>
              </w:rPr>
            </w:pPr>
            <w:r w:rsidRPr="00133089">
              <w:rPr>
                <w:noProof/>
                <w:lang w:val="fr-FR"/>
              </w:rPr>
              <w:drawing>
                <wp:inline distT="0" distB="0" distL="0" distR="0" wp14:anchorId="58A2E55C" wp14:editId="7C45CCB1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4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364263B3" w14:textId="6CAB3643" w:rsidR="00FA46A0" w:rsidRPr="00133089" w:rsidRDefault="00E6797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fr-FR"/>
              </w:rPr>
            </w:pPr>
            <w:r w:rsidRPr="00133089">
              <w:rPr>
                <w:rFonts w:cs="Times New Roman Bold"/>
                <w:b/>
                <w:bCs/>
                <w:smallCaps/>
                <w:sz w:val="36"/>
                <w:szCs w:val="36"/>
                <w:lang w:val="fr-FR"/>
              </w:rPr>
              <w:t>Union i</w:t>
            </w:r>
            <w:r w:rsidR="00B61012" w:rsidRPr="00133089">
              <w:rPr>
                <w:rFonts w:cs="Times New Roman Bold"/>
                <w:b/>
                <w:bCs/>
                <w:smallCaps/>
                <w:sz w:val="36"/>
                <w:szCs w:val="36"/>
                <w:lang w:val="fr-FR"/>
              </w:rPr>
              <w:t>nternational</w:t>
            </w:r>
            <w:r w:rsidRPr="00133089">
              <w:rPr>
                <w:rFonts w:cs="Times New Roman Bold"/>
                <w:b/>
                <w:bCs/>
                <w:smallCaps/>
                <w:sz w:val="36"/>
                <w:szCs w:val="36"/>
                <w:lang w:val="fr-FR"/>
              </w:rPr>
              <w:t>e</w:t>
            </w:r>
            <w:r w:rsidR="00B61012" w:rsidRPr="00133089">
              <w:rPr>
                <w:rFonts w:cs="Times New Roman Bold"/>
                <w:b/>
                <w:bCs/>
                <w:smallCaps/>
                <w:sz w:val="36"/>
                <w:szCs w:val="36"/>
                <w:lang w:val="fr-FR"/>
              </w:rPr>
              <w:t xml:space="preserve"> </w:t>
            </w:r>
            <w:r w:rsidRPr="00133089">
              <w:rPr>
                <w:rFonts w:cs="Times New Roman Bold"/>
                <w:b/>
                <w:bCs/>
                <w:smallCaps/>
                <w:sz w:val="36"/>
                <w:szCs w:val="36"/>
                <w:lang w:val="fr-FR"/>
              </w:rPr>
              <w:t>des télé</w:t>
            </w:r>
            <w:r w:rsidR="00B61012" w:rsidRPr="00133089">
              <w:rPr>
                <w:rFonts w:cs="Times New Roman Bold"/>
                <w:b/>
                <w:bCs/>
                <w:smallCaps/>
                <w:sz w:val="36"/>
                <w:szCs w:val="36"/>
                <w:lang w:val="fr-FR"/>
              </w:rPr>
              <w:t>communication</w:t>
            </w:r>
            <w:r w:rsidRPr="00133089">
              <w:rPr>
                <w:rFonts w:cs="Times New Roman Bold"/>
                <w:b/>
                <w:bCs/>
                <w:smallCaps/>
                <w:sz w:val="36"/>
                <w:szCs w:val="36"/>
                <w:lang w:val="fr-FR"/>
              </w:rPr>
              <w:t>s</w:t>
            </w:r>
          </w:p>
          <w:p w14:paraId="2BF792EF" w14:textId="6CE05CEC" w:rsidR="00FA46A0" w:rsidRPr="00133089" w:rsidRDefault="00E67977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fr-FR"/>
              </w:rPr>
            </w:pPr>
            <w:r w:rsidRPr="00133089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FR"/>
              </w:rPr>
              <w:t>Bureau de la normalisation des télécommunications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3CCAA8C" w14:textId="77777777" w:rsidR="00FA46A0" w:rsidRPr="00133089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fr-FR"/>
              </w:rPr>
            </w:pPr>
          </w:p>
        </w:tc>
      </w:tr>
      <w:tr w:rsidR="00FA46A0" w:rsidRPr="00133089" w14:paraId="4298606A" w14:textId="77777777" w:rsidTr="004D2A5F">
        <w:trPr>
          <w:cantSplit/>
          <w:trHeight w:val="897"/>
        </w:trPr>
        <w:tc>
          <w:tcPr>
            <w:tcW w:w="4858" w:type="dxa"/>
            <w:gridSpan w:val="3"/>
            <w:vAlign w:val="center"/>
          </w:tcPr>
          <w:p w14:paraId="38A4111D" w14:textId="77777777" w:rsidR="00FA46A0" w:rsidRPr="00133089" w:rsidRDefault="00FA46A0">
            <w:pPr>
              <w:pStyle w:val="Tabletext"/>
              <w:jc w:val="right"/>
              <w:rPr>
                <w:lang w:val="fr-FR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93147B3" w14:textId="613AD303" w:rsidR="00FA46A0" w:rsidRPr="00133089" w:rsidRDefault="00E67977" w:rsidP="004566F1">
            <w:pPr>
              <w:pStyle w:val="Tabletext"/>
              <w:spacing w:before="0" w:after="0"/>
              <w:ind w:left="-115"/>
              <w:rPr>
                <w:lang w:val="fr-FR"/>
              </w:rPr>
            </w:pPr>
            <w:r w:rsidRPr="00133089">
              <w:rPr>
                <w:lang w:val="fr-FR"/>
              </w:rPr>
              <w:t>Genève, le 18 mai</w:t>
            </w:r>
            <w:r w:rsidR="002C53C6" w:rsidRPr="00133089">
              <w:rPr>
                <w:lang w:val="fr-FR"/>
              </w:rPr>
              <w:t xml:space="preserve"> 2020</w:t>
            </w:r>
          </w:p>
        </w:tc>
      </w:tr>
      <w:tr w:rsidR="00FA46A0" w:rsidRPr="004D2A5F" w14:paraId="2E898A9E" w14:textId="77777777" w:rsidTr="005A1329">
        <w:trPr>
          <w:cantSplit/>
        </w:trPr>
        <w:tc>
          <w:tcPr>
            <w:tcW w:w="1314" w:type="dxa"/>
          </w:tcPr>
          <w:p w14:paraId="6AB799CC" w14:textId="468D369F" w:rsidR="00FA46A0" w:rsidRPr="00133089" w:rsidRDefault="00E67977">
            <w:pPr>
              <w:pStyle w:val="Tabletext"/>
              <w:rPr>
                <w:szCs w:val="24"/>
                <w:lang w:val="fr-FR"/>
              </w:rPr>
            </w:pPr>
            <w:proofErr w:type="gramStart"/>
            <w:r w:rsidRPr="00133089">
              <w:rPr>
                <w:b/>
                <w:szCs w:val="24"/>
                <w:lang w:val="fr-FR"/>
              </w:rPr>
              <w:t>Ré</w:t>
            </w:r>
            <w:r w:rsidR="00B61012" w:rsidRPr="00133089">
              <w:rPr>
                <w:b/>
                <w:szCs w:val="24"/>
                <w:lang w:val="fr-FR"/>
              </w:rPr>
              <w:t>f</w:t>
            </w:r>
            <w:r w:rsidRPr="00133089">
              <w:rPr>
                <w:b/>
                <w:szCs w:val="24"/>
                <w:lang w:val="fr-FR"/>
              </w:rPr>
              <w:t>.</w:t>
            </w:r>
            <w:r w:rsidR="00B61012" w:rsidRPr="00133089">
              <w:rPr>
                <w:b/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3544" w:type="dxa"/>
            <w:gridSpan w:val="2"/>
          </w:tcPr>
          <w:p w14:paraId="20941867" w14:textId="6982CC21" w:rsidR="00FA46A0" w:rsidRPr="00133089" w:rsidRDefault="00E67977" w:rsidP="00FC1C19">
            <w:pPr>
              <w:pStyle w:val="Tabletext"/>
              <w:rPr>
                <w:b/>
                <w:bCs/>
                <w:szCs w:val="24"/>
                <w:lang w:val="fr-FR"/>
              </w:rPr>
            </w:pPr>
            <w:r w:rsidRPr="00133089">
              <w:rPr>
                <w:b/>
                <w:bCs/>
                <w:szCs w:val="24"/>
                <w:lang w:val="fr-FR"/>
              </w:rPr>
              <w:t>Circulaire TSB</w:t>
            </w:r>
            <w:r w:rsidR="00B61012" w:rsidRPr="00133089">
              <w:rPr>
                <w:b/>
                <w:bCs/>
                <w:szCs w:val="24"/>
                <w:lang w:val="fr-FR"/>
              </w:rPr>
              <w:t xml:space="preserve"> </w:t>
            </w:r>
            <w:r w:rsidR="002C53C6" w:rsidRPr="00133089">
              <w:rPr>
                <w:b/>
                <w:bCs/>
                <w:szCs w:val="24"/>
                <w:lang w:val="fr-FR"/>
              </w:rPr>
              <w:t>251</w:t>
            </w:r>
          </w:p>
        </w:tc>
        <w:tc>
          <w:tcPr>
            <w:tcW w:w="5103" w:type="dxa"/>
            <w:gridSpan w:val="2"/>
            <w:vMerge w:val="restart"/>
          </w:tcPr>
          <w:p w14:paraId="77212A71" w14:textId="2FFD2946" w:rsidR="00FF5729" w:rsidRPr="0013308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FR"/>
              </w:rPr>
            </w:pPr>
            <w:r w:rsidRPr="00133089">
              <w:rPr>
                <w:szCs w:val="24"/>
                <w:lang w:val="fr-FR"/>
              </w:rPr>
              <w:t>-</w:t>
            </w:r>
            <w:r w:rsidRPr="00133089">
              <w:rPr>
                <w:szCs w:val="24"/>
                <w:lang w:val="fr-FR"/>
              </w:rPr>
              <w:tab/>
            </w:r>
            <w:r w:rsidR="00E75BA7" w:rsidRPr="00133089">
              <w:rPr>
                <w:szCs w:val="24"/>
                <w:lang w:val="fr-FR"/>
              </w:rPr>
              <w:t>Aux a</w:t>
            </w:r>
            <w:r w:rsidRPr="00133089">
              <w:rPr>
                <w:szCs w:val="24"/>
                <w:lang w:val="fr-FR"/>
              </w:rPr>
              <w:t xml:space="preserve">dministrations </w:t>
            </w:r>
            <w:r w:rsidR="00E75BA7" w:rsidRPr="00133089">
              <w:rPr>
                <w:szCs w:val="24"/>
                <w:lang w:val="fr-FR"/>
              </w:rPr>
              <w:t>des États Membres</w:t>
            </w:r>
            <w:r w:rsidRPr="00133089">
              <w:rPr>
                <w:szCs w:val="24"/>
                <w:lang w:val="fr-FR"/>
              </w:rPr>
              <w:t xml:space="preserve"> </w:t>
            </w:r>
            <w:r w:rsidR="00E75BA7" w:rsidRPr="00133089">
              <w:rPr>
                <w:szCs w:val="24"/>
                <w:lang w:val="fr-FR"/>
              </w:rPr>
              <w:t>de l'</w:t>
            </w:r>
            <w:r w:rsidRPr="00133089">
              <w:rPr>
                <w:szCs w:val="24"/>
                <w:lang w:val="fr-FR"/>
              </w:rPr>
              <w:t>Union</w:t>
            </w:r>
            <w:r w:rsidR="00A72C30" w:rsidRPr="00133089">
              <w:rPr>
                <w:szCs w:val="24"/>
                <w:lang w:val="fr-FR"/>
              </w:rPr>
              <w:t>;</w:t>
            </w:r>
          </w:p>
          <w:p w14:paraId="4E6627F6" w14:textId="490C2995" w:rsidR="00FF5729" w:rsidRPr="0013308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FR"/>
              </w:rPr>
            </w:pPr>
            <w:r w:rsidRPr="00133089">
              <w:rPr>
                <w:szCs w:val="24"/>
                <w:lang w:val="fr-FR"/>
              </w:rPr>
              <w:t>-</w:t>
            </w:r>
            <w:r w:rsidRPr="00133089">
              <w:rPr>
                <w:szCs w:val="24"/>
                <w:lang w:val="fr-FR"/>
              </w:rPr>
              <w:tab/>
            </w:r>
            <w:r w:rsidR="00E75BA7" w:rsidRPr="00133089">
              <w:rPr>
                <w:szCs w:val="24"/>
                <w:lang w:val="fr-FR"/>
              </w:rPr>
              <w:t>Aux Membres du Secteur UIT-T</w:t>
            </w:r>
            <w:r w:rsidR="00A72C30" w:rsidRPr="00133089">
              <w:rPr>
                <w:szCs w:val="24"/>
                <w:lang w:val="fr-FR"/>
              </w:rPr>
              <w:t>;</w:t>
            </w:r>
          </w:p>
          <w:p w14:paraId="4017EC66" w14:textId="6250324F" w:rsidR="00FF5729" w:rsidRPr="0013308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FR"/>
              </w:rPr>
            </w:pPr>
            <w:r w:rsidRPr="00133089">
              <w:rPr>
                <w:szCs w:val="24"/>
                <w:lang w:val="fr-FR"/>
              </w:rPr>
              <w:t>-</w:t>
            </w:r>
            <w:r w:rsidRPr="00133089">
              <w:rPr>
                <w:szCs w:val="24"/>
                <w:lang w:val="fr-FR"/>
              </w:rPr>
              <w:tab/>
            </w:r>
            <w:r w:rsidR="00E75BA7" w:rsidRPr="00133089">
              <w:rPr>
                <w:szCs w:val="24"/>
                <w:lang w:val="fr-FR"/>
              </w:rPr>
              <w:t>Aux Associés de l'UIT-T</w:t>
            </w:r>
            <w:r w:rsidR="00A72C30" w:rsidRPr="00133089">
              <w:rPr>
                <w:szCs w:val="24"/>
                <w:lang w:val="fr-FR"/>
              </w:rPr>
              <w:t>;</w:t>
            </w:r>
          </w:p>
          <w:p w14:paraId="70D4CB56" w14:textId="17507432" w:rsidR="00FA46A0" w:rsidRPr="00133089" w:rsidRDefault="00FF5729" w:rsidP="00E75BA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  <w:lang w:val="fr-FR"/>
              </w:rPr>
            </w:pPr>
            <w:r w:rsidRPr="00133089">
              <w:rPr>
                <w:szCs w:val="24"/>
                <w:lang w:val="fr-FR"/>
              </w:rPr>
              <w:t>-</w:t>
            </w:r>
            <w:r w:rsidRPr="00133089">
              <w:rPr>
                <w:szCs w:val="24"/>
                <w:lang w:val="fr-FR"/>
              </w:rPr>
              <w:tab/>
            </w:r>
            <w:r w:rsidR="00E75BA7" w:rsidRPr="00133089">
              <w:rPr>
                <w:szCs w:val="24"/>
                <w:lang w:val="fr-FR"/>
              </w:rPr>
              <w:t>Aux établissements universitaires participant aux travaux de l'UIT</w:t>
            </w:r>
          </w:p>
        </w:tc>
      </w:tr>
      <w:tr w:rsidR="00FA46A0" w:rsidRPr="00133089" w14:paraId="7DCE94B4" w14:textId="77777777" w:rsidTr="005A1329">
        <w:trPr>
          <w:cantSplit/>
        </w:trPr>
        <w:tc>
          <w:tcPr>
            <w:tcW w:w="1314" w:type="dxa"/>
          </w:tcPr>
          <w:p w14:paraId="6D97AA49" w14:textId="1A5966DD" w:rsidR="00FA46A0" w:rsidRPr="00133089" w:rsidRDefault="00E67977">
            <w:pPr>
              <w:pStyle w:val="Tabletext"/>
              <w:rPr>
                <w:szCs w:val="24"/>
                <w:lang w:val="fr-FR"/>
              </w:rPr>
            </w:pPr>
            <w:proofErr w:type="gramStart"/>
            <w:r w:rsidRPr="00133089">
              <w:rPr>
                <w:b/>
                <w:szCs w:val="24"/>
                <w:lang w:val="fr-FR"/>
              </w:rPr>
              <w:t>Té</w:t>
            </w:r>
            <w:r w:rsidR="00B61012" w:rsidRPr="00133089">
              <w:rPr>
                <w:b/>
                <w:szCs w:val="24"/>
                <w:lang w:val="fr-FR"/>
              </w:rPr>
              <w:t>l</w:t>
            </w:r>
            <w:r w:rsidRPr="00133089">
              <w:rPr>
                <w:b/>
                <w:szCs w:val="24"/>
                <w:lang w:val="fr-FR"/>
              </w:rPr>
              <w:t>.</w:t>
            </w:r>
            <w:r w:rsidR="00B61012" w:rsidRPr="00133089">
              <w:rPr>
                <w:b/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3544" w:type="dxa"/>
            <w:gridSpan w:val="2"/>
          </w:tcPr>
          <w:p w14:paraId="6E6C9905" w14:textId="32B989D6" w:rsidR="00FA46A0" w:rsidRPr="00133089" w:rsidRDefault="00C95BF6" w:rsidP="00C95BF6">
            <w:pPr>
              <w:pStyle w:val="Tabletext"/>
              <w:rPr>
                <w:b/>
                <w:szCs w:val="24"/>
                <w:lang w:val="fr-FR"/>
              </w:rPr>
            </w:pPr>
            <w:r w:rsidRPr="00133089">
              <w:rPr>
                <w:szCs w:val="24"/>
                <w:lang w:val="fr-FR"/>
              </w:rPr>
              <w:t xml:space="preserve">+41 22 730 </w:t>
            </w:r>
            <w:r w:rsidR="00AB684E" w:rsidRPr="00133089">
              <w:rPr>
                <w:szCs w:val="24"/>
                <w:lang w:val="fr-FR"/>
              </w:rPr>
              <w:t>5415</w:t>
            </w:r>
          </w:p>
        </w:tc>
        <w:tc>
          <w:tcPr>
            <w:tcW w:w="5103" w:type="dxa"/>
            <w:gridSpan w:val="2"/>
            <w:vMerge/>
          </w:tcPr>
          <w:p w14:paraId="5737413D" w14:textId="77777777" w:rsidR="00FA46A0" w:rsidRPr="00133089" w:rsidRDefault="00FA46A0" w:rsidP="00FF5729">
            <w:pPr>
              <w:pStyle w:val="Tabletext"/>
              <w:ind w:left="142" w:hanging="391"/>
              <w:rPr>
                <w:lang w:val="fr-FR"/>
              </w:rPr>
            </w:pPr>
          </w:p>
        </w:tc>
      </w:tr>
      <w:tr w:rsidR="00FA46A0" w:rsidRPr="00133089" w14:paraId="0626E25C" w14:textId="77777777" w:rsidTr="005A1329">
        <w:trPr>
          <w:cantSplit/>
          <w:trHeight w:val="282"/>
        </w:trPr>
        <w:tc>
          <w:tcPr>
            <w:tcW w:w="1314" w:type="dxa"/>
          </w:tcPr>
          <w:p w14:paraId="575A87FC" w14:textId="77777777" w:rsidR="00FA46A0" w:rsidRPr="00133089" w:rsidRDefault="00B61012">
            <w:pPr>
              <w:pStyle w:val="Tabletext"/>
              <w:rPr>
                <w:b/>
                <w:szCs w:val="24"/>
                <w:lang w:val="fr-FR"/>
              </w:rPr>
            </w:pPr>
            <w:r w:rsidRPr="00133089">
              <w:rPr>
                <w:b/>
                <w:szCs w:val="24"/>
                <w:lang w:val="fr-FR"/>
              </w:rPr>
              <w:t>Fax:</w:t>
            </w:r>
          </w:p>
          <w:p w14:paraId="792BAB88" w14:textId="2E6D3A87" w:rsidR="004566F1" w:rsidRPr="00133089" w:rsidRDefault="00E67977">
            <w:pPr>
              <w:pStyle w:val="Tabletext"/>
              <w:rPr>
                <w:szCs w:val="24"/>
                <w:lang w:val="fr-FR"/>
              </w:rPr>
            </w:pPr>
            <w:r w:rsidRPr="00133089">
              <w:rPr>
                <w:b/>
                <w:szCs w:val="24"/>
                <w:lang w:val="fr-FR"/>
              </w:rPr>
              <w:t>Courriel</w:t>
            </w:r>
            <w:r w:rsidR="004566F1" w:rsidRPr="00133089">
              <w:rPr>
                <w:b/>
                <w:szCs w:val="24"/>
                <w:lang w:val="fr-FR"/>
              </w:rPr>
              <w:t>:</w:t>
            </w:r>
          </w:p>
        </w:tc>
        <w:tc>
          <w:tcPr>
            <w:tcW w:w="3544" w:type="dxa"/>
            <w:gridSpan w:val="2"/>
          </w:tcPr>
          <w:p w14:paraId="252E46AC" w14:textId="77777777" w:rsidR="00FA46A0" w:rsidRPr="00133089" w:rsidRDefault="00B61012">
            <w:pPr>
              <w:pStyle w:val="Tabletext"/>
              <w:rPr>
                <w:szCs w:val="24"/>
                <w:lang w:val="fr-FR"/>
              </w:rPr>
            </w:pPr>
            <w:r w:rsidRPr="00133089">
              <w:rPr>
                <w:szCs w:val="24"/>
                <w:lang w:val="fr-FR"/>
              </w:rPr>
              <w:t>+41 22 730 5853</w:t>
            </w:r>
          </w:p>
          <w:p w14:paraId="1B608136" w14:textId="7B59F3CC" w:rsidR="004566F1" w:rsidRPr="00133089" w:rsidRDefault="00EB5C06">
            <w:pPr>
              <w:pStyle w:val="Tabletext"/>
              <w:rPr>
                <w:b/>
                <w:szCs w:val="24"/>
                <w:lang w:val="fr-FR"/>
              </w:rPr>
            </w:pPr>
            <w:hyperlink r:id="rId8" w:history="1">
              <w:r w:rsidR="004566F1" w:rsidRPr="00133089">
                <w:rPr>
                  <w:rStyle w:val="Hyperlink"/>
                  <w:szCs w:val="24"/>
                  <w:lang w:val="fr-FR"/>
                </w:rPr>
                <w:t>tsbaap@itu.int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6049B162" w14:textId="77777777" w:rsidR="00FA46A0" w:rsidRPr="00133089" w:rsidRDefault="00FA46A0" w:rsidP="00FF5729">
            <w:pPr>
              <w:pStyle w:val="Tabletext"/>
              <w:ind w:left="142" w:hanging="391"/>
              <w:rPr>
                <w:lang w:val="fr-FR"/>
              </w:rPr>
            </w:pPr>
          </w:p>
        </w:tc>
      </w:tr>
      <w:tr w:rsidR="00FA46A0" w:rsidRPr="004D2A5F" w14:paraId="47892187" w14:textId="77777777" w:rsidTr="004D2A5F">
        <w:trPr>
          <w:cantSplit/>
          <w:trHeight w:val="2535"/>
        </w:trPr>
        <w:tc>
          <w:tcPr>
            <w:tcW w:w="1314" w:type="dxa"/>
          </w:tcPr>
          <w:p w14:paraId="1CC68A2A" w14:textId="456FF6EB" w:rsidR="00FA46A0" w:rsidRPr="00133089" w:rsidRDefault="00FA46A0">
            <w:pPr>
              <w:pStyle w:val="Tabletext"/>
              <w:rPr>
                <w:szCs w:val="24"/>
                <w:lang w:val="fr-FR"/>
              </w:rPr>
            </w:pPr>
          </w:p>
        </w:tc>
        <w:tc>
          <w:tcPr>
            <w:tcW w:w="3544" w:type="dxa"/>
            <w:gridSpan w:val="2"/>
          </w:tcPr>
          <w:p w14:paraId="07AF1D37" w14:textId="3605EA83" w:rsidR="00FA46A0" w:rsidRPr="00133089" w:rsidRDefault="00FA46A0" w:rsidP="00FC1C19">
            <w:pPr>
              <w:pStyle w:val="Tabletext"/>
              <w:rPr>
                <w:szCs w:val="24"/>
                <w:lang w:val="fr-FR"/>
              </w:rPr>
            </w:pPr>
          </w:p>
        </w:tc>
        <w:tc>
          <w:tcPr>
            <w:tcW w:w="5103" w:type="dxa"/>
            <w:gridSpan w:val="2"/>
          </w:tcPr>
          <w:p w14:paraId="6400840C" w14:textId="7A9124F3" w:rsidR="00FC1C19" w:rsidRPr="00133089" w:rsidRDefault="00E75BA7" w:rsidP="00FF5729">
            <w:pPr>
              <w:pStyle w:val="Tabletext"/>
              <w:ind w:left="283" w:hanging="391"/>
              <w:rPr>
                <w:lang w:val="fr-FR"/>
              </w:rPr>
            </w:pPr>
            <w:r w:rsidRPr="00133089">
              <w:rPr>
                <w:b/>
                <w:lang w:val="fr-FR"/>
              </w:rPr>
              <w:t>Copie</w:t>
            </w:r>
            <w:r w:rsidR="00B61012" w:rsidRPr="00133089">
              <w:rPr>
                <w:b/>
                <w:lang w:val="fr-FR"/>
              </w:rPr>
              <w:t>:</w:t>
            </w:r>
          </w:p>
          <w:p w14:paraId="02D69BA0" w14:textId="1A661BF7" w:rsidR="003746A5" w:rsidRPr="00133089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lang w:val="fr-FR"/>
              </w:rPr>
            </w:pPr>
            <w:r w:rsidRPr="00133089">
              <w:rPr>
                <w:lang w:val="fr-FR"/>
              </w:rPr>
              <w:t>-</w:t>
            </w:r>
            <w:r w:rsidRPr="00133089">
              <w:rPr>
                <w:lang w:val="fr-FR"/>
              </w:rPr>
              <w:tab/>
            </w:r>
            <w:r w:rsidR="002C7392" w:rsidRPr="00133089">
              <w:rPr>
                <w:lang w:val="fr-FR"/>
              </w:rPr>
              <w:t xml:space="preserve">Aux Présidents et Vice-Présidents des </w:t>
            </w:r>
            <w:r w:rsidR="00410060" w:rsidRPr="00133089">
              <w:rPr>
                <w:lang w:val="fr-FR"/>
              </w:rPr>
              <w:t>c</w:t>
            </w:r>
            <w:r w:rsidR="002C7392" w:rsidRPr="00133089">
              <w:rPr>
                <w:lang w:val="fr-FR"/>
              </w:rPr>
              <w:t>ommissions d'études</w:t>
            </w:r>
            <w:r w:rsidR="00FC1C19" w:rsidRPr="00133089">
              <w:rPr>
                <w:lang w:val="fr-FR"/>
              </w:rPr>
              <w:t>;</w:t>
            </w:r>
          </w:p>
          <w:p w14:paraId="7E1D05BD" w14:textId="18C41B9F" w:rsidR="003746A5" w:rsidRPr="00133089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lang w:val="fr-FR"/>
              </w:rPr>
            </w:pPr>
            <w:r w:rsidRPr="00133089">
              <w:rPr>
                <w:lang w:val="fr-FR"/>
              </w:rPr>
              <w:t>-</w:t>
            </w:r>
            <w:r w:rsidRPr="00133089">
              <w:rPr>
                <w:lang w:val="fr-FR"/>
              </w:rPr>
              <w:tab/>
            </w:r>
            <w:r w:rsidR="005F37BB" w:rsidRPr="00133089">
              <w:rPr>
                <w:lang w:val="fr-FR"/>
              </w:rPr>
              <w:t>À</w:t>
            </w:r>
            <w:r w:rsidR="00410060" w:rsidRPr="00133089">
              <w:rPr>
                <w:lang w:val="fr-FR"/>
              </w:rPr>
              <w:t xml:space="preserve"> la Directrice</w:t>
            </w:r>
            <w:r w:rsidR="002C7392" w:rsidRPr="00133089">
              <w:rPr>
                <w:lang w:val="fr-FR"/>
              </w:rPr>
              <w:t xml:space="preserve"> du Bureau de développement des télécommunications</w:t>
            </w:r>
            <w:r w:rsidRPr="00133089">
              <w:rPr>
                <w:lang w:val="fr-FR"/>
              </w:rPr>
              <w:t>;</w:t>
            </w:r>
          </w:p>
          <w:p w14:paraId="3A7221D8" w14:textId="6AD4ED9A" w:rsidR="00FA46A0" w:rsidRPr="00133089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lang w:val="fr-FR"/>
              </w:rPr>
            </w:pPr>
            <w:r w:rsidRPr="00133089">
              <w:rPr>
                <w:lang w:val="fr-FR"/>
              </w:rPr>
              <w:t>-</w:t>
            </w:r>
            <w:r w:rsidRPr="00133089">
              <w:rPr>
                <w:lang w:val="fr-FR"/>
              </w:rPr>
              <w:tab/>
            </w:r>
            <w:r w:rsidR="002C7392" w:rsidRPr="00133089">
              <w:rPr>
                <w:lang w:val="fr-FR"/>
              </w:rPr>
              <w:t>Au Directeur du Bureau des</w:t>
            </w:r>
            <w:r w:rsidR="002C7392" w:rsidRPr="00133089">
              <w:rPr>
                <w:lang w:val="fr-FR"/>
              </w:rPr>
              <w:br/>
              <w:t>radiocommunications</w:t>
            </w:r>
          </w:p>
        </w:tc>
      </w:tr>
      <w:tr w:rsidR="00FA46A0" w:rsidRPr="004D2A5F" w14:paraId="2AEB48B0" w14:textId="77777777" w:rsidTr="005A1329">
        <w:trPr>
          <w:cantSplit/>
        </w:trPr>
        <w:tc>
          <w:tcPr>
            <w:tcW w:w="1314" w:type="dxa"/>
          </w:tcPr>
          <w:p w14:paraId="72D80B83" w14:textId="7A6A1D6A" w:rsidR="00FA46A0" w:rsidRPr="00133089" w:rsidRDefault="002C7392">
            <w:pPr>
              <w:pStyle w:val="Tabletext"/>
              <w:rPr>
                <w:b/>
                <w:lang w:val="fr-FR"/>
              </w:rPr>
            </w:pPr>
            <w:proofErr w:type="gramStart"/>
            <w:r w:rsidRPr="00133089">
              <w:rPr>
                <w:b/>
                <w:lang w:val="fr-FR"/>
              </w:rPr>
              <w:t>Objet</w:t>
            </w:r>
            <w:r w:rsidR="00B61012" w:rsidRPr="00133089">
              <w:rPr>
                <w:b/>
                <w:lang w:val="fr-FR"/>
              </w:rPr>
              <w:t>:</w:t>
            </w:r>
            <w:proofErr w:type="gramEnd"/>
          </w:p>
        </w:tc>
        <w:tc>
          <w:tcPr>
            <w:tcW w:w="8647" w:type="dxa"/>
            <w:gridSpan w:val="4"/>
          </w:tcPr>
          <w:p w14:paraId="653E87C4" w14:textId="256F8273" w:rsidR="00FA46A0" w:rsidRPr="00133089" w:rsidRDefault="002C7392" w:rsidP="00E84BEB">
            <w:pPr>
              <w:pStyle w:val="Tabletext"/>
              <w:rPr>
                <w:b/>
                <w:lang w:val="fr-FR"/>
              </w:rPr>
            </w:pPr>
            <w:bookmarkStart w:id="0" w:name="_Hlk40375742"/>
            <w:r w:rsidRPr="00133089">
              <w:rPr>
                <w:b/>
                <w:lang w:val="fr-FR"/>
              </w:rPr>
              <w:t>Dé</w:t>
            </w:r>
            <w:r w:rsidR="00AE3ACC" w:rsidRPr="00133089">
              <w:rPr>
                <w:b/>
                <w:lang w:val="fr-FR"/>
              </w:rPr>
              <w:t xml:space="preserve">signation </w:t>
            </w:r>
            <w:r w:rsidR="001A6200" w:rsidRPr="00133089">
              <w:rPr>
                <w:b/>
                <w:lang w:val="fr-FR"/>
              </w:rPr>
              <w:t>de</w:t>
            </w:r>
            <w:r w:rsidR="00E84BEB" w:rsidRPr="00133089">
              <w:rPr>
                <w:b/>
                <w:lang w:val="fr-FR"/>
              </w:rPr>
              <w:t xml:space="preserve"> coordonnateurs pour la variante de la procédure d'approbation </w:t>
            </w:r>
            <w:r w:rsidR="00AE3ACC" w:rsidRPr="00133089">
              <w:rPr>
                <w:b/>
                <w:lang w:val="fr-FR"/>
              </w:rPr>
              <w:t>(AAP)</w:t>
            </w:r>
            <w:bookmarkEnd w:id="0"/>
          </w:p>
        </w:tc>
      </w:tr>
    </w:tbl>
    <w:p w14:paraId="5F7A9463" w14:textId="2E60AEC1" w:rsidR="00FA46A0" w:rsidRPr="00133089" w:rsidRDefault="003064E2" w:rsidP="00C036CF">
      <w:pPr>
        <w:spacing w:before="240"/>
        <w:rPr>
          <w:lang w:val="fr-FR"/>
        </w:rPr>
      </w:pPr>
      <w:r w:rsidRPr="00133089">
        <w:rPr>
          <w:lang w:val="fr-FR"/>
        </w:rPr>
        <w:t>Madame</w:t>
      </w:r>
      <w:r w:rsidR="00B61012" w:rsidRPr="00133089">
        <w:rPr>
          <w:lang w:val="fr-FR"/>
        </w:rPr>
        <w:t>,</w:t>
      </w:r>
      <w:r w:rsidRPr="00133089">
        <w:rPr>
          <w:lang w:val="fr-FR"/>
        </w:rPr>
        <w:t xml:space="preserve"> Monsieur,</w:t>
      </w:r>
    </w:p>
    <w:p w14:paraId="622415A3" w14:textId="27141059" w:rsidR="00AB684E" w:rsidRPr="00133089" w:rsidRDefault="003064E2" w:rsidP="005F37BB">
      <w:pPr>
        <w:rPr>
          <w:bCs/>
          <w:lang w:val="fr-FR"/>
        </w:rPr>
      </w:pPr>
      <w:r w:rsidRPr="00133089">
        <w:rPr>
          <w:bCs/>
          <w:lang w:val="fr-FR"/>
        </w:rPr>
        <w:t>La variante de la procédure d'approbation</w:t>
      </w:r>
      <w:r w:rsidR="002C53C6" w:rsidRPr="00133089">
        <w:rPr>
          <w:bCs/>
          <w:lang w:val="fr-FR"/>
        </w:rPr>
        <w:t xml:space="preserve"> </w:t>
      </w:r>
      <w:r w:rsidR="00AB684E" w:rsidRPr="00133089">
        <w:rPr>
          <w:bCs/>
          <w:lang w:val="fr-FR"/>
        </w:rPr>
        <w:t xml:space="preserve">(AAP) </w:t>
      </w:r>
      <w:r w:rsidRPr="00133089">
        <w:rPr>
          <w:bCs/>
          <w:lang w:val="fr-FR"/>
        </w:rPr>
        <w:t>est une procédure d'approbation accélérée par voie électronique, définie dans la</w:t>
      </w:r>
      <w:r w:rsidR="00AB684E" w:rsidRPr="00133089">
        <w:rPr>
          <w:bCs/>
          <w:lang w:val="fr-FR"/>
        </w:rPr>
        <w:t xml:space="preserve"> </w:t>
      </w:r>
      <w:hyperlink r:id="rId9" w:history="1">
        <w:r w:rsidRPr="00133089">
          <w:rPr>
            <w:rStyle w:val="Hyperlink"/>
            <w:bCs/>
            <w:lang w:val="fr-FR"/>
          </w:rPr>
          <w:t>Recommandation UIT-T A.8</w:t>
        </w:r>
      </w:hyperlink>
      <w:r w:rsidR="00AB684E" w:rsidRPr="00133089">
        <w:rPr>
          <w:bCs/>
          <w:lang w:val="fr-FR"/>
        </w:rPr>
        <w:t xml:space="preserve">, </w:t>
      </w:r>
      <w:r w:rsidRPr="00133089">
        <w:rPr>
          <w:bCs/>
          <w:lang w:val="fr-FR"/>
        </w:rPr>
        <w:t xml:space="preserve">qui complète la procédure d'approbation traditionnelle </w:t>
      </w:r>
      <w:r w:rsidR="00AB684E" w:rsidRPr="00133089">
        <w:rPr>
          <w:bCs/>
          <w:lang w:val="fr-FR"/>
        </w:rPr>
        <w:t xml:space="preserve">(TAP) </w:t>
      </w:r>
      <w:r w:rsidRPr="00133089">
        <w:rPr>
          <w:bCs/>
          <w:lang w:val="fr-FR"/>
        </w:rPr>
        <w:t>décrite dans la</w:t>
      </w:r>
      <w:r w:rsidR="00AB684E" w:rsidRPr="00133089">
        <w:rPr>
          <w:bCs/>
          <w:lang w:val="fr-FR"/>
        </w:rPr>
        <w:t xml:space="preserve"> section 9 </w:t>
      </w:r>
      <w:r w:rsidRPr="00133089">
        <w:rPr>
          <w:bCs/>
          <w:lang w:val="fr-FR"/>
        </w:rPr>
        <w:t>de la</w:t>
      </w:r>
      <w:r w:rsidR="00AB684E" w:rsidRPr="00133089">
        <w:rPr>
          <w:bCs/>
          <w:lang w:val="fr-FR"/>
        </w:rPr>
        <w:t xml:space="preserve"> </w:t>
      </w:r>
      <w:hyperlink r:id="rId10" w:history="1">
        <w:r w:rsidRPr="00133089">
          <w:rPr>
            <w:rStyle w:val="Hyperlink"/>
            <w:bCs/>
            <w:lang w:val="fr-FR"/>
          </w:rPr>
          <w:t>Résolution 1 (Ré</w:t>
        </w:r>
        <w:r w:rsidR="00AB684E" w:rsidRPr="00133089">
          <w:rPr>
            <w:rStyle w:val="Hyperlink"/>
            <w:bCs/>
            <w:lang w:val="fr-FR"/>
          </w:rPr>
          <w:t>v.</w:t>
        </w:r>
        <w:r w:rsidR="005F37BB" w:rsidRPr="00133089">
          <w:rPr>
            <w:rStyle w:val="Hyperlink"/>
            <w:bCs/>
            <w:lang w:val="fr-FR"/>
          </w:rPr>
          <w:t> </w:t>
        </w:r>
        <w:r w:rsidR="00AB684E" w:rsidRPr="00133089">
          <w:rPr>
            <w:rStyle w:val="Hyperlink"/>
            <w:bCs/>
            <w:lang w:val="fr-FR"/>
          </w:rPr>
          <w:t>Hammamet,</w:t>
        </w:r>
        <w:r w:rsidR="005F37BB" w:rsidRPr="00133089">
          <w:rPr>
            <w:rStyle w:val="Hyperlink"/>
            <w:bCs/>
            <w:lang w:val="fr-FR"/>
          </w:rPr>
          <w:t> </w:t>
        </w:r>
        <w:r w:rsidR="00AB684E" w:rsidRPr="00133089">
          <w:rPr>
            <w:rStyle w:val="Hyperlink"/>
            <w:bCs/>
            <w:lang w:val="fr-FR"/>
          </w:rPr>
          <w:t>2016)</w:t>
        </w:r>
        <w:r w:rsidR="00410060" w:rsidRPr="00133089">
          <w:rPr>
            <w:rStyle w:val="Hyperlink"/>
            <w:lang w:val="fr-FR"/>
          </w:rPr>
          <w:t xml:space="preserve"> </w:t>
        </w:r>
        <w:r w:rsidR="00410060" w:rsidRPr="00133089">
          <w:rPr>
            <w:rStyle w:val="Hyperlink"/>
            <w:bCs/>
            <w:lang w:val="fr-FR"/>
          </w:rPr>
          <w:t>de l'AMNT</w:t>
        </w:r>
      </w:hyperlink>
      <w:r w:rsidR="00AB684E" w:rsidRPr="00133089">
        <w:rPr>
          <w:bCs/>
          <w:lang w:val="fr-FR"/>
        </w:rPr>
        <w:t>.</w:t>
      </w:r>
    </w:p>
    <w:p w14:paraId="1D85E3AA" w14:textId="02183A8B" w:rsidR="00AB684E" w:rsidRPr="00133089" w:rsidRDefault="00BD4545" w:rsidP="005F37BB">
      <w:pPr>
        <w:rPr>
          <w:bCs/>
          <w:lang w:val="fr-FR"/>
        </w:rPr>
      </w:pPr>
      <w:r w:rsidRPr="00133089">
        <w:rPr>
          <w:bCs/>
          <w:lang w:val="fr-FR"/>
        </w:rPr>
        <w:t>L'outil en ligne AAP comporte une fonction de soumission de commentaires</w:t>
      </w:r>
      <w:r w:rsidR="00AB684E" w:rsidRPr="00133089">
        <w:rPr>
          <w:bCs/>
          <w:lang w:val="fr-FR"/>
        </w:rPr>
        <w:t xml:space="preserve">, </w:t>
      </w:r>
      <w:r w:rsidRPr="00133089">
        <w:rPr>
          <w:bCs/>
          <w:lang w:val="fr-FR"/>
        </w:rPr>
        <w:t>qui permet d'authentifier les utilisateurs pour garantir que seule une personne autorisée peut soumettre des commentaires au nom d'une organisation habilitée qu'elle représente</w:t>
      </w:r>
      <w:r w:rsidR="00AB684E" w:rsidRPr="00133089">
        <w:rPr>
          <w:bCs/>
          <w:lang w:val="fr-FR"/>
        </w:rPr>
        <w:t xml:space="preserve">. </w:t>
      </w:r>
      <w:r w:rsidR="00413E7A" w:rsidRPr="00133089">
        <w:rPr>
          <w:bCs/>
          <w:lang w:val="fr-FR"/>
        </w:rPr>
        <w:t xml:space="preserve">Il est rappelé aux États Membres, aux Membres de Secteur, aux Associés, et aux établissements universitaires </w:t>
      </w:r>
      <w:r w:rsidR="00410060" w:rsidRPr="00133089">
        <w:rPr>
          <w:bCs/>
          <w:lang w:val="fr-FR"/>
        </w:rPr>
        <w:t xml:space="preserve"> </w:t>
      </w:r>
      <w:r w:rsidR="00413E7A" w:rsidRPr="00133089">
        <w:rPr>
          <w:bCs/>
          <w:lang w:val="fr-FR"/>
        </w:rPr>
        <w:t>que les procédures AAP requièrent la désignation d'un coordonnateur AAP, qui sera le contact autorisé pour la correspondance concernant la procédure AAP</w:t>
      </w:r>
      <w:r w:rsidR="00AB684E" w:rsidRPr="00133089">
        <w:rPr>
          <w:lang w:val="fr-FR"/>
        </w:rPr>
        <w:t xml:space="preserve">. </w:t>
      </w:r>
      <w:r w:rsidR="00413E7A" w:rsidRPr="00133089">
        <w:rPr>
          <w:lang w:val="fr-FR"/>
        </w:rPr>
        <w:t>Ce coordonnateur sera contacté si un problème</w:t>
      </w:r>
      <w:r w:rsidR="001D7D76" w:rsidRPr="00133089">
        <w:rPr>
          <w:lang w:val="fr-FR"/>
        </w:rPr>
        <w:t xml:space="preserve"> </w:t>
      </w:r>
      <w:r w:rsidR="00413E7A" w:rsidRPr="00133089">
        <w:rPr>
          <w:lang w:val="fr-FR"/>
        </w:rPr>
        <w:t>important</w:t>
      </w:r>
      <w:r w:rsidR="001D7D76" w:rsidRPr="00133089">
        <w:rPr>
          <w:lang w:val="fr-FR"/>
        </w:rPr>
        <w:t xml:space="preserve"> </w:t>
      </w:r>
      <w:r w:rsidR="00413E7A" w:rsidRPr="00133089">
        <w:rPr>
          <w:lang w:val="fr-FR"/>
        </w:rPr>
        <w:t>survient au cours de la procédure</w:t>
      </w:r>
      <w:r w:rsidR="001D7D76" w:rsidRPr="00133089">
        <w:rPr>
          <w:lang w:val="fr-FR"/>
        </w:rPr>
        <w:t xml:space="preserve"> AAP, </w:t>
      </w:r>
      <w:r w:rsidR="00413E7A" w:rsidRPr="00133089">
        <w:rPr>
          <w:lang w:val="fr-FR"/>
        </w:rPr>
        <w:t>et sera informé par un courriel automatique lorsqu'un commentaire</w:t>
      </w:r>
      <w:r w:rsidR="00AB684E" w:rsidRPr="00133089">
        <w:rPr>
          <w:lang w:val="fr-FR"/>
        </w:rPr>
        <w:t xml:space="preserve"> </w:t>
      </w:r>
      <w:r w:rsidR="009F2577" w:rsidRPr="00133089">
        <w:rPr>
          <w:lang w:val="fr-FR"/>
        </w:rPr>
        <w:t>aura été</w:t>
      </w:r>
      <w:r w:rsidR="00413E7A" w:rsidRPr="00133089">
        <w:rPr>
          <w:lang w:val="fr-FR"/>
        </w:rPr>
        <w:t xml:space="preserve"> soumis dans le cadre de la procédure AAP au nom de l'organisation qu'il représente</w:t>
      </w:r>
      <w:r w:rsidR="00AB684E" w:rsidRPr="00133089">
        <w:rPr>
          <w:lang w:val="fr-FR"/>
        </w:rPr>
        <w:t>.</w:t>
      </w:r>
    </w:p>
    <w:p w14:paraId="7C9B718D" w14:textId="47C3EBF1" w:rsidR="00FA46A0" w:rsidRPr="00133089" w:rsidRDefault="00410060" w:rsidP="005F37BB">
      <w:pPr>
        <w:rPr>
          <w:lang w:val="fr-FR"/>
        </w:rPr>
      </w:pPr>
      <w:r w:rsidRPr="00133089">
        <w:rPr>
          <w:lang w:val="fr-FR"/>
        </w:rPr>
        <w:t xml:space="preserve">Nous vous prions de bien vouloir </w:t>
      </w:r>
      <w:r w:rsidR="00994525" w:rsidRPr="00133089">
        <w:rPr>
          <w:lang w:val="fr-FR"/>
        </w:rPr>
        <w:t>désigner un coordonnateur AAP</w:t>
      </w:r>
      <w:r w:rsidR="00AB684E" w:rsidRPr="00133089">
        <w:rPr>
          <w:lang w:val="fr-FR"/>
        </w:rPr>
        <w:t xml:space="preserve"> </w:t>
      </w:r>
      <w:r w:rsidR="00994525" w:rsidRPr="00133089">
        <w:rPr>
          <w:lang w:val="fr-FR"/>
        </w:rPr>
        <w:t>pour votre organisation</w:t>
      </w:r>
      <w:r w:rsidRPr="00133089">
        <w:rPr>
          <w:lang w:val="fr-FR"/>
        </w:rPr>
        <w:t>,</w:t>
      </w:r>
      <w:r w:rsidR="00994525" w:rsidRPr="00133089">
        <w:rPr>
          <w:lang w:val="fr-FR"/>
        </w:rPr>
        <w:t xml:space="preserve"> ou</w:t>
      </w:r>
      <w:r w:rsidR="00C036CF" w:rsidRPr="00133089">
        <w:rPr>
          <w:lang w:val="fr-FR"/>
        </w:rPr>
        <w:t xml:space="preserve"> </w:t>
      </w:r>
      <w:r w:rsidRPr="00133089">
        <w:rPr>
          <w:lang w:val="fr-FR"/>
        </w:rPr>
        <w:t xml:space="preserve">de </w:t>
      </w:r>
      <w:r w:rsidR="00994525" w:rsidRPr="00133089">
        <w:rPr>
          <w:lang w:val="fr-FR"/>
        </w:rPr>
        <w:t>confirme</w:t>
      </w:r>
      <w:r w:rsidRPr="00133089">
        <w:rPr>
          <w:lang w:val="fr-FR"/>
        </w:rPr>
        <w:t>r</w:t>
      </w:r>
      <w:r w:rsidR="00994525" w:rsidRPr="00133089">
        <w:rPr>
          <w:lang w:val="fr-FR"/>
        </w:rPr>
        <w:t xml:space="preserve"> à nouveau</w:t>
      </w:r>
      <w:r w:rsidR="00C036CF" w:rsidRPr="00133089">
        <w:rPr>
          <w:lang w:val="fr-FR"/>
        </w:rPr>
        <w:t xml:space="preserve"> </w:t>
      </w:r>
      <w:r w:rsidR="00994525" w:rsidRPr="00133089">
        <w:rPr>
          <w:lang w:val="fr-FR"/>
        </w:rPr>
        <w:t>le</w:t>
      </w:r>
      <w:r w:rsidR="000C05EC" w:rsidRPr="00133089">
        <w:rPr>
          <w:lang w:val="fr-FR"/>
        </w:rPr>
        <w:t>s informations sur le</w:t>
      </w:r>
      <w:r w:rsidR="00994525" w:rsidRPr="00133089">
        <w:rPr>
          <w:lang w:val="fr-FR"/>
        </w:rPr>
        <w:t xml:space="preserve"> coordonnateur AAP de votre organisation</w:t>
      </w:r>
      <w:r w:rsidRPr="00133089">
        <w:rPr>
          <w:lang w:val="fr-FR"/>
        </w:rPr>
        <w:t>,</w:t>
      </w:r>
      <w:r w:rsidR="000C05EC" w:rsidRPr="00133089">
        <w:rPr>
          <w:lang w:val="fr-FR"/>
        </w:rPr>
        <w:t xml:space="preserve"> </w:t>
      </w:r>
      <w:r w:rsidR="00994525" w:rsidRPr="00133089">
        <w:rPr>
          <w:lang w:val="fr-FR"/>
        </w:rPr>
        <w:t>en envoyant les informations suivantes à l'adresse</w:t>
      </w:r>
      <w:r w:rsidR="00AB684E" w:rsidRPr="00133089">
        <w:rPr>
          <w:lang w:val="fr-FR"/>
        </w:rPr>
        <w:t xml:space="preserve"> </w:t>
      </w:r>
      <w:hyperlink r:id="rId11" w:history="1">
        <w:r w:rsidR="001D7D76" w:rsidRPr="00133089">
          <w:rPr>
            <w:rStyle w:val="Hyperlink"/>
            <w:lang w:val="fr-FR"/>
          </w:rPr>
          <w:t>tsbaap@itu.int</w:t>
        </w:r>
      </w:hyperlink>
      <w:r w:rsidR="00AE3ACC" w:rsidRPr="00133089">
        <w:rPr>
          <w:lang w:val="fr-FR"/>
        </w:rPr>
        <w:t>:</w:t>
      </w:r>
    </w:p>
    <w:p w14:paraId="4B6FD6ED" w14:textId="5F0F4192" w:rsidR="00AE3ACC" w:rsidRPr="00133089" w:rsidRDefault="005F37BB" w:rsidP="005F37BB">
      <w:pPr>
        <w:pStyle w:val="enumlev1"/>
        <w:rPr>
          <w:lang w:val="fr-FR"/>
        </w:rPr>
      </w:pPr>
      <w:r w:rsidRPr="00133089">
        <w:rPr>
          <w:lang w:val="fr-FR"/>
        </w:rPr>
        <w:t>–</w:t>
      </w:r>
      <w:r w:rsidR="00AE3ACC" w:rsidRPr="00133089">
        <w:rPr>
          <w:lang w:val="fr-FR"/>
        </w:rPr>
        <w:tab/>
      </w:r>
      <w:r w:rsidR="009F2577" w:rsidRPr="00133089">
        <w:rPr>
          <w:lang w:val="fr-FR"/>
        </w:rPr>
        <w:t>Nom et prénom</w:t>
      </w:r>
      <w:r w:rsidR="00AE3ACC" w:rsidRPr="00133089">
        <w:rPr>
          <w:lang w:val="fr-FR"/>
        </w:rPr>
        <w:t>.</w:t>
      </w:r>
    </w:p>
    <w:p w14:paraId="609021E0" w14:textId="1E00481B" w:rsidR="00AE3ACC" w:rsidRPr="00133089" w:rsidRDefault="005F37BB" w:rsidP="005F37BB">
      <w:pPr>
        <w:pStyle w:val="enumlev1"/>
        <w:rPr>
          <w:lang w:val="fr-FR"/>
        </w:rPr>
      </w:pPr>
      <w:r w:rsidRPr="00133089">
        <w:rPr>
          <w:lang w:val="fr-FR"/>
        </w:rPr>
        <w:t>–</w:t>
      </w:r>
      <w:r w:rsidR="00AE3ACC" w:rsidRPr="00133089">
        <w:rPr>
          <w:lang w:val="fr-FR"/>
        </w:rPr>
        <w:tab/>
      </w:r>
      <w:r w:rsidR="004D1533" w:rsidRPr="00133089">
        <w:rPr>
          <w:lang w:val="fr-FR"/>
        </w:rPr>
        <w:t>Adresse électronique</w:t>
      </w:r>
      <w:r w:rsidR="00AE3ACC" w:rsidRPr="00133089">
        <w:rPr>
          <w:lang w:val="fr-FR"/>
        </w:rPr>
        <w:t xml:space="preserve"> </w:t>
      </w:r>
      <w:r w:rsidR="004D1533" w:rsidRPr="00133089">
        <w:rPr>
          <w:lang w:val="fr-FR"/>
        </w:rPr>
        <w:t>et</w:t>
      </w:r>
      <w:r w:rsidR="001D7D76" w:rsidRPr="00133089">
        <w:rPr>
          <w:lang w:val="fr-FR"/>
        </w:rPr>
        <w:t>/</w:t>
      </w:r>
      <w:r w:rsidR="004D1533" w:rsidRPr="00133089">
        <w:rPr>
          <w:lang w:val="fr-FR"/>
        </w:rPr>
        <w:t>ou</w:t>
      </w:r>
      <w:r w:rsidR="00AE3ACC" w:rsidRPr="00133089">
        <w:rPr>
          <w:lang w:val="fr-FR"/>
        </w:rPr>
        <w:t xml:space="preserve"> </w:t>
      </w:r>
      <w:r w:rsidR="004D1533" w:rsidRPr="00133089">
        <w:rPr>
          <w:lang w:val="fr-FR"/>
        </w:rPr>
        <w:t xml:space="preserve">nom d'utilisateur </w:t>
      </w:r>
      <w:r w:rsidR="00410060" w:rsidRPr="00133089">
        <w:rPr>
          <w:lang w:val="fr-FR"/>
        </w:rPr>
        <w:t>associé au</w:t>
      </w:r>
      <w:r w:rsidR="004D1533" w:rsidRPr="00133089">
        <w:rPr>
          <w:lang w:val="fr-FR"/>
        </w:rPr>
        <w:t xml:space="preserve"> compte UIT</w:t>
      </w:r>
      <w:r w:rsidR="00AE3ACC" w:rsidRPr="00133089">
        <w:rPr>
          <w:lang w:val="fr-FR"/>
        </w:rPr>
        <w:t>.</w:t>
      </w:r>
    </w:p>
    <w:p w14:paraId="1AABDFDA" w14:textId="6A549141" w:rsidR="00AE3ACC" w:rsidRPr="00133089" w:rsidRDefault="005F37BB" w:rsidP="005F37BB">
      <w:pPr>
        <w:pStyle w:val="enumlev1"/>
        <w:rPr>
          <w:lang w:val="fr-FR"/>
        </w:rPr>
      </w:pPr>
      <w:r w:rsidRPr="00133089">
        <w:rPr>
          <w:lang w:val="fr-FR"/>
        </w:rPr>
        <w:t>–</w:t>
      </w:r>
      <w:r w:rsidR="004D1533" w:rsidRPr="00133089">
        <w:rPr>
          <w:lang w:val="fr-FR"/>
        </w:rPr>
        <w:tab/>
        <w:t>Organis</w:t>
      </w:r>
      <w:r w:rsidR="00AE3ACC" w:rsidRPr="00133089">
        <w:rPr>
          <w:lang w:val="fr-FR"/>
        </w:rPr>
        <w:t>ation.</w:t>
      </w:r>
    </w:p>
    <w:p w14:paraId="16EB05B7" w14:textId="77777777" w:rsidR="005F37BB" w:rsidRPr="00133089" w:rsidRDefault="005F37BB" w:rsidP="005F37BB">
      <w:pPr>
        <w:rPr>
          <w:lang w:val="fr-FR"/>
        </w:rPr>
      </w:pPr>
      <w:r w:rsidRPr="00133089">
        <w:rPr>
          <w:lang w:val="fr-FR"/>
        </w:rPr>
        <w:br w:type="page"/>
      </w:r>
    </w:p>
    <w:p w14:paraId="72603B63" w14:textId="11697CF2" w:rsidR="00FC1C19" w:rsidRPr="00133089" w:rsidRDefault="00994525" w:rsidP="005F37BB">
      <w:pPr>
        <w:rPr>
          <w:lang w:val="fr-FR"/>
        </w:rPr>
      </w:pPr>
      <w:r w:rsidRPr="00133089">
        <w:rPr>
          <w:lang w:val="fr-FR"/>
        </w:rPr>
        <w:lastRenderedPageBreak/>
        <w:t>En l'absence de réponse</w:t>
      </w:r>
      <w:r w:rsidR="00213824" w:rsidRPr="00133089">
        <w:rPr>
          <w:lang w:val="fr-FR"/>
        </w:rPr>
        <w:t xml:space="preserve">, </w:t>
      </w:r>
      <w:r w:rsidRPr="00133089">
        <w:rPr>
          <w:lang w:val="fr-FR"/>
        </w:rPr>
        <w:t xml:space="preserve">les informations actuellement enregistrées dans la base </w:t>
      </w:r>
      <w:r w:rsidR="00CD534A" w:rsidRPr="00133089">
        <w:rPr>
          <w:lang w:val="fr-FR"/>
        </w:rPr>
        <w:t xml:space="preserve">de </w:t>
      </w:r>
      <w:r w:rsidRPr="00133089">
        <w:rPr>
          <w:lang w:val="fr-FR"/>
        </w:rPr>
        <w:t>données seront conservées</w:t>
      </w:r>
      <w:r w:rsidR="00213824" w:rsidRPr="00133089">
        <w:rPr>
          <w:lang w:val="fr-FR"/>
        </w:rPr>
        <w:t xml:space="preserve">. </w:t>
      </w:r>
      <w:r w:rsidRPr="00133089">
        <w:rPr>
          <w:lang w:val="fr-FR"/>
        </w:rPr>
        <w:t>Pour toute question à ce sujet</w:t>
      </w:r>
      <w:r w:rsidR="001D7D76" w:rsidRPr="00133089">
        <w:rPr>
          <w:lang w:val="fr-FR"/>
        </w:rPr>
        <w:t xml:space="preserve">, </w:t>
      </w:r>
      <w:r w:rsidRPr="00133089">
        <w:rPr>
          <w:lang w:val="fr-FR"/>
        </w:rPr>
        <w:t>veuillez envoyer un courriel à l'adresse</w:t>
      </w:r>
      <w:r w:rsidR="001D7D76" w:rsidRPr="00133089">
        <w:rPr>
          <w:lang w:val="fr-FR"/>
        </w:rPr>
        <w:t xml:space="preserve"> </w:t>
      </w:r>
      <w:hyperlink r:id="rId12" w:history="1">
        <w:r w:rsidR="001D7D76" w:rsidRPr="00133089">
          <w:rPr>
            <w:rStyle w:val="Hyperlink"/>
            <w:lang w:val="fr-FR"/>
          </w:rPr>
          <w:t>tsbaap@itu.int</w:t>
        </w:r>
      </w:hyperlink>
      <w:r w:rsidR="001D7D76" w:rsidRPr="00133089">
        <w:rPr>
          <w:lang w:val="fr-FR"/>
        </w:rPr>
        <w:t>.</w:t>
      </w:r>
    </w:p>
    <w:p w14:paraId="6F88089D" w14:textId="3FD03808" w:rsidR="00FA46A0" w:rsidRPr="00133089" w:rsidRDefault="00994525" w:rsidP="004566F1">
      <w:pPr>
        <w:rPr>
          <w:lang w:val="fr-FR"/>
        </w:rPr>
      </w:pPr>
      <w:r w:rsidRPr="00133089">
        <w:rPr>
          <w:lang w:val="fr-FR"/>
        </w:rPr>
        <w:t>Veuillez agréer, Madame, Monsieur, l'assurance de ma considération distinguée.</w:t>
      </w:r>
    </w:p>
    <w:p w14:paraId="50BF5EC1" w14:textId="32026F29" w:rsidR="00D62702" w:rsidRPr="00133089" w:rsidRDefault="00EB5C06" w:rsidP="004D2A5F">
      <w:pPr>
        <w:spacing w:before="960"/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58240" behindDoc="1" locked="0" layoutInCell="1" allowOverlap="1" wp14:anchorId="7BEF94A9" wp14:editId="48A2AB0E">
            <wp:simplePos x="0" y="0"/>
            <wp:positionH relativeFrom="column">
              <wp:posOffset>3810</wp:posOffset>
            </wp:positionH>
            <wp:positionV relativeFrom="paragraph">
              <wp:posOffset>77470</wp:posOffset>
            </wp:positionV>
            <wp:extent cx="571499" cy="428625"/>
            <wp:effectExtent l="0" t="0" r="635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F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9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 w:rsidRPr="00133089">
        <w:rPr>
          <w:lang w:val="fr-FR"/>
        </w:rPr>
        <w:t>Chaesub Lee</w:t>
      </w:r>
      <w:r w:rsidR="00B61012" w:rsidRPr="00133089">
        <w:rPr>
          <w:lang w:val="fr-FR"/>
        </w:rPr>
        <w:br/>
      </w:r>
      <w:r w:rsidR="00994525" w:rsidRPr="00133089">
        <w:rPr>
          <w:lang w:val="fr-FR"/>
        </w:rPr>
        <w:t>Directeur du Bureau de la</w:t>
      </w:r>
      <w:r w:rsidR="00994525" w:rsidRPr="00133089">
        <w:rPr>
          <w:lang w:val="fr-FR"/>
        </w:rPr>
        <w:br/>
        <w:t>normalisation des télécommunications</w:t>
      </w:r>
    </w:p>
    <w:sectPr w:rsidR="00D62702" w:rsidRPr="00133089" w:rsidSect="00FA46A0">
      <w:head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06A51" w14:textId="77777777" w:rsidR="001828AE" w:rsidRDefault="001828AE">
      <w:r>
        <w:separator/>
      </w:r>
    </w:p>
  </w:endnote>
  <w:endnote w:type="continuationSeparator" w:id="0">
    <w:p w14:paraId="124214B6" w14:textId="77777777" w:rsidR="001828AE" w:rsidRDefault="0018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8967B" w14:textId="419331D3" w:rsidR="00FA46A0" w:rsidRPr="00CD534A" w:rsidRDefault="00B61012">
    <w:pPr>
      <w:pStyle w:val="FirstFooter"/>
      <w:ind w:left="-397" w:right="-397"/>
      <w:jc w:val="center"/>
      <w:rPr>
        <w:lang w:val="fr-FR"/>
      </w:rPr>
    </w:pPr>
    <w:r w:rsidRPr="00CD534A">
      <w:rPr>
        <w:sz w:val="18"/>
        <w:szCs w:val="18"/>
        <w:lang w:val="fr-FR"/>
      </w:rPr>
      <w:t xml:space="preserve">Union </w:t>
    </w:r>
    <w:r w:rsidR="00CD534A" w:rsidRPr="00CD534A">
      <w:rPr>
        <w:sz w:val="18"/>
        <w:szCs w:val="18"/>
        <w:lang w:val="fr-FR"/>
      </w:rPr>
      <w:t>internationale des t</w:t>
    </w:r>
    <w:r w:rsidR="00CD534A">
      <w:rPr>
        <w:sz w:val="18"/>
        <w:szCs w:val="18"/>
        <w:lang w:val="fr-FR"/>
      </w:rPr>
      <w:t xml:space="preserve">élécommunications </w:t>
    </w:r>
    <w:r w:rsidRPr="00CD534A">
      <w:rPr>
        <w:sz w:val="18"/>
        <w:szCs w:val="18"/>
        <w:lang w:val="fr-FR"/>
      </w:rPr>
      <w:t>• Pl</w:t>
    </w:r>
    <w:r w:rsidR="00CD534A">
      <w:rPr>
        <w:sz w:val="18"/>
        <w:szCs w:val="18"/>
        <w:lang w:val="fr-FR"/>
      </w:rPr>
      <w:t>ace des Nations • CH-1211 Genève</w:t>
    </w:r>
    <w:r w:rsidRPr="00CD534A">
      <w:rPr>
        <w:sz w:val="18"/>
        <w:szCs w:val="18"/>
        <w:lang w:val="fr-FR"/>
      </w:rPr>
      <w:t xml:space="preserve"> 20 • </w:t>
    </w:r>
    <w:r w:rsidR="00CD534A">
      <w:rPr>
        <w:sz w:val="18"/>
        <w:szCs w:val="18"/>
        <w:lang w:val="fr-FR"/>
      </w:rPr>
      <w:t>Suisse</w:t>
    </w:r>
    <w:r w:rsidR="00CD534A">
      <w:rPr>
        <w:sz w:val="18"/>
        <w:szCs w:val="18"/>
        <w:lang w:val="fr-FR"/>
      </w:rPr>
      <w:br/>
    </w:r>
    <w:proofErr w:type="gramStart"/>
    <w:r w:rsidR="00CD534A">
      <w:rPr>
        <w:sz w:val="18"/>
        <w:szCs w:val="18"/>
        <w:lang w:val="fr-FR"/>
      </w:rPr>
      <w:t>Té</w:t>
    </w:r>
    <w:r w:rsidRPr="00CD534A">
      <w:rPr>
        <w:sz w:val="18"/>
        <w:szCs w:val="18"/>
        <w:lang w:val="fr-FR"/>
      </w:rPr>
      <w:t>l</w:t>
    </w:r>
    <w:r w:rsidR="00CD534A">
      <w:rPr>
        <w:sz w:val="18"/>
        <w:szCs w:val="18"/>
        <w:lang w:val="fr-FR"/>
      </w:rPr>
      <w:t>.</w:t>
    </w:r>
    <w:r w:rsidRPr="00CD534A">
      <w:rPr>
        <w:sz w:val="18"/>
        <w:szCs w:val="18"/>
        <w:lang w:val="fr-FR"/>
      </w:rPr>
      <w:t>:</w:t>
    </w:r>
    <w:proofErr w:type="gramEnd"/>
    <w:r w:rsidRPr="00CD534A">
      <w:rPr>
        <w:sz w:val="18"/>
        <w:szCs w:val="18"/>
        <w:lang w:val="fr-FR"/>
      </w:rPr>
      <w:t xml:space="preserve"> +41 22 730 5111 • Fax: +41 22 733 7256 • </w:t>
    </w:r>
    <w:r w:rsidR="00CD534A">
      <w:rPr>
        <w:sz w:val="18"/>
        <w:szCs w:val="18"/>
        <w:lang w:val="fr-FR"/>
      </w:rPr>
      <w:t>Courriel</w:t>
    </w:r>
    <w:r w:rsidRPr="00CD534A">
      <w:rPr>
        <w:sz w:val="18"/>
        <w:szCs w:val="18"/>
        <w:lang w:val="fr-FR"/>
      </w:rPr>
      <w:t xml:space="preserve">: </w:t>
    </w:r>
    <w:hyperlink r:id="rId1" w:history="1">
      <w:r w:rsidRPr="00CD534A">
        <w:rPr>
          <w:rStyle w:val="Hyperlink"/>
          <w:sz w:val="18"/>
          <w:szCs w:val="18"/>
          <w:lang w:val="fr-FR"/>
        </w:rPr>
        <w:t>itumail@itu.int</w:t>
      </w:r>
    </w:hyperlink>
    <w:r w:rsidRPr="00CD534A">
      <w:rPr>
        <w:sz w:val="18"/>
        <w:szCs w:val="18"/>
        <w:lang w:val="fr-FR"/>
      </w:rPr>
      <w:t xml:space="preserve"> • </w:t>
    </w:r>
    <w:hyperlink r:id="rId2" w:history="1">
      <w:r w:rsidRPr="00CD534A">
        <w:rPr>
          <w:rStyle w:val="Hyperlink"/>
          <w:sz w:val="18"/>
          <w:szCs w:val="18"/>
          <w:lang w:val="fr-FR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C1961" w14:textId="77777777" w:rsidR="001828AE" w:rsidRDefault="001828AE">
      <w:r>
        <w:t>____________________</w:t>
      </w:r>
    </w:p>
  </w:footnote>
  <w:footnote w:type="continuationSeparator" w:id="0">
    <w:p w14:paraId="4CF8B07F" w14:textId="77777777" w:rsidR="001828AE" w:rsidRDefault="0018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6CC98" w14:textId="0311D592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6B2D74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CD534A">
      <w:rPr>
        <w:noProof/>
      </w:rPr>
      <w:t>Circulaire TSB</w:t>
    </w:r>
    <w:r w:rsidR="00503ADB">
      <w:rPr>
        <w:noProof/>
      </w:rPr>
      <w:t xml:space="preserve"> </w:t>
    </w:r>
    <w:r w:rsidR="00CD534A">
      <w:rPr>
        <w:noProof/>
      </w:rPr>
      <w:t>251</w:t>
    </w:r>
  </w:p>
  <w:p w14:paraId="3C33BA70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9788C16-8370-438D-B547-F7F05A8B13F2}"/>
    <w:docVar w:name="dgnword-eventsink" w:val="2409309177040"/>
  </w:docVars>
  <w:rsids>
    <w:rsidRoot w:val="00AB684E"/>
    <w:rsid w:val="00022E6B"/>
    <w:rsid w:val="000B15C8"/>
    <w:rsid w:val="000C05EC"/>
    <w:rsid w:val="000D61A5"/>
    <w:rsid w:val="001018E1"/>
    <w:rsid w:val="00112F37"/>
    <w:rsid w:val="00133089"/>
    <w:rsid w:val="001828AE"/>
    <w:rsid w:val="001A34EC"/>
    <w:rsid w:val="001A6200"/>
    <w:rsid w:val="001D7D76"/>
    <w:rsid w:val="002054F3"/>
    <w:rsid w:val="00213824"/>
    <w:rsid w:val="00263A18"/>
    <w:rsid w:val="002B6618"/>
    <w:rsid w:val="002C53C6"/>
    <w:rsid w:val="002C7392"/>
    <w:rsid w:val="003064E2"/>
    <w:rsid w:val="00356B73"/>
    <w:rsid w:val="003746A5"/>
    <w:rsid w:val="003D4690"/>
    <w:rsid w:val="00410060"/>
    <w:rsid w:val="00413E7A"/>
    <w:rsid w:val="00453CEA"/>
    <w:rsid w:val="004566F1"/>
    <w:rsid w:val="00487330"/>
    <w:rsid w:val="004D1533"/>
    <w:rsid w:val="004D2A5F"/>
    <w:rsid w:val="00503ADB"/>
    <w:rsid w:val="005A1329"/>
    <w:rsid w:val="005E003C"/>
    <w:rsid w:val="005F37BB"/>
    <w:rsid w:val="0065260C"/>
    <w:rsid w:val="006B2D74"/>
    <w:rsid w:val="006F52CF"/>
    <w:rsid w:val="00730A58"/>
    <w:rsid w:val="007426BA"/>
    <w:rsid w:val="0079763E"/>
    <w:rsid w:val="007A65E8"/>
    <w:rsid w:val="007C5A6C"/>
    <w:rsid w:val="007D4FC8"/>
    <w:rsid w:val="00963900"/>
    <w:rsid w:val="009747C5"/>
    <w:rsid w:val="00994525"/>
    <w:rsid w:val="009B2EB5"/>
    <w:rsid w:val="009F2577"/>
    <w:rsid w:val="00A72C30"/>
    <w:rsid w:val="00AB684E"/>
    <w:rsid w:val="00AE3ACC"/>
    <w:rsid w:val="00B17B78"/>
    <w:rsid w:val="00B2488F"/>
    <w:rsid w:val="00B4669D"/>
    <w:rsid w:val="00B61012"/>
    <w:rsid w:val="00BD4545"/>
    <w:rsid w:val="00C036CF"/>
    <w:rsid w:val="00C926F9"/>
    <w:rsid w:val="00C95BF6"/>
    <w:rsid w:val="00CD534A"/>
    <w:rsid w:val="00D62702"/>
    <w:rsid w:val="00D77658"/>
    <w:rsid w:val="00DE6D02"/>
    <w:rsid w:val="00E67977"/>
    <w:rsid w:val="00E75BA7"/>
    <w:rsid w:val="00E84BEB"/>
    <w:rsid w:val="00EA2114"/>
    <w:rsid w:val="00EB5C06"/>
    <w:rsid w:val="00EC15F4"/>
    <w:rsid w:val="00F22314"/>
    <w:rsid w:val="00FA46A0"/>
    <w:rsid w:val="00FC1C19"/>
    <w:rsid w:val="00FE6BB7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71804E"/>
  <w15:docId w15:val="{92D598FF-EAF8-4A2B-A897-2DE759D9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68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3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aap@itu.in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sbaap@itu.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aap@itu.in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pub/T-RES-T.1-2016/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rec/T-REC-A.8/f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Braud, Olivia</cp:lastModifiedBy>
  <cp:revision>7</cp:revision>
  <cp:lastPrinted>2020-05-28T15:54:00Z</cp:lastPrinted>
  <dcterms:created xsi:type="dcterms:W3CDTF">2020-05-22T06:35:00Z</dcterms:created>
  <dcterms:modified xsi:type="dcterms:W3CDTF">2020-05-28T15:55:00Z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