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Layout w:type="fixed"/>
        <w:tblCellMar>
          <w:left w:w="0" w:type="dxa"/>
          <w:right w:w="0" w:type="dxa"/>
        </w:tblCellMar>
        <w:tblLook w:val="0000" w:firstRow="0" w:lastRow="0" w:firstColumn="0" w:lastColumn="0" w:noHBand="0" w:noVBand="0"/>
      </w:tblPr>
      <w:tblGrid>
        <w:gridCol w:w="1418"/>
        <w:gridCol w:w="6379"/>
        <w:gridCol w:w="2409"/>
      </w:tblGrid>
      <w:tr w:rsidR="00884D12" w:rsidRPr="00697BC1" w14:paraId="65D652BD" w14:textId="77777777" w:rsidTr="00D00622">
        <w:trPr>
          <w:cantSplit/>
        </w:trPr>
        <w:tc>
          <w:tcPr>
            <w:tcW w:w="1418" w:type="dxa"/>
            <w:vAlign w:val="center"/>
          </w:tcPr>
          <w:p w14:paraId="513C0F59" w14:textId="77777777" w:rsidR="00884D12" w:rsidRPr="00697BC1" w:rsidRDefault="0055719E" w:rsidP="00CB634F">
            <w:pPr>
              <w:tabs>
                <w:tab w:val="right" w:pos="8732"/>
              </w:tabs>
              <w:spacing w:before="0"/>
              <w:rPr>
                <w:b/>
                <w:bCs/>
                <w:iCs/>
                <w:color w:val="FFFFFF"/>
                <w:sz w:val="30"/>
                <w:szCs w:val="30"/>
              </w:rPr>
            </w:pPr>
            <w:r w:rsidRPr="00F1238A">
              <w:rPr>
                <w:noProof/>
                <w:lang w:val="en-US" w:eastAsia="zh-CN"/>
              </w:rPr>
              <w:drawing>
                <wp:inline distT="0" distB="0" distL="0" distR="0" wp14:anchorId="1F66BEE0" wp14:editId="43B56BE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08259FF4" w14:textId="77777777"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14:paraId="26760638" w14:textId="77777777"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2409" w:type="dxa"/>
            <w:vAlign w:val="center"/>
          </w:tcPr>
          <w:p w14:paraId="18D95D20" w14:textId="77777777" w:rsidR="00884D12" w:rsidRPr="00697BC1" w:rsidRDefault="00884D12" w:rsidP="00CB634F">
            <w:pPr>
              <w:spacing w:before="0"/>
              <w:jc w:val="right"/>
              <w:rPr>
                <w:color w:val="FFFFFF"/>
                <w:sz w:val="26"/>
                <w:szCs w:val="26"/>
              </w:rPr>
            </w:pPr>
          </w:p>
        </w:tc>
      </w:tr>
    </w:tbl>
    <w:p w14:paraId="76C317C2" w14:textId="63779786" w:rsidR="00C34772" w:rsidRDefault="00C34772" w:rsidP="00D00622">
      <w:pPr>
        <w:tabs>
          <w:tab w:val="clear" w:pos="794"/>
          <w:tab w:val="clear" w:pos="1191"/>
          <w:tab w:val="clear" w:pos="1588"/>
          <w:tab w:val="clear" w:pos="1985"/>
          <w:tab w:val="left" w:pos="4962"/>
        </w:tabs>
        <w:spacing w:after="120"/>
      </w:pPr>
      <w:r>
        <w:tab/>
        <w:t xml:space="preserve">Ginebra, </w:t>
      </w:r>
      <w:r w:rsidR="00C17CBE" w:rsidRPr="00B11FBA">
        <w:rPr>
          <w:lang w:val="es-ES"/>
        </w:rPr>
        <w:t>1</w:t>
      </w:r>
      <w:r w:rsidR="00A7739E">
        <w:rPr>
          <w:lang w:val="es-ES"/>
        </w:rPr>
        <w:t>2</w:t>
      </w:r>
      <w:r w:rsidR="00C17CBE" w:rsidRPr="00B11FBA">
        <w:rPr>
          <w:lang w:val="es-ES"/>
        </w:rPr>
        <w:t xml:space="preserve"> de </w:t>
      </w:r>
      <w:r w:rsidR="00A7739E">
        <w:rPr>
          <w:lang w:val="es-ES"/>
        </w:rPr>
        <w:t>mayo</w:t>
      </w:r>
      <w:r w:rsidR="00C17CBE" w:rsidRPr="00B11FBA">
        <w:rPr>
          <w:lang w:val="es-ES"/>
        </w:rPr>
        <w:t xml:space="preserve"> de 20</w:t>
      </w:r>
      <w:r w:rsidR="00A7739E">
        <w:rPr>
          <w:lang w:val="es-ES"/>
        </w:rPr>
        <w:t>20</w:t>
      </w:r>
    </w:p>
    <w:tbl>
      <w:tblPr>
        <w:tblW w:w="9352" w:type="dxa"/>
        <w:tblInd w:w="8" w:type="dxa"/>
        <w:tblLayout w:type="fixed"/>
        <w:tblCellMar>
          <w:left w:w="0" w:type="dxa"/>
          <w:right w:w="0" w:type="dxa"/>
        </w:tblCellMar>
        <w:tblLook w:val="0000" w:firstRow="0" w:lastRow="0" w:firstColumn="0" w:lastColumn="0" w:noHBand="0" w:noVBand="0"/>
      </w:tblPr>
      <w:tblGrid>
        <w:gridCol w:w="993"/>
        <w:gridCol w:w="3884"/>
        <w:gridCol w:w="4475"/>
      </w:tblGrid>
      <w:tr w:rsidR="00C34772" w14:paraId="0AB76F5F" w14:textId="77777777" w:rsidTr="00C8644F">
        <w:trPr>
          <w:cantSplit/>
          <w:trHeight w:val="340"/>
        </w:trPr>
        <w:tc>
          <w:tcPr>
            <w:tcW w:w="993" w:type="dxa"/>
          </w:tcPr>
          <w:p w14:paraId="28BF1879" w14:textId="77777777" w:rsidR="00C34772" w:rsidRPr="00D00622" w:rsidRDefault="00C34772" w:rsidP="00303D62">
            <w:pPr>
              <w:tabs>
                <w:tab w:val="left" w:pos="4111"/>
              </w:tabs>
              <w:spacing w:before="10"/>
              <w:ind w:left="57"/>
              <w:rPr>
                <w:b/>
                <w:bCs/>
                <w:sz w:val="22"/>
              </w:rPr>
            </w:pPr>
            <w:r w:rsidRPr="00D00622">
              <w:rPr>
                <w:b/>
                <w:bCs/>
                <w:sz w:val="22"/>
              </w:rPr>
              <w:t>Ref.:</w:t>
            </w:r>
          </w:p>
          <w:p w14:paraId="461AA988" w14:textId="77777777" w:rsidR="00C34772" w:rsidRPr="00D00622" w:rsidRDefault="00C34772" w:rsidP="00303D62">
            <w:pPr>
              <w:tabs>
                <w:tab w:val="left" w:pos="4111"/>
              </w:tabs>
              <w:spacing w:before="10"/>
              <w:ind w:left="57"/>
              <w:rPr>
                <w:b/>
                <w:bCs/>
                <w:sz w:val="22"/>
              </w:rPr>
            </w:pPr>
          </w:p>
          <w:p w14:paraId="07E69C81" w14:textId="77777777" w:rsidR="00C34772" w:rsidRPr="00D00622" w:rsidRDefault="00C34772" w:rsidP="00303D62">
            <w:pPr>
              <w:tabs>
                <w:tab w:val="left" w:pos="4111"/>
              </w:tabs>
              <w:spacing w:before="10"/>
              <w:ind w:left="57"/>
              <w:rPr>
                <w:b/>
                <w:bCs/>
                <w:sz w:val="22"/>
              </w:rPr>
            </w:pPr>
          </w:p>
          <w:p w14:paraId="350EA907" w14:textId="77777777" w:rsidR="00C34772" w:rsidRPr="00D00622" w:rsidRDefault="00C34772" w:rsidP="00303D62">
            <w:pPr>
              <w:tabs>
                <w:tab w:val="left" w:pos="4111"/>
              </w:tabs>
              <w:spacing w:before="10"/>
              <w:ind w:left="57"/>
              <w:rPr>
                <w:b/>
                <w:bCs/>
                <w:sz w:val="22"/>
              </w:rPr>
            </w:pPr>
            <w:r w:rsidRPr="00D00622">
              <w:rPr>
                <w:b/>
                <w:bCs/>
                <w:sz w:val="22"/>
              </w:rPr>
              <w:t>Tel.:</w:t>
            </w:r>
            <w:r w:rsidRPr="00D00622">
              <w:rPr>
                <w:b/>
                <w:bCs/>
                <w:sz w:val="22"/>
              </w:rPr>
              <w:br/>
              <w:t>Fax:</w:t>
            </w:r>
          </w:p>
        </w:tc>
        <w:tc>
          <w:tcPr>
            <w:tcW w:w="3884" w:type="dxa"/>
          </w:tcPr>
          <w:p w14:paraId="0E7732CF" w14:textId="369A815A" w:rsidR="00C34772" w:rsidRDefault="00F92783" w:rsidP="00303D62">
            <w:pPr>
              <w:tabs>
                <w:tab w:val="left" w:pos="4111"/>
              </w:tabs>
              <w:spacing w:before="0"/>
              <w:ind w:left="57"/>
              <w:rPr>
                <w:b/>
              </w:rPr>
            </w:pPr>
            <w:r>
              <w:rPr>
                <w:b/>
              </w:rPr>
              <w:t xml:space="preserve">Circular TSB </w:t>
            </w:r>
            <w:r w:rsidR="00A7739E">
              <w:rPr>
                <w:b/>
              </w:rPr>
              <w:t>249</w:t>
            </w:r>
          </w:p>
          <w:p w14:paraId="0DE4EAB2" w14:textId="1A639324" w:rsidR="00C34772" w:rsidRDefault="00A7739E" w:rsidP="00303D62">
            <w:pPr>
              <w:tabs>
                <w:tab w:val="left" w:pos="4111"/>
              </w:tabs>
              <w:spacing w:before="0"/>
              <w:ind w:left="57"/>
              <w:rPr>
                <w:b/>
              </w:rPr>
            </w:pPr>
            <w:r>
              <w:rPr>
                <w:b/>
              </w:rPr>
              <w:t>SG2/RC</w:t>
            </w:r>
          </w:p>
          <w:p w14:paraId="220C6AAF" w14:textId="77777777" w:rsidR="00C34772" w:rsidRDefault="00C34772" w:rsidP="00303D62">
            <w:pPr>
              <w:tabs>
                <w:tab w:val="left" w:pos="4111"/>
              </w:tabs>
              <w:spacing w:before="0"/>
              <w:ind w:left="57"/>
            </w:pPr>
          </w:p>
          <w:p w14:paraId="51658202" w14:textId="71B8ED44" w:rsidR="00C34772" w:rsidRDefault="00C34772" w:rsidP="00303D62">
            <w:pPr>
              <w:tabs>
                <w:tab w:val="left" w:pos="4111"/>
              </w:tabs>
              <w:spacing w:before="0"/>
              <w:ind w:left="57"/>
            </w:pPr>
            <w:r>
              <w:t>+41 22 730</w:t>
            </w:r>
            <w:r w:rsidR="00F92783">
              <w:t xml:space="preserve"> </w:t>
            </w:r>
            <w:r w:rsidR="00A7739E">
              <w:t>5415</w:t>
            </w:r>
            <w:r>
              <w:br/>
              <w:t>+41 22 730 5853</w:t>
            </w:r>
          </w:p>
        </w:tc>
        <w:tc>
          <w:tcPr>
            <w:tcW w:w="4475" w:type="dxa"/>
          </w:tcPr>
          <w:p w14:paraId="3E3956AD" w14:textId="77777777" w:rsidR="00C34772" w:rsidRDefault="00F92783" w:rsidP="00244CC3">
            <w:pPr>
              <w:tabs>
                <w:tab w:val="clear" w:pos="794"/>
                <w:tab w:val="clear" w:pos="1191"/>
                <w:tab w:val="clear" w:pos="1588"/>
                <w:tab w:val="clear" w:pos="1985"/>
                <w:tab w:val="left" w:pos="284"/>
              </w:tabs>
              <w:spacing w:before="0"/>
              <w:ind w:left="227" w:hanging="170"/>
            </w:pPr>
            <w:bookmarkStart w:id="0" w:name="Addressee_S"/>
            <w:bookmarkEnd w:id="0"/>
            <w:r>
              <w:t>–</w:t>
            </w:r>
            <w:r w:rsidR="00C34772">
              <w:tab/>
              <w:t>A las Administraciones de los Estados Miembros de la Unión</w:t>
            </w:r>
          </w:p>
          <w:p w14:paraId="38BEFD6B" w14:textId="77777777" w:rsidR="00F92783" w:rsidRDefault="00F92783" w:rsidP="00244CC3">
            <w:pPr>
              <w:tabs>
                <w:tab w:val="clear" w:pos="794"/>
                <w:tab w:val="clear" w:pos="1191"/>
                <w:tab w:val="clear" w:pos="1588"/>
                <w:tab w:val="clear" w:pos="1985"/>
                <w:tab w:val="left" w:pos="284"/>
              </w:tabs>
              <w:spacing w:before="0"/>
              <w:ind w:left="227" w:hanging="170"/>
              <w:rPr>
                <w:lang w:val="es-ES"/>
              </w:rPr>
            </w:pPr>
            <w:r>
              <w:t>–</w:t>
            </w:r>
            <w:r>
              <w:tab/>
            </w:r>
            <w:r w:rsidRPr="00A317F1">
              <w:rPr>
                <w:lang w:val="es-ES"/>
              </w:rPr>
              <w:t>A los Miembros de Sector del UIT-T;</w:t>
            </w:r>
          </w:p>
          <w:p w14:paraId="120CD228" w14:textId="77777777" w:rsidR="00F92783" w:rsidRDefault="00F92783" w:rsidP="00244CC3">
            <w:pPr>
              <w:tabs>
                <w:tab w:val="clear" w:pos="794"/>
                <w:tab w:val="clear" w:pos="1191"/>
                <w:tab w:val="clear" w:pos="1588"/>
                <w:tab w:val="clear" w:pos="1985"/>
                <w:tab w:val="left" w:pos="284"/>
              </w:tabs>
              <w:spacing w:before="0"/>
              <w:ind w:left="227" w:hanging="170"/>
              <w:rPr>
                <w:lang w:val="es-ES"/>
              </w:rPr>
            </w:pPr>
            <w:r w:rsidRPr="00A317F1">
              <w:rPr>
                <w:lang w:val="es-ES"/>
              </w:rPr>
              <w:t>–</w:t>
            </w:r>
            <w:r w:rsidRPr="00A317F1">
              <w:rPr>
                <w:lang w:val="es-ES"/>
              </w:rPr>
              <w:tab/>
              <w:t>A los Asociados del UIT-T;</w:t>
            </w:r>
          </w:p>
          <w:p w14:paraId="10E70BAC" w14:textId="77777777" w:rsidR="00F92783" w:rsidRDefault="00F92783" w:rsidP="00244CC3">
            <w:pPr>
              <w:tabs>
                <w:tab w:val="clear" w:pos="794"/>
                <w:tab w:val="clear" w:pos="1191"/>
                <w:tab w:val="clear" w:pos="1588"/>
                <w:tab w:val="clear" w:pos="1985"/>
                <w:tab w:val="left" w:pos="284"/>
              </w:tabs>
              <w:spacing w:before="0"/>
              <w:ind w:left="227" w:hanging="170"/>
            </w:pPr>
            <w:r w:rsidRPr="00A317F1">
              <w:rPr>
                <w:lang w:val="es-ES"/>
              </w:rPr>
              <w:t>–</w:t>
            </w:r>
            <w:r w:rsidRPr="00A317F1">
              <w:rPr>
                <w:lang w:val="es-ES"/>
              </w:rPr>
              <w:tab/>
            </w:r>
            <w:r w:rsidRPr="00B11FBA">
              <w:rPr>
                <w:lang w:val="es-ES"/>
              </w:rPr>
              <w:t>A las Instituciones Académicas de la UIT</w:t>
            </w:r>
          </w:p>
        </w:tc>
      </w:tr>
      <w:tr w:rsidR="00C34772" w14:paraId="257AF67B" w14:textId="77777777" w:rsidTr="00C8644F">
        <w:trPr>
          <w:cantSplit/>
        </w:trPr>
        <w:tc>
          <w:tcPr>
            <w:tcW w:w="993" w:type="dxa"/>
          </w:tcPr>
          <w:p w14:paraId="3A385798" w14:textId="77777777" w:rsidR="00C34772" w:rsidRPr="00D00622" w:rsidRDefault="00C34772" w:rsidP="00303D62">
            <w:pPr>
              <w:tabs>
                <w:tab w:val="left" w:pos="4111"/>
              </w:tabs>
              <w:spacing w:before="10"/>
              <w:ind w:left="57"/>
              <w:rPr>
                <w:b/>
                <w:bCs/>
                <w:sz w:val="22"/>
              </w:rPr>
            </w:pPr>
            <w:r w:rsidRPr="00D00622">
              <w:rPr>
                <w:b/>
                <w:bCs/>
                <w:sz w:val="22"/>
              </w:rPr>
              <w:t>Correo-e:</w:t>
            </w:r>
          </w:p>
        </w:tc>
        <w:tc>
          <w:tcPr>
            <w:tcW w:w="3884" w:type="dxa"/>
          </w:tcPr>
          <w:p w14:paraId="1E853205" w14:textId="1F00C214" w:rsidR="00C34772" w:rsidRDefault="00DE6E70" w:rsidP="00303D62">
            <w:pPr>
              <w:tabs>
                <w:tab w:val="left" w:pos="4111"/>
              </w:tabs>
              <w:spacing w:before="0"/>
              <w:ind w:left="57"/>
            </w:pPr>
            <w:hyperlink r:id="rId9" w:history="1">
              <w:r w:rsidR="00A7739E" w:rsidRPr="00F87F92">
                <w:rPr>
                  <w:rStyle w:val="Hyperlink"/>
                  <w:lang w:val="es-ES"/>
                </w:rPr>
                <w:t>tsbsg2@itu.int</w:t>
              </w:r>
            </w:hyperlink>
          </w:p>
        </w:tc>
        <w:tc>
          <w:tcPr>
            <w:tcW w:w="4475" w:type="dxa"/>
          </w:tcPr>
          <w:p w14:paraId="76DCAE73" w14:textId="77777777" w:rsidR="00C34772" w:rsidRDefault="00C34772" w:rsidP="00303D62">
            <w:pPr>
              <w:tabs>
                <w:tab w:val="left" w:pos="4111"/>
              </w:tabs>
              <w:spacing w:before="0"/>
            </w:pPr>
            <w:r>
              <w:rPr>
                <w:b/>
              </w:rPr>
              <w:t>Copia</w:t>
            </w:r>
            <w:r>
              <w:t>:</w:t>
            </w:r>
          </w:p>
          <w:p w14:paraId="0B1D5A4E" w14:textId="77777777" w:rsidR="00C34772" w:rsidRDefault="00F92783" w:rsidP="002B2185">
            <w:pPr>
              <w:tabs>
                <w:tab w:val="clear" w:pos="794"/>
                <w:tab w:val="left" w:pos="226"/>
                <w:tab w:val="left" w:pos="4111"/>
              </w:tabs>
              <w:spacing w:before="0"/>
              <w:ind w:left="227" w:hanging="170"/>
            </w:pPr>
            <w:r>
              <w:t>–</w:t>
            </w:r>
            <w:r w:rsidR="00C34772">
              <w:tab/>
            </w:r>
            <w:r w:rsidRPr="00B11FBA">
              <w:rPr>
                <w:lang w:val="es-ES"/>
              </w:rPr>
              <w:t xml:space="preserve">A los </w:t>
            </w:r>
            <w:proofErr w:type="gramStart"/>
            <w:r w:rsidRPr="00B11FBA">
              <w:rPr>
                <w:lang w:val="es-ES"/>
              </w:rPr>
              <w:t>Presidentes</w:t>
            </w:r>
            <w:proofErr w:type="gramEnd"/>
            <w:r w:rsidRPr="00B11FBA">
              <w:rPr>
                <w:lang w:val="es-ES"/>
              </w:rPr>
              <w:t xml:space="preserve"> y Vicepresident</w:t>
            </w:r>
            <w:r>
              <w:rPr>
                <w:lang w:val="es-ES"/>
              </w:rPr>
              <w:t>es de las Comisiones de Estudio</w:t>
            </w:r>
            <w:r w:rsidR="00C34772">
              <w:t>;</w:t>
            </w:r>
          </w:p>
          <w:p w14:paraId="001E24CD" w14:textId="18B9D895" w:rsidR="00C34772" w:rsidRDefault="00F92783" w:rsidP="002B2185">
            <w:pPr>
              <w:tabs>
                <w:tab w:val="clear" w:pos="794"/>
                <w:tab w:val="left" w:pos="226"/>
                <w:tab w:val="left" w:pos="4111"/>
              </w:tabs>
              <w:spacing w:before="0"/>
              <w:ind w:left="227" w:hanging="170"/>
            </w:pPr>
            <w:r>
              <w:t>–</w:t>
            </w:r>
            <w:r w:rsidR="00C34772">
              <w:tab/>
            </w:r>
            <w:r w:rsidRPr="00B11FBA">
              <w:rPr>
                <w:lang w:val="es-ES"/>
              </w:rPr>
              <w:t>A</w:t>
            </w:r>
            <w:r w:rsidR="00A7739E">
              <w:rPr>
                <w:lang w:val="es-ES"/>
              </w:rPr>
              <w:t xml:space="preserve"> </w:t>
            </w:r>
            <w:r w:rsidRPr="00B11FBA">
              <w:rPr>
                <w:lang w:val="es-ES"/>
              </w:rPr>
              <w:t>l</w:t>
            </w:r>
            <w:r w:rsidR="00A7739E">
              <w:rPr>
                <w:lang w:val="es-ES"/>
              </w:rPr>
              <w:t>a</w:t>
            </w:r>
            <w:r w:rsidRPr="00B11FBA">
              <w:rPr>
                <w:lang w:val="es-ES"/>
              </w:rPr>
              <w:t xml:space="preserve"> </w:t>
            </w:r>
            <w:proofErr w:type="gramStart"/>
            <w:r w:rsidRPr="00B11FBA">
              <w:rPr>
                <w:lang w:val="es-ES"/>
              </w:rPr>
              <w:t>Director</w:t>
            </w:r>
            <w:r w:rsidR="00A7739E">
              <w:rPr>
                <w:lang w:val="es-ES"/>
              </w:rPr>
              <w:t>a</w:t>
            </w:r>
            <w:proofErr w:type="gramEnd"/>
            <w:r w:rsidRPr="00B11FBA">
              <w:rPr>
                <w:lang w:val="es-ES"/>
              </w:rPr>
              <w:t xml:space="preserve"> de la Oficina de Desarrollo de las Telecomunicaciones</w:t>
            </w:r>
            <w:r w:rsidR="00C34772">
              <w:t>;</w:t>
            </w:r>
          </w:p>
          <w:p w14:paraId="25DCDF9B" w14:textId="5AB6D59F" w:rsidR="00C34772" w:rsidRDefault="00F92783" w:rsidP="00A7739E">
            <w:pPr>
              <w:tabs>
                <w:tab w:val="clear" w:pos="794"/>
                <w:tab w:val="left" w:pos="226"/>
                <w:tab w:val="left" w:pos="4111"/>
              </w:tabs>
              <w:spacing w:before="0"/>
              <w:ind w:left="227" w:hanging="170"/>
            </w:pPr>
            <w:r>
              <w:t>–</w:t>
            </w:r>
            <w:r w:rsidR="00C34772">
              <w:tab/>
            </w:r>
            <w:r w:rsidRPr="00B11FBA">
              <w:rPr>
                <w:lang w:val="es-ES"/>
              </w:rPr>
              <w:t>Al Director de la Oficina de Radiocomunicaciones</w:t>
            </w:r>
          </w:p>
        </w:tc>
      </w:tr>
    </w:tbl>
    <w:p w14:paraId="794E96DC" w14:textId="77777777" w:rsidR="00C34772" w:rsidRDefault="00C34772" w:rsidP="00303D62"/>
    <w:tbl>
      <w:tblPr>
        <w:tblW w:w="9630" w:type="dxa"/>
        <w:tblInd w:w="-90" w:type="dxa"/>
        <w:tblLayout w:type="fixed"/>
        <w:tblCellMar>
          <w:left w:w="0" w:type="dxa"/>
          <w:right w:w="0" w:type="dxa"/>
        </w:tblCellMar>
        <w:tblLook w:val="0000" w:firstRow="0" w:lastRow="0" w:firstColumn="0" w:lastColumn="0" w:noHBand="0" w:noVBand="0"/>
      </w:tblPr>
      <w:tblGrid>
        <w:gridCol w:w="1080"/>
        <w:gridCol w:w="8550"/>
      </w:tblGrid>
      <w:tr w:rsidR="00C34772" w:rsidRPr="00C8644F" w14:paraId="7DF691B5" w14:textId="77777777" w:rsidTr="00C8644F">
        <w:trPr>
          <w:cantSplit/>
          <w:trHeight w:val="756"/>
        </w:trPr>
        <w:tc>
          <w:tcPr>
            <w:tcW w:w="1080" w:type="dxa"/>
          </w:tcPr>
          <w:p w14:paraId="56FE6F61" w14:textId="77777777" w:rsidR="00C34772" w:rsidRPr="00C8644F" w:rsidRDefault="00C34772" w:rsidP="00303D62">
            <w:pPr>
              <w:tabs>
                <w:tab w:val="left" w:pos="4111"/>
              </w:tabs>
              <w:spacing w:before="10"/>
              <w:ind w:left="57"/>
              <w:rPr>
                <w:szCs w:val="24"/>
              </w:rPr>
            </w:pPr>
            <w:r w:rsidRPr="00C8644F">
              <w:rPr>
                <w:b/>
                <w:bCs/>
                <w:szCs w:val="24"/>
              </w:rPr>
              <w:t>Asunto</w:t>
            </w:r>
            <w:r w:rsidRPr="00C8644F">
              <w:rPr>
                <w:szCs w:val="24"/>
              </w:rPr>
              <w:t>:</w:t>
            </w:r>
          </w:p>
        </w:tc>
        <w:tc>
          <w:tcPr>
            <w:tcW w:w="8550" w:type="dxa"/>
          </w:tcPr>
          <w:p w14:paraId="7A03C702" w14:textId="51FC796B" w:rsidR="00C34772" w:rsidRPr="00C8644F" w:rsidRDefault="00A7739E" w:rsidP="00F14380">
            <w:pPr>
              <w:tabs>
                <w:tab w:val="left" w:pos="4111"/>
              </w:tabs>
              <w:spacing w:before="0"/>
              <w:rPr>
                <w:b/>
                <w:szCs w:val="24"/>
              </w:rPr>
            </w:pPr>
            <w:r w:rsidRPr="00C8644F">
              <w:rPr>
                <w:b/>
                <w:bCs/>
                <w:szCs w:val="24"/>
                <w:lang w:val="es-ES"/>
              </w:rPr>
              <w:t>Números mundiales utilizados para los servicios de emergencia a bordo del vehículo como el servicio eCall europeo</w:t>
            </w:r>
          </w:p>
        </w:tc>
      </w:tr>
    </w:tbl>
    <w:p w14:paraId="0A5A37E5" w14:textId="5EBEB6E9" w:rsidR="00C34772" w:rsidRPr="00C8644F" w:rsidRDefault="00C34772" w:rsidP="00303D62">
      <w:pPr>
        <w:rPr>
          <w:szCs w:val="24"/>
        </w:rPr>
      </w:pPr>
      <w:bookmarkStart w:id="1" w:name="StartTyping_S"/>
      <w:bookmarkStart w:id="2" w:name="suitetext"/>
      <w:bookmarkStart w:id="3" w:name="text"/>
      <w:bookmarkEnd w:id="1"/>
      <w:bookmarkEnd w:id="2"/>
      <w:bookmarkEnd w:id="3"/>
      <w:r w:rsidRPr="00C8644F">
        <w:rPr>
          <w:szCs w:val="24"/>
        </w:rPr>
        <w:t>Muy Señora mía/Muy Señor mío</w:t>
      </w:r>
      <w:r w:rsidR="00C8644F">
        <w:rPr>
          <w:szCs w:val="24"/>
        </w:rPr>
        <w:t>,</w:t>
      </w:r>
    </w:p>
    <w:p w14:paraId="70E3AD6B" w14:textId="44F917DC" w:rsidR="00A7739E" w:rsidRPr="00C8644F" w:rsidRDefault="00A7739E" w:rsidP="00A7739E">
      <w:pPr>
        <w:rPr>
          <w:szCs w:val="24"/>
          <w:lang w:val="es-ES"/>
        </w:rPr>
      </w:pPr>
      <w:r w:rsidRPr="00C8644F">
        <w:rPr>
          <w:szCs w:val="24"/>
          <w:lang w:val="es-ES"/>
        </w:rPr>
        <w:t xml:space="preserve">Varias gamas de números con indicativos de país no geográficos son utilizadas para llamadas de emergencia a bordo del vehículo como e-Call, el sistema de emergencia paneuropeo para vehículos. Estos números han sido asignados por la UIT y están disponibles para su uso en asociación con los servicios de emergencia a bordo del vehículo como el servicio eCall. </w:t>
      </w:r>
    </w:p>
    <w:p w14:paraId="6980CC1E" w14:textId="602DCE18" w:rsidR="00A7739E" w:rsidRPr="00C8644F" w:rsidRDefault="00A7739E" w:rsidP="00A7739E">
      <w:pPr>
        <w:rPr>
          <w:szCs w:val="24"/>
          <w:lang w:val="es-ES"/>
        </w:rPr>
      </w:pPr>
      <w:r w:rsidRPr="00C8644F">
        <w:rPr>
          <w:szCs w:val="24"/>
          <w:lang w:val="es-ES"/>
        </w:rPr>
        <w:t>Estos números asignados por la UIT se utilizan como números de parte llamante cuando el dispositivo (por ejemplo, el vehículo) llama automáticamente al número de emergencia en caso de accidente. Suelen utilizar un formato de 15 cifras. Desde el 31 de marzo de 2018, todos los coches nuevos vendidos en Europa deben disponer de la capacidad eCall.</w:t>
      </w:r>
    </w:p>
    <w:p w14:paraId="662E8657" w14:textId="116637A9" w:rsidR="00A7739E" w:rsidRPr="00C8644F" w:rsidRDefault="00A7739E" w:rsidP="00A7739E">
      <w:pPr>
        <w:rPr>
          <w:szCs w:val="24"/>
          <w:lang w:val="es-ES"/>
        </w:rPr>
      </w:pPr>
      <w:r w:rsidRPr="00C8644F">
        <w:rPr>
          <w:szCs w:val="24"/>
          <w:lang w:val="es-ES"/>
        </w:rPr>
        <w:t>Para que el sistema eCall u otro servicio de emergencia a bordo del vehículo similar funcione adecuadamente y los servicios de emergencia (por ejemplo, central de llam</w:t>
      </w:r>
      <w:r w:rsidR="00E56FFD" w:rsidRPr="00C8644F">
        <w:rPr>
          <w:szCs w:val="24"/>
          <w:lang w:val="es-ES"/>
        </w:rPr>
        <w:t>a</w:t>
      </w:r>
      <w:r w:rsidRPr="00C8644F">
        <w:rPr>
          <w:szCs w:val="24"/>
          <w:lang w:val="es-ES"/>
        </w:rPr>
        <w:t xml:space="preserve">das y equipos de intervención) puedan devolver la llamada al número utilizado por </w:t>
      </w:r>
      <w:r w:rsidR="00E56FFD" w:rsidRPr="00C8644F">
        <w:rPr>
          <w:szCs w:val="24"/>
          <w:lang w:val="es-ES"/>
        </w:rPr>
        <w:t>dichos sistemas</w:t>
      </w:r>
      <w:r w:rsidRPr="00C8644F">
        <w:rPr>
          <w:szCs w:val="24"/>
          <w:lang w:val="es-ES"/>
        </w:rPr>
        <w:t xml:space="preserve">, es fundamental que todas las gamas </w:t>
      </w:r>
      <w:r w:rsidR="004945CA" w:rsidRPr="00C8644F">
        <w:rPr>
          <w:szCs w:val="24"/>
          <w:lang w:val="es-ES"/>
        </w:rPr>
        <w:t>atribuidas</w:t>
      </w:r>
      <w:r w:rsidRPr="00C8644F">
        <w:rPr>
          <w:szCs w:val="24"/>
          <w:lang w:val="es-ES"/>
        </w:rPr>
        <w:t xml:space="preserve"> </w:t>
      </w:r>
      <w:r w:rsidR="00E56FFD" w:rsidRPr="00C8644F">
        <w:rPr>
          <w:szCs w:val="24"/>
          <w:lang w:val="es-ES"/>
        </w:rPr>
        <w:t>por la UIT</w:t>
      </w:r>
      <w:r w:rsidRPr="00C8644F">
        <w:rPr>
          <w:szCs w:val="24"/>
          <w:lang w:val="es-ES"/>
        </w:rPr>
        <w:t xml:space="preserve"> estén activadas en todas las redes y que la </w:t>
      </w:r>
      <w:r w:rsidR="00E56FFD" w:rsidRPr="00C8644F">
        <w:rPr>
          <w:szCs w:val="24"/>
          <w:lang w:val="es-ES"/>
        </w:rPr>
        <w:t xml:space="preserve">identificación de la línea llamante </w:t>
      </w:r>
      <w:r w:rsidRPr="00C8644F">
        <w:rPr>
          <w:szCs w:val="24"/>
          <w:lang w:val="es-ES"/>
        </w:rPr>
        <w:t>(</w:t>
      </w:r>
      <w:r w:rsidR="00E56FFD" w:rsidRPr="00C8644F">
        <w:rPr>
          <w:szCs w:val="24"/>
          <w:lang w:val="es-ES"/>
        </w:rPr>
        <w:t>CLI</w:t>
      </w:r>
      <w:r w:rsidRPr="00C8644F">
        <w:rPr>
          <w:szCs w:val="24"/>
          <w:lang w:val="es-ES"/>
        </w:rPr>
        <w:t>) se transmita de un operador a otro de manera correcta y en formato marcable, de conformidad con las Recomendaciones de la UIT pertinentes</w:t>
      </w:r>
    </w:p>
    <w:p w14:paraId="421F025D" w14:textId="5B733D83" w:rsidR="00F92783" w:rsidRPr="00C8644F" w:rsidRDefault="00E56FFD" w:rsidP="00A7739E">
      <w:pPr>
        <w:rPr>
          <w:szCs w:val="24"/>
          <w:lang w:val="es-ES"/>
        </w:rPr>
      </w:pPr>
      <w:r w:rsidRPr="00C8644F">
        <w:rPr>
          <w:szCs w:val="24"/>
          <w:lang w:val="es-ES"/>
        </w:rPr>
        <w:t xml:space="preserve">Habida cuenta de la importancia crítica del servicio, se alienta encarecidamente a las administraciones nacionales, los organismos reguladores y los operadores de redes a que velen por que estos números asignados por la UIT se abran y se encaminen en las redes públicas. Desde un punto de vista práctico, estas gamas deben ser provistas en los puntos de respuesta de seguridad pública (PSAP) y en los proveedores de servicios telefónicos nacionales que </w:t>
      </w:r>
      <w:r w:rsidR="004945CA" w:rsidRPr="00C8644F">
        <w:rPr>
          <w:szCs w:val="24"/>
          <w:lang w:val="es-ES"/>
        </w:rPr>
        <w:t>encaminan</w:t>
      </w:r>
      <w:r w:rsidRPr="00C8644F">
        <w:rPr>
          <w:szCs w:val="24"/>
          <w:lang w:val="es-ES"/>
        </w:rPr>
        <w:t xml:space="preserve"> las llamadas desde los PSAP. La ta</w:t>
      </w:r>
      <w:r w:rsidR="004945CA" w:rsidRPr="00C8644F">
        <w:rPr>
          <w:szCs w:val="24"/>
          <w:lang w:val="es-ES"/>
        </w:rPr>
        <w:t>rif</w:t>
      </w:r>
      <w:r w:rsidRPr="00C8644F">
        <w:rPr>
          <w:szCs w:val="24"/>
          <w:lang w:val="es-ES"/>
        </w:rPr>
        <w:t>a aplicable no debe exceder la de una llamada tradicional a un número móvil internacional</w:t>
      </w:r>
      <w:r w:rsidR="00F92783" w:rsidRPr="00C8644F">
        <w:rPr>
          <w:szCs w:val="24"/>
          <w:lang w:val="es-ES"/>
        </w:rPr>
        <w:t xml:space="preserve">. </w:t>
      </w:r>
    </w:p>
    <w:p w14:paraId="3AAA9023" w14:textId="00AB5B53" w:rsidR="00F92783" w:rsidRPr="00C8644F" w:rsidRDefault="004945CA" w:rsidP="00F92783">
      <w:pPr>
        <w:rPr>
          <w:szCs w:val="24"/>
          <w:lang w:val="es-ES"/>
        </w:rPr>
      </w:pPr>
      <w:r w:rsidRPr="00C8644F">
        <w:rPr>
          <w:szCs w:val="24"/>
          <w:lang w:val="es-ES"/>
        </w:rPr>
        <w:t>Se ha notificado a la UIT que el sistema eCall está utilizando las siguientes gamas: 883</w:t>
      </w:r>
      <w:r w:rsidR="0087125C" w:rsidRPr="00C8644F">
        <w:rPr>
          <w:szCs w:val="24"/>
          <w:lang w:val="es-ES"/>
        </w:rPr>
        <w:t> </w:t>
      </w:r>
      <w:r w:rsidRPr="00C8644F">
        <w:rPr>
          <w:szCs w:val="24"/>
          <w:lang w:val="es-ES"/>
        </w:rPr>
        <w:t>130, 882</w:t>
      </w:r>
      <w:r w:rsidR="0087125C" w:rsidRPr="00C8644F">
        <w:rPr>
          <w:szCs w:val="24"/>
          <w:lang w:val="es-ES"/>
        </w:rPr>
        <w:t> </w:t>
      </w:r>
      <w:r w:rsidRPr="00C8644F">
        <w:rPr>
          <w:szCs w:val="24"/>
          <w:lang w:val="es-ES"/>
        </w:rPr>
        <w:t>39 y 882</w:t>
      </w:r>
      <w:r w:rsidR="0087125C" w:rsidRPr="00C8644F">
        <w:rPr>
          <w:szCs w:val="24"/>
          <w:lang w:val="es-ES"/>
        </w:rPr>
        <w:t> </w:t>
      </w:r>
      <w:r w:rsidRPr="00C8644F">
        <w:rPr>
          <w:szCs w:val="24"/>
          <w:lang w:val="es-ES"/>
        </w:rPr>
        <w:t xml:space="preserve">37. Se invita a otros operadores que utilizan los recursos mundiales asignados por la UIT para el servicio eCall o servicios de emergencia similares a bordo de automóviles a que soliciten a </w:t>
      </w:r>
      <w:r w:rsidRPr="00C8644F">
        <w:rPr>
          <w:szCs w:val="24"/>
          <w:lang w:val="es-ES"/>
        </w:rPr>
        <w:lastRenderedPageBreak/>
        <w:t>la UIT que publique esta información. También se están desplegando sistemas automáticos de llamada de emergencia a bordo de vehículos privados y públicos similares a eCall en regiones distintas de Europa, algunas de las cuales utilizan las mismas gamas de números asignados por la UIT. Por consiguiente, se alienta a las administraciones nacionales, los organismos reguladores y los operadores de redes de esos países a que adopten medidas similares</w:t>
      </w:r>
      <w:r w:rsidR="00F92783" w:rsidRPr="00C8644F">
        <w:rPr>
          <w:szCs w:val="24"/>
          <w:lang w:val="es-ES"/>
        </w:rPr>
        <w:t xml:space="preserve">. </w:t>
      </w:r>
    </w:p>
    <w:p w14:paraId="562CE52F" w14:textId="1396035A" w:rsidR="004945CA" w:rsidRPr="00C8644F" w:rsidRDefault="004945CA" w:rsidP="004945CA">
      <w:pPr>
        <w:rPr>
          <w:szCs w:val="24"/>
          <w:lang w:val="es-ES"/>
        </w:rPr>
      </w:pPr>
      <w:r w:rsidRPr="00C8644F">
        <w:rPr>
          <w:szCs w:val="24"/>
          <w:lang w:val="es-ES"/>
        </w:rPr>
        <w:t xml:space="preserve">Los contactos para dichos números figuran en el Boletín de Explotación núm. 1155 (1.IX.2018) </w:t>
      </w:r>
      <w:hyperlink r:id="rId10" w:history="1">
        <w:r w:rsidRPr="00C8644F">
          <w:rPr>
            <w:rStyle w:val="Hyperlink"/>
            <w:szCs w:val="24"/>
            <w:lang w:val="es-ES"/>
          </w:rPr>
          <w:t>https://www.itu.int/pub/T-SP-OB.1155-2018</w:t>
        </w:r>
      </w:hyperlink>
      <w:r w:rsidRPr="00C8644F">
        <w:rPr>
          <w:szCs w:val="24"/>
          <w:lang w:val="es-ES"/>
        </w:rPr>
        <w:t xml:space="preserve">. </w:t>
      </w:r>
    </w:p>
    <w:p w14:paraId="3C686D33" w14:textId="1C37DBE8" w:rsidR="00F92783" w:rsidRPr="00C8644F" w:rsidRDefault="004945CA" w:rsidP="004945CA">
      <w:pPr>
        <w:rPr>
          <w:szCs w:val="24"/>
          <w:lang w:val="es-ES"/>
        </w:rPr>
      </w:pPr>
      <w:r w:rsidRPr="00C8644F">
        <w:rPr>
          <w:szCs w:val="24"/>
          <w:lang w:val="es-ES"/>
        </w:rPr>
        <w:t xml:space="preserve">La cuestión de las gamas de la UIT para los servicios de eCall también fue objeto de un reciente artículo en Actualidades de la UIT en </w:t>
      </w:r>
      <w:hyperlink r:id="rId11" w:history="1">
        <w:r w:rsidRPr="00C8644F">
          <w:rPr>
            <w:rStyle w:val="Hyperlink"/>
            <w:szCs w:val="24"/>
            <w:lang w:val="es-ES"/>
          </w:rPr>
          <w:t>https://news.itu.int/why-itu-assigned-numbering-ranges-are-critical-to-road-safety/</w:t>
        </w:r>
      </w:hyperlink>
      <w:r w:rsidRPr="00C8644F">
        <w:rPr>
          <w:szCs w:val="24"/>
          <w:lang w:val="es-ES"/>
        </w:rPr>
        <w:t xml:space="preserve"> y de una videoentrevista en </w:t>
      </w:r>
      <w:hyperlink r:id="rId12" w:history="1">
        <w:r w:rsidRPr="00C8644F">
          <w:rPr>
            <w:rStyle w:val="Hyperlink"/>
            <w:szCs w:val="24"/>
            <w:lang w:val="es-ES"/>
          </w:rPr>
          <w:t>https://youtu.be/VhA2S2ScJrw</w:t>
        </w:r>
      </w:hyperlink>
      <w:r w:rsidRPr="00C8644F">
        <w:rPr>
          <w:szCs w:val="24"/>
          <w:lang w:val="es-ES"/>
        </w:rPr>
        <w:t xml:space="preserve">. </w:t>
      </w:r>
    </w:p>
    <w:p w14:paraId="1E153CAB" w14:textId="2C3C6124" w:rsidR="00BA3E41" w:rsidRPr="00C8644F" w:rsidRDefault="0026221F" w:rsidP="00C8644F">
      <w:pPr>
        <w:spacing w:before="240"/>
        <w:ind w:right="86"/>
        <w:rPr>
          <w:szCs w:val="24"/>
        </w:rPr>
      </w:pPr>
      <w:r w:rsidRPr="00C8644F">
        <w:rPr>
          <w:szCs w:val="24"/>
        </w:rPr>
        <w:t>A</w:t>
      </w:r>
      <w:r w:rsidR="00C34772" w:rsidRPr="00C8644F">
        <w:rPr>
          <w:szCs w:val="24"/>
        </w:rPr>
        <w:t>tentamente</w:t>
      </w:r>
      <w:r w:rsidRPr="00C8644F">
        <w:rPr>
          <w:szCs w:val="24"/>
        </w:rPr>
        <w:t>,</w:t>
      </w:r>
    </w:p>
    <w:p w14:paraId="3990744A" w14:textId="59548BE2" w:rsidR="00C34772" w:rsidRPr="00C8644F" w:rsidRDefault="00DE6E70" w:rsidP="00C8644F">
      <w:pPr>
        <w:spacing w:before="960"/>
        <w:ind w:right="86"/>
        <w:rPr>
          <w:szCs w:val="24"/>
        </w:rPr>
      </w:pPr>
      <w:r>
        <w:rPr>
          <w:noProof/>
          <w:szCs w:val="24"/>
        </w:rPr>
        <w:drawing>
          <wp:anchor distT="0" distB="0" distL="114300" distR="114300" simplePos="0" relativeHeight="251658240" behindDoc="1" locked="0" layoutInCell="1" allowOverlap="1" wp14:anchorId="1B874794" wp14:editId="67CB81F3">
            <wp:simplePos x="0" y="0"/>
            <wp:positionH relativeFrom="column">
              <wp:posOffset>3810</wp:posOffset>
            </wp:positionH>
            <wp:positionV relativeFrom="paragraph">
              <wp:posOffset>138430</wp:posOffset>
            </wp:positionV>
            <wp:extent cx="824800" cy="371475"/>
            <wp:effectExtent l="0" t="0" r="0"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3">
                      <a:extLst>
                        <a:ext uri="{28A0092B-C50C-407E-A947-70E740481C1C}">
                          <a14:useLocalDpi xmlns:a14="http://schemas.microsoft.com/office/drawing/2010/main" val="0"/>
                        </a:ext>
                      </a:extLst>
                    </a:blip>
                    <a:stretch>
                      <a:fillRect/>
                    </a:stretch>
                  </pic:blipFill>
                  <pic:spPr>
                    <a:xfrm>
                      <a:off x="0" y="0"/>
                      <a:ext cx="824800" cy="371475"/>
                    </a:xfrm>
                    <a:prstGeom prst="rect">
                      <a:avLst/>
                    </a:prstGeom>
                  </pic:spPr>
                </pic:pic>
              </a:graphicData>
            </a:graphic>
            <wp14:sizeRelH relativeFrom="margin">
              <wp14:pctWidth>0</wp14:pctWidth>
            </wp14:sizeRelH>
            <wp14:sizeRelV relativeFrom="margin">
              <wp14:pctHeight>0</wp14:pctHeight>
            </wp14:sizeRelV>
          </wp:anchor>
        </w:drawing>
      </w:r>
      <w:r w:rsidR="00BA3E41" w:rsidRPr="00C8644F">
        <w:rPr>
          <w:szCs w:val="24"/>
        </w:rPr>
        <w:t>Chaesub Lee</w:t>
      </w:r>
      <w:r w:rsidR="00BA3E41" w:rsidRPr="00C8644F">
        <w:rPr>
          <w:szCs w:val="24"/>
        </w:rPr>
        <w:br/>
      </w:r>
      <w:proofErr w:type="gramStart"/>
      <w:r w:rsidR="00BA3E41" w:rsidRPr="00C8644F">
        <w:rPr>
          <w:szCs w:val="24"/>
        </w:rPr>
        <w:t>Director</w:t>
      </w:r>
      <w:proofErr w:type="gramEnd"/>
      <w:r w:rsidR="00BA3E41" w:rsidRPr="00C8644F">
        <w:rPr>
          <w:szCs w:val="24"/>
        </w:rPr>
        <w:t xml:space="preserve"> de la Oficina de</w:t>
      </w:r>
      <w:r w:rsidR="00BA3E41" w:rsidRPr="00C8644F">
        <w:rPr>
          <w:szCs w:val="24"/>
        </w:rPr>
        <w:br/>
        <w:t>Normalización de las Telecomunicaciones</w:t>
      </w:r>
    </w:p>
    <w:p w14:paraId="75C9FD31" w14:textId="77777777" w:rsidR="00C34772" w:rsidRDefault="00C34772" w:rsidP="00303D62">
      <w:pPr>
        <w:spacing w:before="400"/>
        <w:ind w:right="91"/>
      </w:pPr>
    </w:p>
    <w:sectPr w:rsidR="00C34772"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F9A91" w14:textId="77777777" w:rsidR="00F56C13" w:rsidRDefault="00F56C13">
      <w:r>
        <w:separator/>
      </w:r>
    </w:p>
  </w:endnote>
  <w:endnote w:type="continuationSeparator" w:id="0">
    <w:p w14:paraId="7EEC5A3F" w14:textId="77777777" w:rsidR="00F56C13" w:rsidRDefault="00F5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F3493" w14:textId="77777777" w:rsidR="0014464D" w:rsidRPr="0055719E" w:rsidRDefault="0014464D" w:rsidP="00FC416A">
    <w:pPr>
      <w:pStyle w:val="FirstFooter"/>
      <w:ind w:left="-397" w:right="-397"/>
      <w:jc w:val="center"/>
      <w:rPr>
        <w:szCs w:val="18"/>
        <w:lang w:val="es-ES"/>
      </w:rPr>
    </w:pPr>
    <w:r w:rsidRPr="00D00622">
      <w:rPr>
        <w:color w:val="4F81BD" w:themeColor="accent1"/>
        <w:szCs w:val="18"/>
        <w:lang w:val="es-ES"/>
      </w:rPr>
      <w:t>Unión Internacional de Telecomunicaciones • Place des Nations, CH</w:t>
    </w:r>
    <w:r w:rsidRPr="00D00622">
      <w:rPr>
        <w:color w:val="4F81BD" w:themeColor="accent1"/>
        <w:szCs w:val="18"/>
        <w:lang w:val="es-ES"/>
      </w:rPr>
      <w:noBreakHyphen/>
      <w:t xml:space="preserve">1211 Ginebra 20, Suiza </w:t>
    </w:r>
    <w:r w:rsidRPr="00D00622">
      <w:rPr>
        <w:color w:val="4F81BD" w:themeColor="accent1"/>
        <w:szCs w:val="18"/>
        <w:lang w:val="es-ES"/>
      </w:rPr>
      <w:br/>
      <w:t xml:space="preserve">Tel: +41 22 730 5111 • Fax: +41 22 733 7256 • Correo-e: </w:t>
    </w:r>
    <w:hyperlink r:id="rId1" w:history="1">
      <w:r w:rsidRPr="00D00622">
        <w:rPr>
          <w:rStyle w:val="Hyperlink"/>
          <w:color w:val="4F81BD" w:themeColor="accent1"/>
          <w:lang w:val="es-ES"/>
        </w:rPr>
        <w:t>itumail@itu.int</w:t>
      </w:r>
    </w:hyperlink>
    <w:r w:rsidRPr="00D00622">
      <w:rPr>
        <w:color w:val="4F81BD" w:themeColor="accent1"/>
        <w:szCs w:val="18"/>
        <w:lang w:val="es-ES"/>
      </w:rPr>
      <w:t xml:space="preserve"> • </w:t>
    </w:r>
    <w:hyperlink r:id="rId2" w:history="1">
      <w:r w:rsidRPr="00D00622">
        <w:rPr>
          <w:rStyle w:val="Hyperlink"/>
          <w:color w:val="4F81BD" w:themeColor="accent1"/>
          <w:lang w:val="es-ES"/>
        </w:rPr>
        <w:t>www.itu.int</w:t>
      </w:r>
    </w:hyperlink>
    <w:r w:rsidRPr="00D00622">
      <w:rPr>
        <w:color w:val="4F81BD" w:themeColor="accent1"/>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905D6" w14:textId="77777777" w:rsidR="00F56C13" w:rsidRDefault="00F56C13">
      <w:r>
        <w:t>____________________</w:t>
      </w:r>
    </w:p>
  </w:footnote>
  <w:footnote w:type="continuationSeparator" w:id="0">
    <w:p w14:paraId="63562B47" w14:textId="77777777" w:rsidR="00F56C13" w:rsidRDefault="00F5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2DF0F" w14:textId="262695AF" w:rsidR="006969B4" w:rsidRPr="00303D62" w:rsidRDefault="006969B4" w:rsidP="00FE4311">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2E7D2F">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FE4311">
      <w:rPr>
        <w:rStyle w:val="PageNumber"/>
        <w:sz w:val="18"/>
        <w:szCs w:val="18"/>
      </w:rPr>
      <w:br/>
    </w:r>
    <w:r w:rsidR="00FE4311" w:rsidRPr="004C58BA">
      <w:rPr>
        <w:rFonts w:ascii="Calibri" w:hAnsi="Calibri"/>
        <w:noProof/>
        <w:sz w:val="18"/>
        <w:lang w:val="en-GB"/>
      </w:rPr>
      <w:t>Circular TSB</w:t>
    </w:r>
    <w:r w:rsidR="00FE4311">
      <w:rPr>
        <w:rFonts w:ascii="Calibri" w:hAnsi="Calibri"/>
        <w:noProof/>
        <w:sz w:val="18"/>
        <w:lang w:val="en-GB"/>
      </w:rPr>
      <w:t xml:space="preserve"> </w:t>
    </w:r>
    <w:r w:rsidR="004945CA">
      <w:rPr>
        <w:rFonts w:ascii="Calibri" w:hAnsi="Calibri"/>
        <w:noProof/>
        <w:sz w:val="18"/>
        <w:lang w:val="en-GB"/>
      </w:rPr>
      <w:t>249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9684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926BF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BAA9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D461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9CC9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56A9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A4A3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2E53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D4EB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4C51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F1"/>
    <w:rsid w:val="00002529"/>
    <w:rsid w:val="0004423D"/>
    <w:rsid w:val="00045EE7"/>
    <w:rsid w:val="00085662"/>
    <w:rsid w:val="000C382F"/>
    <w:rsid w:val="000E6FDB"/>
    <w:rsid w:val="001173CC"/>
    <w:rsid w:val="0014464D"/>
    <w:rsid w:val="001A54CC"/>
    <w:rsid w:val="00244CC3"/>
    <w:rsid w:val="00257FB4"/>
    <w:rsid w:val="0026221F"/>
    <w:rsid w:val="00265CC6"/>
    <w:rsid w:val="002B2185"/>
    <w:rsid w:val="002E496E"/>
    <w:rsid w:val="002E7D2F"/>
    <w:rsid w:val="00303D62"/>
    <w:rsid w:val="00335367"/>
    <w:rsid w:val="00370C2D"/>
    <w:rsid w:val="003D1E8D"/>
    <w:rsid w:val="003D673B"/>
    <w:rsid w:val="003D7911"/>
    <w:rsid w:val="003F2855"/>
    <w:rsid w:val="00401C20"/>
    <w:rsid w:val="00484F55"/>
    <w:rsid w:val="004945CA"/>
    <w:rsid w:val="004A7957"/>
    <w:rsid w:val="004C4144"/>
    <w:rsid w:val="004F4E34"/>
    <w:rsid w:val="00504BF1"/>
    <w:rsid w:val="0055719E"/>
    <w:rsid w:val="0061648F"/>
    <w:rsid w:val="006969B4"/>
    <w:rsid w:val="006D7AE9"/>
    <w:rsid w:val="006E4F7B"/>
    <w:rsid w:val="00755B13"/>
    <w:rsid w:val="00781E2A"/>
    <w:rsid w:val="007933A2"/>
    <w:rsid w:val="007E090E"/>
    <w:rsid w:val="00814503"/>
    <w:rsid w:val="008258C2"/>
    <w:rsid w:val="008505BD"/>
    <w:rsid w:val="00850C78"/>
    <w:rsid w:val="0087125C"/>
    <w:rsid w:val="00884D12"/>
    <w:rsid w:val="008C17AD"/>
    <w:rsid w:val="008D02CD"/>
    <w:rsid w:val="0091370C"/>
    <w:rsid w:val="0095172A"/>
    <w:rsid w:val="009A0BA0"/>
    <w:rsid w:val="00A54E47"/>
    <w:rsid w:val="00A7739E"/>
    <w:rsid w:val="00AB6E3A"/>
    <w:rsid w:val="00AE7093"/>
    <w:rsid w:val="00B22A2D"/>
    <w:rsid w:val="00B422BC"/>
    <w:rsid w:val="00B43F77"/>
    <w:rsid w:val="00B55A3E"/>
    <w:rsid w:val="00B87E9E"/>
    <w:rsid w:val="00B95F0A"/>
    <w:rsid w:val="00B96180"/>
    <w:rsid w:val="00BA3E41"/>
    <w:rsid w:val="00C116FE"/>
    <w:rsid w:val="00C17AC0"/>
    <w:rsid w:val="00C17CBE"/>
    <w:rsid w:val="00C34772"/>
    <w:rsid w:val="00C5465A"/>
    <w:rsid w:val="00C8644F"/>
    <w:rsid w:val="00D00622"/>
    <w:rsid w:val="00D54642"/>
    <w:rsid w:val="00DD77C9"/>
    <w:rsid w:val="00DE6E70"/>
    <w:rsid w:val="00DF3538"/>
    <w:rsid w:val="00E56FFD"/>
    <w:rsid w:val="00E8055E"/>
    <w:rsid w:val="00E839B0"/>
    <w:rsid w:val="00E92C09"/>
    <w:rsid w:val="00F14380"/>
    <w:rsid w:val="00F56C13"/>
    <w:rsid w:val="00F6461F"/>
    <w:rsid w:val="00F92783"/>
    <w:rsid w:val="00FC416A"/>
    <w:rsid w:val="00FD2B2D"/>
    <w:rsid w:val="00FE43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8A5AF0"/>
  <w15:docId w15:val="{BD873056-A714-4604-96C9-64C0B1B0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ppendixNo">
    <w:name w:val="Appendix_No"/>
    <w:basedOn w:val="Normal"/>
    <w:next w:val="AnnexRef"/>
    <w:rsid w:val="00F92783"/>
    <w:pPr>
      <w:keepNext/>
      <w:keepLines/>
      <w:spacing w:before="480" w:after="80"/>
      <w:jc w:val="center"/>
    </w:pPr>
    <w:rPr>
      <w:rFonts w:ascii="Calibri" w:hAnsi="Calibri"/>
      <w:caps/>
      <w:sz w:val="28"/>
      <w:lang w:val="en-GB"/>
    </w:rPr>
  </w:style>
  <w:style w:type="table" w:styleId="TableGrid">
    <w:name w:val="Table Grid"/>
    <w:basedOn w:val="TableNormal"/>
    <w:rsid w:val="00F9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F9278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C17CB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17CBE"/>
    <w:rPr>
      <w:rFonts w:ascii="Segoe UI" w:hAnsi="Segoe UI" w:cs="Segoe UI"/>
      <w:sz w:val="18"/>
      <w:szCs w:val="18"/>
      <w:lang w:val="es-ES_tradnl" w:eastAsia="en-US"/>
    </w:rPr>
  </w:style>
  <w:style w:type="character" w:styleId="UnresolvedMention">
    <w:name w:val="Unresolved Mention"/>
    <w:basedOn w:val="DefaultParagraphFont"/>
    <w:uiPriority w:val="99"/>
    <w:semiHidden/>
    <w:unhideWhenUsed/>
    <w:rsid w:val="00A77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VhA2S2ScJr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itu.int/why-itu-assigned-numbering-ranges-are-critical-to-road-safe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pub/T-SP-OB.1155-2018"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53D8-AD2A-4B8D-8416-BBB82FF7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8</TotalTime>
  <Pages>2</Pages>
  <Words>594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4089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2020-05-15T10:02:00Z</cp:lastPrinted>
  <dcterms:created xsi:type="dcterms:W3CDTF">2020-05-13T07:45:00Z</dcterms:created>
  <dcterms:modified xsi:type="dcterms:W3CDTF">2020-05-15T10:02:00Z</dcterms:modified>
</cp:coreProperties>
</file>