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50" w:type="dxa"/>
        <w:tblInd w:w="-90" w:type="dxa"/>
        <w:tblLayout w:type="fixed"/>
        <w:tblCellMar>
          <w:left w:w="0" w:type="dxa"/>
          <w:right w:w="0" w:type="dxa"/>
        </w:tblCellMar>
        <w:tblLook w:val="0000" w:firstRow="0" w:lastRow="0" w:firstColumn="0" w:lastColumn="0" w:noHBand="0" w:noVBand="0"/>
      </w:tblPr>
      <w:tblGrid>
        <w:gridCol w:w="1091"/>
        <w:gridCol w:w="417"/>
        <w:gridCol w:w="3467"/>
        <w:gridCol w:w="4475"/>
      </w:tblGrid>
      <w:tr w:rsidR="007B6316" w:rsidRPr="00235BC3" w14:paraId="13B72936" w14:textId="77777777" w:rsidTr="002E488C">
        <w:trPr>
          <w:cantSplit/>
          <w:trHeight w:val="340"/>
        </w:trPr>
        <w:tc>
          <w:tcPr>
            <w:tcW w:w="1508" w:type="dxa"/>
            <w:gridSpan w:val="2"/>
          </w:tcPr>
          <w:p w14:paraId="5BFD91C0" w14:textId="77777777" w:rsidR="007B6316" w:rsidRPr="00235BC3" w:rsidRDefault="007B6316" w:rsidP="00303D62">
            <w:pPr>
              <w:tabs>
                <w:tab w:val="left" w:pos="4111"/>
              </w:tabs>
              <w:spacing w:before="10"/>
              <w:ind w:left="57"/>
              <w:rPr>
                <w:sz w:val="22"/>
              </w:rPr>
            </w:pPr>
            <w:r w:rsidRPr="00235BC3">
              <w:rPr>
                <w:noProof/>
              </w:rPr>
              <w:drawing>
                <wp:inline distT="0" distB="0" distL="0" distR="0" wp14:anchorId="202597BC" wp14:editId="5D3ADAB1">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7942" w:type="dxa"/>
            <w:gridSpan w:val="2"/>
            <w:vAlign w:val="center"/>
          </w:tcPr>
          <w:p w14:paraId="29CD5F3F" w14:textId="77777777" w:rsidR="007B6316" w:rsidRPr="00235BC3" w:rsidRDefault="007B6316" w:rsidP="007B6316">
            <w:pPr>
              <w:spacing w:before="0"/>
              <w:rPr>
                <w:rFonts w:cs="Times New Roman Bold"/>
                <w:b/>
                <w:bCs/>
                <w:smallCaps/>
                <w:sz w:val="26"/>
                <w:szCs w:val="26"/>
              </w:rPr>
            </w:pPr>
            <w:r w:rsidRPr="00235BC3">
              <w:rPr>
                <w:rFonts w:cs="Times New Roman Bold"/>
                <w:b/>
                <w:bCs/>
                <w:smallCaps/>
                <w:sz w:val="36"/>
                <w:szCs w:val="36"/>
              </w:rPr>
              <w:t>Unión Internacional de Telecomunicaciones</w:t>
            </w:r>
          </w:p>
          <w:p w14:paraId="46CBCE53" w14:textId="77777777" w:rsidR="007B6316" w:rsidRPr="00235BC3" w:rsidRDefault="007B6316" w:rsidP="007B6316">
            <w:pPr>
              <w:spacing w:before="0"/>
            </w:pPr>
            <w:r w:rsidRPr="00235BC3">
              <w:rPr>
                <w:rFonts w:cs="Times New Roman Bold"/>
                <w:b/>
                <w:bCs/>
                <w:smallCaps/>
                <w:sz w:val="28"/>
                <w:szCs w:val="28"/>
              </w:rPr>
              <w:t>Oficina</w:t>
            </w:r>
            <w:r w:rsidRPr="00235BC3">
              <w:rPr>
                <w:rFonts w:cs="Times New Roman Bold"/>
                <w:b/>
                <w:bCs/>
                <w:iCs/>
                <w:smallCaps/>
                <w:sz w:val="22"/>
                <w:szCs w:val="22"/>
              </w:rPr>
              <w:t xml:space="preserve"> </w:t>
            </w:r>
            <w:r w:rsidRPr="00235BC3">
              <w:rPr>
                <w:rFonts w:cs="Times New Roman Bold"/>
                <w:b/>
                <w:bCs/>
                <w:iCs/>
                <w:smallCaps/>
                <w:sz w:val="28"/>
                <w:szCs w:val="28"/>
              </w:rPr>
              <w:t>de Normalización de las Telecomunicaciones</w:t>
            </w:r>
          </w:p>
        </w:tc>
      </w:tr>
      <w:tr w:rsidR="007B6316" w:rsidRPr="00235BC3" w14:paraId="64BC1973" w14:textId="77777777" w:rsidTr="002E488C">
        <w:trPr>
          <w:cantSplit/>
          <w:trHeight w:val="594"/>
        </w:trPr>
        <w:tc>
          <w:tcPr>
            <w:tcW w:w="1091" w:type="dxa"/>
          </w:tcPr>
          <w:p w14:paraId="74B4B509" w14:textId="77777777" w:rsidR="007B6316" w:rsidRPr="00235BC3" w:rsidRDefault="007B6316" w:rsidP="00303D62">
            <w:pPr>
              <w:tabs>
                <w:tab w:val="left" w:pos="4111"/>
              </w:tabs>
              <w:spacing w:before="10"/>
              <w:ind w:left="57"/>
              <w:rPr>
                <w:b/>
                <w:bCs/>
                <w:sz w:val="22"/>
              </w:rPr>
            </w:pPr>
          </w:p>
        </w:tc>
        <w:tc>
          <w:tcPr>
            <w:tcW w:w="3884" w:type="dxa"/>
            <w:gridSpan w:val="2"/>
          </w:tcPr>
          <w:p w14:paraId="539211DB" w14:textId="77777777" w:rsidR="007B6316" w:rsidRPr="00235BC3" w:rsidRDefault="007B6316" w:rsidP="00303D62">
            <w:pPr>
              <w:tabs>
                <w:tab w:val="left" w:pos="4111"/>
              </w:tabs>
              <w:spacing w:before="0"/>
              <w:ind w:left="57"/>
              <w:rPr>
                <w:b/>
              </w:rPr>
            </w:pPr>
          </w:p>
        </w:tc>
        <w:tc>
          <w:tcPr>
            <w:tcW w:w="4475" w:type="dxa"/>
          </w:tcPr>
          <w:p w14:paraId="25C3D481" w14:textId="5EA64DC8" w:rsidR="007B6316" w:rsidRPr="00235BC3" w:rsidRDefault="007B6316" w:rsidP="007B6316">
            <w:pPr>
              <w:tabs>
                <w:tab w:val="clear" w:pos="794"/>
                <w:tab w:val="clear" w:pos="1191"/>
                <w:tab w:val="clear" w:pos="1588"/>
                <w:tab w:val="clear" w:pos="1985"/>
                <w:tab w:val="left" w:pos="284"/>
              </w:tabs>
              <w:spacing w:after="120"/>
              <w:ind w:left="284" w:hanging="227"/>
            </w:pPr>
            <w:r w:rsidRPr="00235BC3">
              <w:rPr>
                <w:szCs w:val="24"/>
              </w:rPr>
              <w:t>Ginebra,</w:t>
            </w:r>
            <w:r w:rsidR="002F2B52" w:rsidRPr="00235BC3">
              <w:rPr>
                <w:szCs w:val="24"/>
              </w:rPr>
              <w:t xml:space="preserve"> </w:t>
            </w:r>
            <w:r w:rsidR="00387C8C" w:rsidRPr="00235BC3">
              <w:rPr>
                <w:szCs w:val="24"/>
              </w:rPr>
              <w:t>4</w:t>
            </w:r>
            <w:r w:rsidR="002F2B52" w:rsidRPr="00235BC3">
              <w:rPr>
                <w:szCs w:val="24"/>
              </w:rPr>
              <w:t xml:space="preserve"> de </w:t>
            </w:r>
            <w:r w:rsidR="00387C8C" w:rsidRPr="00235BC3">
              <w:rPr>
                <w:szCs w:val="24"/>
              </w:rPr>
              <w:t>mayo</w:t>
            </w:r>
            <w:r w:rsidR="002F2B52" w:rsidRPr="00235BC3">
              <w:rPr>
                <w:szCs w:val="24"/>
              </w:rPr>
              <w:t xml:space="preserve"> de 20</w:t>
            </w:r>
            <w:r w:rsidR="00387C8C" w:rsidRPr="00235BC3">
              <w:rPr>
                <w:szCs w:val="24"/>
              </w:rPr>
              <w:t>20</w:t>
            </w:r>
          </w:p>
        </w:tc>
      </w:tr>
      <w:tr w:rsidR="007B6316" w:rsidRPr="00235BC3" w14:paraId="5BBE6FA6" w14:textId="77777777" w:rsidTr="002E488C">
        <w:trPr>
          <w:cantSplit/>
          <w:trHeight w:val="340"/>
        </w:trPr>
        <w:tc>
          <w:tcPr>
            <w:tcW w:w="1091" w:type="dxa"/>
          </w:tcPr>
          <w:p w14:paraId="1F2940A6" w14:textId="77777777" w:rsidR="007B6316" w:rsidRPr="002E488C" w:rsidRDefault="007B6316" w:rsidP="00303D62">
            <w:pPr>
              <w:tabs>
                <w:tab w:val="left" w:pos="4111"/>
              </w:tabs>
              <w:spacing w:before="10"/>
              <w:ind w:left="57"/>
              <w:rPr>
                <w:b/>
                <w:bCs/>
                <w:szCs w:val="22"/>
              </w:rPr>
            </w:pPr>
            <w:r w:rsidRPr="002E488C">
              <w:rPr>
                <w:b/>
                <w:bCs/>
                <w:szCs w:val="22"/>
              </w:rPr>
              <w:t>Ref.:</w:t>
            </w:r>
          </w:p>
          <w:p w14:paraId="0CA1DB0D" w14:textId="77777777" w:rsidR="007B6316" w:rsidRPr="002E488C" w:rsidRDefault="007B6316" w:rsidP="007B6316">
            <w:pPr>
              <w:tabs>
                <w:tab w:val="left" w:pos="4111"/>
              </w:tabs>
              <w:spacing w:before="10"/>
              <w:ind w:left="57"/>
              <w:rPr>
                <w:b/>
                <w:bCs/>
                <w:szCs w:val="22"/>
              </w:rPr>
            </w:pPr>
          </w:p>
        </w:tc>
        <w:tc>
          <w:tcPr>
            <w:tcW w:w="3884" w:type="dxa"/>
            <w:gridSpan w:val="2"/>
          </w:tcPr>
          <w:p w14:paraId="385D44C9" w14:textId="512FA773" w:rsidR="007B6316" w:rsidRPr="00235BC3" w:rsidRDefault="002F2B52" w:rsidP="002F2B52">
            <w:pPr>
              <w:tabs>
                <w:tab w:val="left" w:pos="4111"/>
              </w:tabs>
              <w:spacing w:before="0"/>
              <w:ind w:left="57"/>
              <w:rPr>
                <w:b/>
              </w:rPr>
            </w:pPr>
            <w:r w:rsidRPr="00235BC3">
              <w:rPr>
                <w:b/>
              </w:rPr>
              <w:t xml:space="preserve">Circular TSB </w:t>
            </w:r>
            <w:r w:rsidR="00387C8C" w:rsidRPr="00235BC3">
              <w:rPr>
                <w:b/>
              </w:rPr>
              <w:t>247</w:t>
            </w:r>
          </w:p>
        </w:tc>
        <w:tc>
          <w:tcPr>
            <w:tcW w:w="4475" w:type="dxa"/>
            <w:vMerge w:val="restart"/>
          </w:tcPr>
          <w:p w14:paraId="6D249C4C" w14:textId="0E1A4BD5" w:rsidR="007B6316" w:rsidRPr="00235BC3" w:rsidRDefault="00235BC3" w:rsidP="00303D62">
            <w:pPr>
              <w:tabs>
                <w:tab w:val="clear" w:pos="794"/>
                <w:tab w:val="clear" w:pos="1191"/>
                <w:tab w:val="clear" w:pos="1588"/>
                <w:tab w:val="clear" w:pos="1985"/>
                <w:tab w:val="left" w:pos="284"/>
              </w:tabs>
              <w:spacing w:before="0"/>
              <w:ind w:left="284" w:hanging="227"/>
            </w:pPr>
            <w:bookmarkStart w:id="0" w:name="Addressee_S"/>
            <w:bookmarkEnd w:id="0"/>
            <w:r w:rsidRPr="00235BC3">
              <w:t>–</w:t>
            </w:r>
            <w:r w:rsidR="007B6316" w:rsidRPr="00235BC3">
              <w:tab/>
              <w:t>A las Administraciones de los Estados Miembros de la Unión</w:t>
            </w:r>
            <w:r w:rsidR="00F27E1F" w:rsidRPr="00235BC3">
              <w:t>;</w:t>
            </w:r>
          </w:p>
          <w:p w14:paraId="308D022D" w14:textId="027079F3" w:rsidR="002F2B52" w:rsidRPr="00235BC3" w:rsidRDefault="00235BC3" w:rsidP="002F2B52">
            <w:pPr>
              <w:tabs>
                <w:tab w:val="clear" w:pos="794"/>
                <w:tab w:val="clear" w:pos="1191"/>
                <w:tab w:val="clear" w:pos="1588"/>
                <w:tab w:val="clear" w:pos="1985"/>
                <w:tab w:val="left" w:pos="284"/>
              </w:tabs>
              <w:spacing w:before="0"/>
              <w:ind w:left="284" w:hanging="227"/>
            </w:pPr>
            <w:r w:rsidRPr="00235BC3">
              <w:t>–</w:t>
            </w:r>
            <w:r w:rsidR="002F2B52" w:rsidRPr="00235BC3">
              <w:tab/>
              <w:t>A los Miembros de Sector del UIT-T;</w:t>
            </w:r>
          </w:p>
          <w:p w14:paraId="2C9947D9" w14:textId="035A6C1E" w:rsidR="002F2B52" w:rsidRPr="00235BC3" w:rsidRDefault="00235BC3" w:rsidP="002F2B52">
            <w:pPr>
              <w:tabs>
                <w:tab w:val="clear" w:pos="794"/>
                <w:tab w:val="clear" w:pos="1191"/>
                <w:tab w:val="clear" w:pos="1588"/>
                <w:tab w:val="clear" w:pos="1985"/>
                <w:tab w:val="left" w:pos="284"/>
              </w:tabs>
              <w:spacing w:before="0"/>
              <w:ind w:left="284" w:hanging="227"/>
            </w:pPr>
            <w:r w:rsidRPr="00235BC3">
              <w:t>–</w:t>
            </w:r>
            <w:r w:rsidR="002F2B52" w:rsidRPr="00235BC3">
              <w:tab/>
              <w:t>A los Asociados del UIT-T;</w:t>
            </w:r>
          </w:p>
          <w:p w14:paraId="6ACE9D8E" w14:textId="77777777" w:rsidR="002F2B52" w:rsidRDefault="00235BC3" w:rsidP="002F2B52">
            <w:pPr>
              <w:tabs>
                <w:tab w:val="clear" w:pos="794"/>
                <w:tab w:val="clear" w:pos="1191"/>
                <w:tab w:val="clear" w:pos="1588"/>
                <w:tab w:val="clear" w:pos="1985"/>
                <w:tab w:val="left" w:pos="284"/>
              </w:tabs>
              <w:spacing w:before="0"/>
              <w:ind w:left="284" w:hanging="227"/>
            </w:pPr>
            <w:r w:rsidRPr="00235BC3">
              <w:t>–</w:t>
            </w:r>
            <w:r w:rsidR="002F2B52" w:rsidRPr="00235BC3">
              <w:tab/>
              <w:t>A las Instituciones Académicas de la UIT</w:t>
            </w:r>
          </w:p>
          <w:p w14:paraId="137F3FA2" w14:textId="77777777" w:rsidR="002E488C" w:rsidRPr="00235BC3" w:rsidRDefault="002E488C" w:rsidP="002E488C">
            <w:pPr>
              <w:tabs>
                <w:tab w:val="left" w:pos="4111"/>
              </w:tabs>
            </w:pPr>
            <w:r w:rsidRPr="00235BC3">
              <w:rPr>
                <w:b/>
              </w:rPr>
              <w:t>Copia</w:t>
            </w:r>
            <w:r w:rsidRPr="00235BC3">
              <w:t>:</w:t>
            </w:r>
          </w:p>
          <w:p w14:paraId="13B8E4D3" w14:textId="77777777" w:rsidR="002E488C" w:rsidRPr="00235BC3" w:rsidRDefault="002E488C" w:rsidP="002E488C">
            <w:pPr>
              <w:tabs>
                <w:tab w:val="clear" w:pos="794"/>
                <w:tab w:val="left" w:pos="226"/>
                <w:tab w:val="left" w:pos="4111"/>
              </w:tabs>
              <w:spacing w:before="0"/>
              <w:ind w:left="226" w:hanging="149"/>
            </w:pPr>
            <w:r w:rsidRPr="00235BC3">
              <w:t>–</w:t>
            </w:r>
            <w:r w:rsidRPr="00235BC3">
              <w:tab/>
              <w:t xml:space="preserve">A los </w:t>
            </w:r>
            <w:proofErr w:type="gramStart"/>
            <w:r w:rsidRPr="00235BC3">
              <w:t>Presidentes</w:t>
            </w:r>
            <w:proofErr w:type="gramEnd"/>
            <w:r w:rsidRPr="00235BC3">
              <w:t xml:space="preserve"> y Vicepresidentes de las Comisiones de Estudio;</w:t>
            </w:r>
          </w:p>
          <w:p w14:paraId="372F2441" w14:textId="77777777" w:rsidR="002E488C" w:rsidRPr="00235BC3" w:rsidRDefault="002E488C" w:rsidP="002E488C">
            <w:pPr>
              <w:tabs>
                <w:tab w:val="clear" w:pos="794"/>
                <w:tab w:val="left" w:pos="226"/>
                <w:tab w:val="left" w:pos="4111"/>
              </w:tabs>
              <w:spacing w:before="0"/>
              <w:ind w:left="226" w:hanging="149"/>
            </w:pPr>
            <w:r w:rsidRPr="00235BC3">
              <w:t>–</w:t>
            </w:r>
            <w:r w:rsidRPr="00235BC3">
              <w:tab/>
              <w:t xml:space="preserve">A la </w:t>
            </w:r>
            <w:proofErr w:type="gramStart"/>
            <w:r w:rsidRPr="00235BC3">
              <w:t>Directora</w:t>
            </w:r>
            <w:proofErr w:type="gramEnd"/>
            <w:r w:rsidRPr="00235BC3">
              <w:t xml:space="preserve"> de la Oficina de Desarrollo de las Telecomunicaciones;</w:t>
            </w:r>
          </w:p>
          <w:p w14:paraId="0F661EF6" w14:textId="268EB4E5" w:rsidR="002E488C" w:rsidRPr="00235BC3" w:rsidRDefault="002E488C" w:rsidP="002E488C">
            <w:pPr>
              <w:tabs>
                <w:tab w:val="clear" w:pos="794"/>
                <w:tab w:val="clear" w:pos="1191"/>
                <w:tab w:val="clear" w:pos="1588"/>
                <w:tab w:val="clear" w:pos="1985"/>
                <w:tab w:val="left" w:pos="284"/>
              </w:tabs>
              <w:spacing w:before="0"/>
              <w:ind w:left="284" w:hanging="227"/>
            </w:pPr>
            <w:r w:rsidRPr="00235BC3">
              <w:t>–</w:t>
            </w:r>
            <w:r w:rsidRPr="00235BC3">
              <w:tab/>
              <w:t>Al Director de la Oficina de Radiocomunicaciones</w:t>
            </w:r>
          </w:p>
        </w:tc>
      </w:tr>
      <w:tr w:rsidR="00387C8C" w:rsidRPr="00235BC3" w14:paraId="090931C0" w14:textId="77777777" w:rsidTr="002E488C">
        <w:trPr>
          <w:cantSplit/>
        </w:trPr>
        <w:tc>
          <w:tcPr>
            <w:tcW w:w="1091" w:type="dxa"/>
          </w:tcPr>
          <w:p w14:paraId="3DF80F25" w14:textId="0390D4FA" w:rsidR="00387C8C" w:rsidRPr="002E488C" w:rsidRDefault="00387C8C" w:rsidP="00303D62">
            <w:pPr>
              <w:tabs>
                <w:tab w:val="left" w:pos="4111"/>
              </w:tabs>
              <w:spacing w:before="10"/>
              <w:ind w:left="57"/>
              <w:rPr>
                <w:b/>
                <w:bCs/>
                <w:szCs w:val="22"/>
              </w:rPr>
            </w:pPr>
            <w:r w:rsidRPr="002E488C">
              <w:rPr>
                <w:b/>
                <w:bCs/>
                <w:szCs w:val="22"/>
              </w:rPr>
              <w:t>Contacto:</w:t>
            </w:r>
          </w:p>
        </w:tc>
        <w:tc>
          <w:tcPr>
            <w:tcW w:w="3884" w:type="dxa"/>
            <w:gridSpan w:val="2"/>
          </w:tcPr>
          <w:p w14:paraId="7069E05F" w14:textId="19FCC0A9" w:rsidR="00387C8C" w:rsidRPr="00235BC3" w:rsidRDefault="00387C8C" w:rsidP="00303D62">
            <w:pPr>
              <w:tabs>
                <w:tab w:val="left" w:pos="4111"/>
              </w:tabs>
              <w:spacing w:before="0"/>
              <w:ind w:left="57"/>
            </w:pPr>
            <w:r w:rsidRPr="00235BC3">
              <w:t>Vijay Mauree</w:t>
            </w:r>
          </w:p>
        </w:tc>
        <w:tc>
          <w:tcPr>
            <w:tcW w:w="4475" w:type="dxa"/>
            <w:vMerge/>
          </w:tcPr>
          <w:p w14:paraId="28D185DD" w14:textId="77777777" w:rsidR="00387C8C" w:rsidRPr="00235BC3" w:rsidRDefault="00387C8C" w:rsidP="00303D62">
            <w:pPr>
              <w:tabs>
                <w:tab w:val="left" w:pos="4111"/>
              </w:tabs>
              <w:spacing w:before="0"/>
              <w:rPr>
                <w:b/>
              </w:rPr>
            </w:pPr>
          </w:p>
        </w:tc>
      </w:tr>
      <w:tr w:rsidR="007B6316" w:rsidRPr="00235BC3" w14:paraId="3353799E" w14:textId="77777777" w:rsidTr="002E488C">
        <w:trPr>
          <w:cantSplit/>
        </w:trPr>
        <w:tc>
          <w:tcPr>
            <w:tcW w:w="1091" w:type="dxa"/>
          </w:tcPr>
          <w:p w14:paraId="33CE1A8F" w14:textId="77777777" w:rsidR="007B6316" w:rsidRPr="002E488C" w:rsidRDefault="007B6316" w:rsidP="00303D62">
            <w:pPr>
              <w:tabs>
                <w:tab w:val="left" w:pos="4111"/>
              </w:tabs>
              <w:spacing w:before="10"/>
              <w:ind w:left="57"/>
              <w:rPr>
                <w:b/>
                <w:bCs/>
                <w:szCs w:val="22"/>
              </w:rPr>
            </w:pPr>
            <w:r w:rsidRPr="002E488C">
              <w:rPr>
                <w:b/>
                <w:bCs/>
                <w:szCs w:val="22"/>
              </w:rPr>
              <w:t>Tel.:</w:t>
            </w:r>
          </w:p>
        </w:tc>
        <w:tc>
          <w:tcPr>
            <w:tcW w:w="3884" w:type="dxa"/>
            <w:gridSpan w:val="2"/>
          </w:tcPr>
          <w:p w14:paraId="04DD9EF8" w14:textId="1968C636" w:rsidR="007B6316" w:rsidRPr="00235BC3" w:rsidRDefault="007B6316" w:rsidP="00303D62">
            <w:pPr>
              <w:tabs>
                <w:tab w:val="left" w:pos="4111"/>
              </w:tabs>
              <w:spacing w:before="0"/>
              <w:ind w:left="57"/>
              <w:rPr>
                <w:rStyle w:val="Hyperlink"/>
              </w:rPr>
            </w:pPr>
            <w:r w:rsidRPr="00235BC3">
              <w:t>+41 22 730</w:t>
            </w:r>
            <w:r w:rsidR="002F2B52" w:rsidRPr="00235BC3">
              <w:t xml:space="preserve"> </w:t>
            </w:r>
            <w:r w:rsidR="00387C8C" w:rsidRPr="00235BC3">
              <w:t>5591</w:t>
            </w:r>
          </w:p>
        </w:tc>
        <w:tc>
          <w:tcPr>
            <w:tcW w:w="4475" w:type="dxa"/>
            <w:vMerge/>
          </w:tcPr>
          <w:p w14:paraId="45283A5A" w14:textId="77777777" w:rsidR="007B6316" w:rsidRPr="00235BC3" w:rsidRDefault="007B6316" w:rsidP="00303D62">
            <w:pPr>
              <w:tabs>
                <w:tab w:val="left" w:pos="4111"/>
              </w:tabs>
              <w:spacing w:before="0"/>
              <w:rPr>
                <w:b/>
              </w:rPr>
            </w:pPr>
          </w:p>
        </w:tc>
      </w:tr>
      <w:tr w:rsidR="007B6316" w:rsidRPr="00235BC3" w14:paraId="2B5B95AE" w14:textId="77777777" w:rsidTr="002E488C">
        <w:trPr>
          <w:cantSplit/>
          <w:trHeight w:val="2574"/>
        </w:trPr>
        <w:tc>
          <w:tcPr>
            <w:tcW w:w="1091" w:type="dxa"/>
          </w:tcPr>
          <w:p w14:paraId="22C656C3" w14:textId="77777777" w:rsidR="007B6316" w:rsidRPr="002E488C" w:rsidRDefault="007B6316" w:rsidP="00303D62">
            <w:pPr>
              <w:tabs>
                <w:tab w:val="left" w:pos="4111"/>
              </w:tabs>
              <w:spacing w:before="10"/>
              <w:ind w:left="57"/>
              <w:rPr>
                <w:b/>
                <w:bCs/>
                <w:szCs w:val="22"/>
              </w:rPr>
            </w:pPr>
            <w:r w:rsidRPr="002E488C">
              <w:rPr>
                <w:b/>
                <w:bCs/>
                <w:szCs w:val="22"/>
              </w:rPr>
              <w:t>Fax:</w:t>
            </w:r>
          </w:p>
          <w:p w14:paraId="246D83F5" w14:textId="2DFB479D" w:rsidR="002E488C" w:rsidRPr="002E488C" w:rsidRDefault="002E488C" w:rsidP="00303D62">
            <w:pPr>
              <w:tabs>
                <w:tab w:val="left" w:pos="4111"/>
              </w:tabs>
              <w:spacing w:before="10"/>
              <w:ind w:left="57"/>
              <w:rPr>
                <w:b/>
                <w:bCs/>
                <w:szCs w:val="22"/>
              </w:rPr>
            </w:pPr>
            <w:r w:rsidRPr="002E488C">
              <w:rPr>
                <w:b/>
                <w:bCs/>
                <w:szCs w:val="22"/>
              </w:rPr>
              <w:t>Correo-e:</w:t>
            </w:r>
          </w:p>
        </w:tc>
        <w:tc>
          <w:tcPr>
            <w:tcW w:w="3884" w:type="dxa"/>
            <w:gridSpan w:val="2"/>
          </w:tcPr>
          <w:p w14:paraId="4A36AE48" w14:textId="77777777" w:rsidR="007B6316" w:rsidRDefault="007B6316" w:rsidP="00303D62">
            <w:pPr>
              <w:tabs>
                <w:tab w:val="left" w:pos="4111"/>
              </w:tabs>
              <w:spacing w:before="0"/>
              <w:ind w:left="57"/>
            </w:pPr>
            <w:r w:rsidRPr="00235BC3">
              <w:t>+41 22 730 5853</w:t>
            </w:r>
          </w:p>
          <w:p w14:paraId="186C1484" w14:textId="2EC8E071" w:rsidR="002E488C" w:rsidRPr="00235BC3" w:rsidRDefault="002E488C" w:rsidP="00303D62">
            <w:pPr>
              <w:tabs>
                <w:tab w:val="left" w:pos="4111"/>
              </w:tabs>
              <w:spacing w:before="0"/>
              <w:ind w:left="57"/>
              <w:rPr>
                <w:rStyle w:val="Hyperlink"/>
              </w:rPr>
            </w:pPr>
            <w:r w:rsidRPr="00235BC3">
              <w:rPr>
                <w:rStyle w:val="Hyperlink"/>
                <w:szCs w:val="24"/>
              </w:rPr>
              <w:t>tsbevents@itu.int</w:t>
            </w:r>
          </w:p>
        </w:tc>
        <w:tc>
          <w:tcPr>
            <w:tcW w:w="4475" w:type="dxa"/>
            <w:vMerge/>
          </w:tcPr>
          <w:p w14:paraId="055BBC83" w14:textId="77777777" w:rsidR="007B6316" w:rsidRPr="00235BC3" w:rsidRDefault="007B6316" w:rsidP="00303D62">
            <w:pPr>
              <w:tabs>
                <w:tab w:val="left" w:pos="4111"/>
              </w:tabs>
              <w:spacing w:before="0"/>
              <w:rPr>
                <w:b/>
              </w:rPr>
            </w:pPr>
          </w:p>
        </w:tc>
      </w:tr>
      <w:tr w:rsidR="007B6316" w:rsidRPr="00235BC3" w14:paraId="0F3CEB89" w14:textId="77777777" w:rsidTr="002E488C">
        <w:trPr>
          <w:cantSplit/>
        </w:trPr>
        <w:tc>
          <w:tcPr>
            <w:tcW w:w="1091" w:type="dxa"/>
          </w:tcPr>
          <w:p w14:paraId="738C69DE" w14:textId="77777777" w:rsidR="007B6316" w:rsidRPr="00235BC3" w:rsidRDefault="007B6316" w:rsidP="00303D62">
            <w:pPr>
              <w:tabs>
                <w:tab w:val="left" w:pos="4111"/>
              </w:tabs>
              <w:spacing w:before="10"/>
              <w:ind w:left="57"/>
              <w:rPr>
                <w:b/>
                <w:bCs/>
                <w:sz w:val="22"/>
              </w:rPr>
            </w:pPr>
            <w:r w:rsidRPr="002E488C">
              <w:rPr>
                <w:b/>
                <w:bCs/>
                <w:szCs w:val="22"/>
              </w:rPr>
              <w:t>Asunto</w:t>
            </w:r>
            <w:r w:rsidRPr="00235BC3">
              <w:rPr>
                <w:b/>
                <w:bCs/>
                <w:sz w:val="22"/>
              </w:rPr>
              <w:t>:</w:t>
            </w:r>
          </w:p>
        </w:tc>
        <w:tc>
          <w:tcPr>
            <w:tcW w:w="8359" w:type="dxa"/>
            <w:gridSpan w:val="3"/>
          </w:tcPr>
          <w:p w14:paraId="6CC651CC" w14:textId="701CF436" w:rsidR="007B6316" w:rsidRPr="00235BC3" w:rsidRDefault="00387C8C" w:rsidP="000A6637">
            <w:pPr>
              <w:tabs>
                <w:tab w:val="left" w:pos="4111"/>
              </w:tabs>
              <w:spacing w:before="0"/>
              <w:rPr>
                <w:b/>
              </w:rPr>
            </w:pPr>
            <w:r w:rsidRPr="00235BC3">
              <w:rPr>
                <w:b/>
              </w:rPr>
              <w:t xml:space="preserve">Serie de webinarios sobre las perspectivas de los servicios financieros digitales durante el COVID-19 </w:t>
            </w:r>
            <w:r w:rsidRPr="00235BC3">
              <w:rPr>
                <w:b/>
                <w:color w:val="FF0000"/>
              </w:rPr>
              <w:t>(reuniones plenamente virtuales)</w:t>
            </w:r>
          </w:p>
        </w:tc>
      </w:tr>
    </w:tbl>
    <w:p w14:paraId="2F2493F4" w14:textId="7C36DAD3" w:rsidR="00C34772" w:rsidRPr="00235BC3" w:rsidRDefault="00C34772" w:rsidP="007B6316">
      <w:pPr>
        <w:spacing w:before="320"/>
      </w:pPr>
      <w:bookmarkStart w:id="1" w:name="StartTyping_S"/>
      <w:bookmarkStart w:id="2" w:name="suitetext"/>
      <w:bookmarkStart w:id="3" w:name="text"/>
      <w:bookmarkEnd w:id="1"/>
      <w:bookmarkEnd w:id="2"/>
      <w:bookmarkEnd w:id="3"/>
      <w:r w:rsidRPr="00235BC3">
        <w:t>Muy Señora mía/Muy Señor mío</w:t>
      </w:r>
      <w:r w:rsidR="002E488C">
        <w:t>,</w:t>
      </w:r>
    </w:p>
    <w:p w14:paraId="4E1D676F" w14:textId="11FFAB52" w:rsidR="00387C8C" w:rsidRPr="00235BC3" w:rsidRDefault="002F2B52" w:rsidP="002F2B52">
      <w:r w:rsidRPr="00235BC3">
        <w:rPr>
          <w:bCs/>
        </w:rPr>
        <w:t>1</w:t>
      </w:r>
      <w:r w:rsidRPr="00235BC3">
        <w:tab/>
        <w:t>La Unión Internacional de Telecomunicaciones (UIT) está organizando un</w:t>
      </w:r>
      <w:r w:rsidR="00387C8C" w:rsidRPr="00235BC3">
        <w:t xml:space="preserve">a serie de webinarios sobre </w:t>
      </w:r>
      <w:hyperlink r:id="rId9" w:history="1">
        <w:r w:rsidR="00387C8C" w:rsidRPr="0078792C">
          <w:rPr>
            <w:rStyle w:val="Hyperlink"/>
            <w:b/>
          </w:rPr>
          <w:t>Perspectivas de los servicios financieros digitales durante el COVID-19</w:t>
        </w:r>
      </w:hyperlink>
      <w:r w:rsidRPr="00235BC3">
        <w:t xml:space="preserve"> </w:t>
      </w:r>
      <w:r w:rsidR="00387C8C" w:rsidRPr="00235BC3">
        <w:t>con el objetivo de debatir acerca de las aplicaciones innovadoras de los servicios de telecomunicaciones, los pagos digitales y la tecnología financiera, abordando los desafíos ligados al distanciamiento social activados como consecuencia del COVID-19. El webinario servirá para compartir las enseñanzas extraídas por los países y las partes interesadas de los SFD acerca de las distintas medidas que se están aplicando. Los tres primeros episodios de la serie de webinarios tratarán de los siguientes temas:</w:t>
      </w:r>
    </w:p>
    <w:p w14:paraId="684AC6A7" w14:textId="2C23CE11" w:rsidR="00387C8C" w:rsidRPr="00235BC3" w:rsidRDefault="00387C8C" w:rsidP="00235BC3">
      <w:pPr>
        <w:pStyle w:val="enumlev1"/>
      </w:pPr>
      <w:bookmarkStart w:id="4" w:name="lt_pId057"/>
      <w:r w:rsidRPr="00235BC3">
        <w:t>a)</w:t>
      </w:r>
      <w:bookmarkEnd w:id="4"/>
      <w:r w:rsidRPr="00235BC3">
        <w:tab/>
      </w:r>
      <w:bookmarkStart w:id="5" w:name="lt_pId058"/>
      <w:r w:rsidRPr="00235BC3">
        <w:rPr>
          <w:b/>
        </w:rPr>
        <w:t>Utilizar los servicios financieros digitales para re</w:t>
      </w:r>
      <w:r w:rsidR="00235BC3" w:rsidRPr="00235BC3">
        <w:rPr>
          <w:b/>
        </w:rPr>
        <w:t>ducir la amenaza de la pandemia</w:t>
      </w:r>
      <w:r w:rsidR="00235BC3" w:rsidRPr="00235BC3">
        <w:t xml:space="preserve"> –</w:t>
      </w:r>
      <w:r w:rsidRPr="00235BC3">
        <w:t xml:space="preserve"> el día 14 de mayo de 2020 de las 15</w:t>
      </w:r>
      <w:bookmarkEnd w:id="5"/>
      <w:r w:rsidR="0078792C">
        <w:t>.</w:t>
      </w:r>
      <w:r w:rsidRPr="00235BC3">
        <w:t>00 a las 16</w:t>
      </w:r>
      <w:bookmarkStart w:id="6" w:name="lt_pId060"/>
      <w:r w:rsidR="0078792C">
        <w:t>.</w:t>
      </w:r>
      <w:r w:rsidRPr="00235BC3">
        <w:t>45 horas CEST</w:t>
      </w:r>
      <w:bookmarkEnd w:id="6"/>
      <w:r w:rsidR="00235BC3" w:rsidRPr="00235BC3">
        <w:t>.</w:t>
      </w:r>
    </w:p>
    <w:p w14:paraId="17B3EC68" w14:textId="191D1A00" w:rsidR="00387C8C" w:rsidRPr="00235BC3" w:rsidRDefault="00387C8C" w:rsidP="00235BC3">
      <w:pPr>
        <w:pStyle w:val="enumlev1"/>
        <w:rPr>
          <w:rFonts w:cs="Calibri"/>
          <w:szCs w:val="24"/>
        </w:rPr>
      </w:pPr>
      <w:bookmarkStart w:id="7" w:name="lt_pId061"/>
      <w:r w:rsidRPr="00235BC3">
        <w:rPr>
          <w:szCs w:val="24"/>
        </w:rPr>
        <w:t>b)</w:t>
      </w:r>
      <w:bookmarkEnd w:id="7"/>
      <w:r w:rsidRPr="00235BC3">
        <w:rPr>
          <w:szCs w:val="24"/>
        </w:rPr>
        <w:tab/>
      </w:r>
      <w:bookmarkStart w:id="8" w:name="lt_pId062"/>
      <w:r w:rsidRPr="00235BC3">
        <w:rPr>
          <w:b/>
          <w:bCs/>
          <w:szCs w:val="24"/>
        </w:rPr>
        <w:t xml:space="preserve">Beneficios de la ID digital para permitir la respuesta de </w:t>
      </w:r>
      <w:r w:rsidR="00FC1985" w:rsidRPr="00235BC3">
        <w:rPr>
          <w:b/>
          <w:bCs/>
          <w:szCs w:val="24"/>
        </w:rPr>
        <w:t>los gobiernos y el sector privado a la pandemia</w:t>
      </w:r>
      <w:r w:rsidR="0078792C">
        <w:rPr>
          <w:b/>
          <w:bCs/>
          <w:szCs w:val="24"/>
        </w:rPr>
        <w:t>,</w:t>
      </w:r>
      <w:r w:rsidR="00FC1985" w:rsidRPr="00235BC3">
        <w:rPr>
          <w:b/>
          <w:bCs/>
          <w:szCs w:val="24"/>
        </w:rPr>
        <w:t xml:space="preserve"> Parte 1 </w:t>
      </w:r>
      <w:r w:rsidR="0078792C" w:rsidRPr="0078792C">
        <w:rPr>
          <w:bCs/>
          <w:szCs w:val="24"/>
        </w:rPr>
        <w:t>–</w:t>
      </w:r>
      <w:r w:rsidR="0078792C">
        <w:rPr>
          <w:b/>
          <w:bCs/>
          <w:szCs w:val="24"/>
        </w:rPr>
        <w:t xml:space="preserve"> </w:t>
      </w:r>
      <w:r w:rsidR="00FC1985" w:rsidRPr="00235BC3">
        <w:rPr>
          <w:rFonts w:cs="Calibri"/>
          <w:szCs w:val="24"/>
        </w:rPr>
        <w:t>el día</w:t>
      </w:r>
      <w:r w:rsidRPr="00235BC3">
        <w:rPr>
          <w:rFonts w:cs="Calibri"/>
          <w:szCs w:val="24"/>
        </w:rPr>
        <w:t xml:space="preserve"> 20 </w:t>
      </w:r>
      <w:r w:rsidR="00FC1985" w:rsidRPr="00235BC3">
        <w:rPr>
          <w:rFonts w:cs="Calibri"/>
          <w:szCs w:val="24"/>
        </w:rPr>
        <w:t>de mayo de</w:t>
      </w:r>
      <w:r w:rsidRPr="00235BC3">
        <w:rPr>
          <w:rFonts w:cs="Calibri"/>
          <w:szCs w:val="24"/>
        </w:rPr>
        <w:t xml:space="preserve"> 2020 de las </w:t>
      </w:r>
      <w:bookmarkStart w:id="9" w:name="lt_pId064"/>
      <w:bookmarkEnd w:id="8"/>
      <w:r w:rsidRPr="00235BC3">
        <w:rPr>
          <w:rFonts w:cs="Calibri"/>
          <w:szCs w:val="24"/>
        </w:rPr>
        <w:t>15</w:t>
      </w:r>
      <w:r w:rsidR="0078792C">
        <w:rPr>
          <w:rFonts w:cs="Calibri"/>
          <w:szCs w:val="24"/>
        </w:rPr>
        <w:t>.</w:t>
      </w:r>
      <w:r w:rsidRPr="00235BC3">
        <w:rPr>
          <w:rFonts w:cs="Calibri"/>
          <w:szCs w:val="24"/>
        </w:rPr>
        <w:t>00 a las 16</w:t>
      </w:r>
      <w:r w:rsidR="0078792C">
        <w:rPr>
          <w:rFonts w:cs="Calibri"/>
          <w:szCs w:val="24"/>
        </w:rPr>
        <w:t>.</w:t>
      </w:r>
      <w:r w:rsidRPr="00235BC3">
        <w:rPr>
          <w:rFonts w:cs="Calibri"/>
          <w:szCs w:val="24"/>
        </w:rPr>
        <w:t>45 horas CEST</w:t>
      </w:r>
      <w:bookmarkEnd w:id="9"/>
      <w:r w:rsidR="00235BC3" w:rsidRPr="00235BC3">
        <w:rPr>
          <w:rFonts w:cs="Calibri"/>
          <w:szCs w:val="24"/>
        </w:rPr>
        <w:t>.</w:t>
      </w:r>
    </w:p>
    <w:p w14:paraId="6C810F4C" w14:textId="7BFAEDE4" w:rsidR="00387C8C" w:rsidRPr="00235BC3" w:rsidRDefault="00387C8C" w:rsidP="00235BC3">
      <w:pPr>
        <w:pStyle w:val="enumlev1"/>
        <w:rPr>
          <w:rFonts w:cs="Calibri"/>
          <w:szCs w:val="24"/>
        </w:rPr>
      </w:pPr>
      <w:bookmarkStart w:id="10" w:name="lt_pId065"/>
      <w:r w:rsidRPr="00235BC3">
        <w:rPr>
          <w:szCs w:val="24"/>
        </w:rPr>
        <w:t>c)</w:t>
      </w:r>
      <w:bookmarkEnd w:id="10"/>
      <w:r w:rsidRPr="00235BC3">
        <w:rPr>
          <w:szCs w:val="24"/>
        </w:rPr>
        <w:tab/>
      </w:r>
      <w:bookmarkStart w:id="11" w:name="_Hlk39679653"/>
      <w:bookmarkStart w:id="12" w:name="lt_pId066"/>
      <w:r w:rsidR="00FC1985" w:rsidRPr="00235BC3">
        <w:rPr>
          <w:b/>
          <w:bCs/>
          <w:szCs w:val="24"/>
        </w:rPr>
        <w:t>Beneficios de la ID digital para permitir la respuesta de los gobiernos y el sector privado a la pandemia</w:t>
      </w:r>
      <w:r w:rsidR="0078792C">
        <w:rPr>
          <w:b/>
          <w:bCs/>
          <w:szCs w:val="24"/>
        </w:rPr>
        <w:t>,</w:t>
      </w:r>
      <w:bookmarkEnd w:id="11"/>
      <w:r w:rsidR="00FC1985" w:rsidRPr="00235BC3">
        <w:rPr>
          <w:b/>
          <w:bCs/>
          <w:szCs w:val="24"/>
        </w:rPr>
        <w:t xml:space="preserve"> Parte </w:t>
      </w:r>
      <w:r w:rsidRPr="00235BC3">
        <w:rPr>
          <w:b/>
          <w:bCs/>
          <w:szCs w:val="24"/>
        </w:rPr>
        <w:t>2</w:t>
      </w:r>
      <w:r w:rsidRPr="00235BC3">
        <w:rPr>
          <w:rFonts w:cs="Calibri"/>
          <w:szCs w:val="24"/>
        </w:rPr>
        <w:t xml:space="preserve"> </w:t>
      </w:r>
      <w:r w:rsidR="0078792C" w:rsidRPr="0078792C">
        <w:rPr>
          <w:rFonts w:cs="Calibri"/>
          <w:szCs w:val="24"/>
        </w:rPr>
        <w:t>–</w:t>
      </w:r>
      <w:r w:rsidR="0078792C">
        <w:rPr>
          <w:rFonts w:cs="Calibri"/>
          <w:szCs w:val="24"/>
        </w:rPr>
        <w:t xml:space="preserve"> </w:t>
      </w:r>
      <w:r w:rsidR="00FC1985" w:rsidRPr="00235BC3">
        <w:rPr>
          <w:rFonts w:cs="Calibri"/>
          <w:szCs w:val="24"/>
        </w:rPr>
        <w:t>el día</w:t>
      </w:r>
      <w:r w:rsidRPr="00235BC3">
        <w:rPr>
          <w:rFonts w:cs="Calibri"/>
          <w:szCs w:val="24"/>
        </w:rPr>
        <w:t xml:space="preserve"> 21 </w:t>
      </w:r>
      <w:r w:rsidR="00FC1985" w:rsidRPr="00235BC3">
        <w:rPr>
          <w:rFonts w:cs="Calibri"/>
          <w:szCs w:val="24"/>
        </w:rPr>
        <w:t>de mayo de</w:t>
      </w:r>
      <w:r w:rsidRPr="00235BC3">
        <w:rPr>
          <w:rFonts w:cs="Calibri"/>
          <w:szCs w:val="24"/>
        </w:rPr>
        <w:t xml:space="preserve"> 2020 de las 16</w:t>
      </w:r>
      <w:bookmarkEnd w:id="12"/>
      <w:r w:rsidR="0078792C">
        <w:rPr>
          <w:rFonts w:cs="Calibri"/>
          <w:szCs w:val="24"/>
        </w:rPr>
        <w:t>.</w:t>
      </w:r>
      <w:r w:rsidRPr="00235BC3">
        <w:rPr>
          <w:rFonts w:cs="Calibri"/>
          <w:szCs w:val="24"/>
        </w:rPr>
        <w:t>00 – 17</w:t>
      </w:r>
      <w:bookmarkStart w:id="13" w:name="lt_pId068"/>
      <w:r w:rsidR="0078792C">
        <w:rPr>
          <w:rFonts w:cs="Calibri"/>
          <w:szCs w:val="24"/>
        </w:rPr>
        <w:t>.</w:t>
      </w:r>
      <w:r w:rsidRPr="00235BC3">
        <w:rPr>
          <w:rFonts w:cs="Calibri"/>
          <w:szCs w:val="24"/>
        </w:rPr>
        <w:t>45 horas CEST</w:t>
      </w:r>
      <w:bookmarkEnd w:id="13"/>
      <w:r w:rsidR="00235BC3" w:rsidRPr="00235BC3">
        <w:rPr>
          <w:rFonts w:cs="Calibri"/>
          <w:szCs w:val="24"/>
        </w:rPr>
        <w:t>.</w:t>
      </w:r>
    </w:p>
    <w:p w14:paraId="0BED4C59" w14:textId="4F363BCD" w:rsidR="002E488C" w:rsidRDefault="00FC1985" w:rsidP="002F2B52">
      <w:r w:rsidRPr="00235BC3">
        <w:t>2</w:t>
      </w:r>
      <w:r w:rsidRPr="00235BC3">
        <w:tab/>
      </w:r>
      <w:proofErr w:type="gramStart"/>
      <w:r w:rsidRPr="00235BC3">
        <w:t>Con</w:t>
      </w:r>
      <w:proofErr w:type="gramEnd"/>
      <w:r w:rsidRPr="00235BC3">
        <w:t xml:space="preserve"> más de la mitad de la población mundial encerrada por el COVID-19, la mayoría de los pobres del mundo no tienen ningún ingreso. Muchos no tienen un lugar seguro en el que ponerse en cuarentena, la mayoría tienen ahorros mínimos para abastecerse de alimentos y suministros, y algunos ni siquiera tienen acceso a servicios básicos como el agua necesaria para lavarse las manos. Además, los puntos de acceso al dinero en efectivo también se han visto limitados por el cierre de empresas o la falta de liquidez adecuada. ¿Cómo podrán los pobres y quienes no disponen de servicios bancarios acceder a los servicios financieros durante la pandemia?</w:t>
      </w:r>
    </w:p>
    <w:p w14:paraId="6EA0F758" w14:textId="77777777" w:rsidR="002E488C" w:rsidRDefault="002E488C">
      <w:pPr>
        <w:tabs>
          <w:tab w:val="clear" w:pos="794"/>
          <w:tab w:val="clear" w:pos="1191"/>
          <w:tab w:val="clear" w:pos="1588"/>
          <w:tab w:val="clear" w:pos="1985"/>
        </w:tabs>
        <w:overflowPunct/>
        <w:autoSpaceDE/>
        <w:autoSpaceDN/>
        <w:adjustRightInd/>
        <w:spacing w:before="0"/>
        <w:textAlignment w:val="auto"/>
      </w:pPr>
      <w:r>
        <w:br w:type="page"/>
      </w:r>
    </w:p>
    <w:p w14:paraId="294CBF6C" w14:textId="507CC7A9" w:rsidR="002F2B52" w:rsidRPr="00235BC3" w:rsidRDefault="00FC1985" w:rsidP="002F2B52">
      <w:r w:rsidRPr="00235BC3">
        <w:lastRenderedPageBreak/>
        <w:t>3</w:t>
      </w:r>
      <w:r w:rsidRPr="00235BC3">
        <w:tab/>
      </w:r>
      <w:proofErr w:type="gramStart"/>
      <w:r w:rsidRPr="00235BC3">
        <w:rPr>
          <w:b/>
          <w:bCs/>
        </w:rPr>
        <w:t>La</w:t>
      </w:r>
      <w:proofErr w:type="gramEnd"/>
      <w:r w:rsidRPr="00235BC3">
        <w:rPr>
          <w:b/>
          <w:bCs/>
        </w:rPr>
        <w:t xml:space="preserve"> disponibilidad de servicios de telecomunicaciones, los pagos digitales y la tecnología financiera son claves para hacer llegar el dinero de manera rápida y eficiente a quienes lo necesitan durante los tiempos de la pandemia</w:t>
      </w:r>
      <w:r w:rsidRPr="00235BC3">
        <w:t>. Muchos gobiernos dependerán de los pagos de la red de seguridad como primera línea de defensa financiera; y los mecanismos digitales desempeñarán un papel fundamental para que esos pagos contribuyan a mitigar la crisis para los pobres. Los canales digitales también proporcionan un acceso más rápido a los fondos, no sólo a las víctimas sino también a quienes ayudan a mitigar una crisis.</w:t>
      </w:r>
    </w:p>
    <w:p w14:paraId="7B3621A6" w14:textId="46DDDB1D" w:rsidR="00FC1985" w:rsidRPr="00235BC3" w:rsidRDefault="00FC1985" w:rsidP="002F2B52">
      <w:r w:rsidRPr="00235BC3">
        <w:t>4</w:t>
      </w:r>
      <w:r w:rsidRPr="00235BC3">
        <w:tab/>
      </w:r>
      <w:proofErr w:type="gramStart"/>
      <w:r w:rsidRPr="00235BC3">
        <w:t>En</w:t>
      </w:r>
      <w:proofErr w:type="gramEnd"/>
      <w:r w:rsidRPr="00235BC3">
        <w:t xml:space="preserve"> el primer episodio, titulado "</w:t>
      </w:r>
      <w:r w:rsidRPr="00235BC3">
        <w:rPr>
          <w:b/>
          <w:bCs/>
        </w:rPr>
        <w:t>Utilizar los servicios financieros digitales para reducir la amenaza de la pandemia</w:t>
      </w:r>
      <w:r w:rsidRPr="00235BC3">
        <w:t>", se examinarán las medidas técnicas que están aplicando los gobiernos y el sector privado para promover la utilización de los servicios financieros digitales en lugar del efectivo físico; y la forma en que se está utilizando la financiación digital como palanca para influir en el distanciamiento social y las transacciones de pago durante esta crisis sanitaria. El webinario cuenta con la participación de expertos clave de Kenya, Pakistán, Túnez, Marruecos y organizaciones internacionales que examinan las medidas que se han aplicado para fomentar el uso de la financiación digital.</w:t>
      </w:r>
    </w:p>
    <w:p w14:paraId="5E047A41" w14:textId="158DEDF4" w:rsidR="00FC1985" w:rsidRPr="00235BC3" w:rsidRDefault="00FC1985" w:rsidP="002F2B52">
      <w:r w:rsidRPr="00235BC3">
        <w:t>5</w:t>
      </w:r>
      <w:r w:rsidRPr="00235BC3">
        <w:tab/>
      </w:r>
      <w:proofErr w:type="gramStart"/>
      <w:r w:rsidRPr="00235BC3">
        <w:t>En</w:t>
      </w:r>
      <w:proofErr w:type="gramEnd"/>
      <w:r w:rsidRPr="00235BC3">
        <w:t xml:space="preserve"> los episodios segundo y tercero sobre "</w:t>
      </w:r>
      <w:r w:rsidRPr="00235BC3">
        <w:rPr>
          <w:b/>
          <w:bCs/>
        </w:rPr>
        <w:t>Beneficios de la ID digital para permitir la respuesta de los gobiernos y el sector privado a la pandemia</w:t>
      </w:r>
      <w:r w:rsidRPr="00235BC3">
        <w:t xml:space="preserve">" se examinará la forma en que las empresas recurren cada vez más a la tecnología para verificar la identidad a distancia, a fin de incorporar rápidamente a las personas a los servicios financieros digitales. Mediante los servicios financieros digitales y las soluciones de identificación digital, los gobiernos también pueden distribuir eficazmente la ayuda social a la población durante la crisis. Este webinario cuenta con la participación de expertos clave que analizan cómo </w:t>
      </w:r>
      <w:r w:rsidR="000A2938" w:rsidRPr="00235BC3">
        <w:t xml:space="preserve">pueden </w:t>
      </w:r>
      <w:r w:rsidRPr="00235BC3">
        <w:t>las soluciones de identificación digital permitir la incorporación a distancia de los clientes y también explorará las tecnologías emergentes en este campo.</w:t>
      </w:r>
    </w:p>
    <w:p w14:paraId="00586C87" w14:textId="59A3FFB8" w:rsidR="002F2B52" w:rsidRPr="00235BC3" w:rsidRDefault="000A2938" w:rsidP="002F2B52">
      <w:r w:rsidRPr="00235BC3">
        <w:t>6</w:t>
      </w:r>
      <w:r w:rsidR="002F2B52" w:rsidRPr="00235BC3">
        <w:tab/>
      </w:r>
      <w:proofErr w:type="gramStart"/>
      <w:r w:rsidR="002F2B52" w:rsidRPr="00235BC3">
        <w:t>La</w:t>
      </w:r>
      <w:proofErr w:type="gramEnd"/>
      <w:r w:rsidR="002F2B52" w:rsidRPr="00235BC3">
        <w:t xml:space="preserve"> participación en </w:t>
      </w:r>
      <w:r w:rsidRPr="00235BC3">
        <w:t>estos webinarios</w:t>
      </w:r>
      <w:r w:rsidR="002F2B52" w:rsidRPr="00235BC3">
        <w:t xml:space="preserve"> está abierta a los Estados Miembros, Miembros de Sector, Asociados e Instituciones Académicas de la UIT, y a cualquier persona de un país que sea miembro de la UIT y desee contribuir a los trabajos</w:t>
      </w:r>
      <w:r w:rsidRPr="00235BC3">
        <w:t>. Esto incluye a</w:t>
      </w:r>
      <w:r w:rsidR="002F2B52" w:rsidRPr="00235BC3">
        <w:t xml:space="preserve"> las personas que también sean miembros de organizaciones nacionales, regionales e internacionales. </w:t>
      </w:r>
    </w:p>
    <w:p w14:paraId="4DBAB2DB" w14:textId="7D1E3D04" w:rsidR="002F2B52" w:rsidRPr="00235BC3" w:rsidRDefault="000A2938" w:rsidP="000A2938">
      <w:pPr>
        <w:keepNext/>
        <w:keepLines/>
      </w:pPr>
      <w:r w:rsidRPr="00235BC3">
        <w:rPr>
          <w:szCs w:val="24"/>
        </w:rPr>
        <w:t>7</w:t>
      </w:r>
      <w:r w:rsidR="002F2B52" w:rsidRPr="00235BC3">
        <w:rPr>
          <w:szCs w:val="24"/>
        </w:rPr>
        <w:tab/>
      </w:r>
      <w:r w:rsidRPr="00235BC3">
        <w:t xml:space="preserve">Toda la información pertinente relativa a los webinarios, (oradores, enlaces de inscripción, detalles de la conexión a distancia) estará disponible en la </w:t>
      </w:r>
      <w:hyperlink r:id="rId10" w:history="1">
        <w:r w:rsidRPr="00235BC3">
          <w:rPr>
            <w:rStyle w:val="Hyperlink"/>
          </w:rPr>
          <w:t>página principal de acceso</w:t>
        </w:r>
      </w:hyperlink>
      <w:r w:rsidRPr="00235BC3">
        <w:t xml:space="preserve"> y en los respectivos sitios web de los eventos que figuran más abajo. </w:t>
      </w:r>
      <w:hyperlink r:id="rId11" w:history="1"/>
      <w:r w:rsidR="002F2B52" w:rsidRPr="00235BC3">
        <w:t>Estos sitios web se pondrán periódicamente al día a medida que se disponga de información nueva o modificada. Se ruega a los participantes que comprueben regularmente las actualizaciones.</w:t>
      </w:r>
    </w:p>
    <w:p w14:paraId="3728309A" w14:textId="77777777" w:rsidR="000A2938" w:rsidRPr="00235BC3" w:rsidRDefault="001237FD" w:rsidP="000A2938">
      <w:pPr>
        <w:jc w:val="both"/>
      </w:pPr>
      <w:hyperlink r:id="rId12" w:history="1">
        <w:bookmarkStart w:id="14" w:name="lt_pId094"/>
        <w:r w:rsidR="000A2938" w:rsidRPr="00235BC3">
          <w:rPr>
            <w:rStyle w:val="Hyperlink"/>
          </w:rPr>
          <w:t>https:</w:t>
        </w:r>
        <w:bookmarkStart w:id="15" w:name="lt_pId095"/>
        <w:bookmarkEnd w:id="14"/>
        <w:r w:rsidR="000A2938" w:rsidRPr="00235BC3">
          <w:rPr>
            <w:rStyle w:val="Hyperlink"/>
          </w:rPr>
          <w:t>//www.itu.int/en/ITU-T/webinars/20200514/Pages/default.aspx</w:t>
        </w:r>
        <w:bookmarkEnd w:id="15"/>
      </w:hyperlink>
    </w:p>
    <w:p w14:paraId="1BDD55B2" w14:textId="77777777" w:rsidR="000A2938" w:rsidRPr="00235BC3" w:rsidRDefault="001237FD" w:rsidP="000A2938">
      <w:pPr>
        <w:jc w:val="both"/>
        <w:rPr>
          <w:rStyle w:val="Hyperlink"/>
        </w:rPr>
      </w:pPr>
      <w:hyperlink r:id="rId13" w:history="1">
        <w:bookmarkStart w:id="16" w:name="lt_pId096"/>
        <w:r w:rsidR="000A2938" w:rsidRPr="00235BC3">
          <w:rPr>
            <w:rStyle w:val="Hyperlink"/>
          </w:rPr>
          <w:t>https:</w:t>
        </w:r>
        <w:bookmarkStart w:id="17" w:name="lt_pId097"/>
        <w:bookmarkEnd w:id="16"/>
        <w:r w:rsidR="000A2938" w:rsidRPr="00235BC3">
          <w:rPr>
            <w:rStyle w:val="Hyperlink"/>
          </w:rPr>
          <w:t>//www.itu.int/en/ITU-T/webinars/20200520/Pages/default.aspx</w:t>
        </w:r>
        <w:bookmarkEnd w:id="17"/>
      </w:hyperlink>
    </w:p>
    <w:p w14:paraId="08F7F7ED" w14:textId="303DDCF0" w:rsidR="007B6316" w:rsidRPr="002E488C" w:rsidRDefault="001237FD" w:rsidP="002E488C">
      <w:pPr>
        <w:jc w:val="both"/>
        <w:rPr>
          <w:color w:val="0000FF"/>
          <w:u w:val="single"/>
        </w:rPr>
      </w:pPr>
      <w:hyperlink r:id="rId14" w:history="1">
        <w:bookmarkStart w:id="18" w:name="lt_pId098"/>
        <w:r w:rsidR="000A2938" w:rsidRPr="00235BC3">
          <w:rPr>
            <w:rStyle w:val="Hyperlink"/>
          </w:rPr>
          <w:t>https:</w:t>
        </w:r>
        <w:bookmarkStart w:id="19" w:name="lt_pId099"/>
        <w:bookmarkEnd w:id="18"/>
        <w:r w:rsidR="000A2938" w:rsidRPr="00235BC3">
          <w:rPr>
            <w:rStyle w:val="Hyperlink"/>
          </w:rPr>
          <w:t>//www.itu.int/en/ITU-T/webinars/20200521/Pages/default.aspx</w:t>
        </w:r>
        <w:bookmarkEnd w:id="19"/>
      </w:hyperlink>
    </w:p>
    <w:p w14:paraId="2BEEE96F" w14:textId="34C63482" w:rsidR="007B6316" w:rsidRPr="00235BC3" w:rsidRDefault="007B6316" w:rsidP="007B6316">
      <w:r w:rsidRPr="00235BC3">
        <w:t>Atentamente,</w:t>
      </w:r>
    </w:p>
    <w:p w14:paraId="0AA612A2" w14:textId="32D92729" w:rsidR="00401C20" w:rsidRPr="00235BC3" w:rsidRDefault="001237FD" w:rsidP="002E488C">
      <w:pPr>
        <w:tabs>
          <w:tab w:val="clear" w:pos="1588"/>
          <w:tab w:val="clear" w:pos="1985"/>
          <w:tab w:val="center" w:pos="4819"/>
        </w:tabs>
        <w:spacing w:before="960"/>
      </w:pPr>
      <w:r>
        <w:rPr>
          <w:noProof/>
        </w:rPr>
        <w:drawing>
          <wp:anchor distT="0" distB="0" distL="114300" distR="114300" simplePos="0" relativeHeight="251658240" behindDoc="1" locked="0" layoutInCell="1" allowOverlap="1" wp14:anchorId="4353AC2C" wp14:editId="02C7C59E">
            <wp:simplePos x="0" y="0"/>
            <wp:positionH relativeFrom="column">
              <wp:posOffset>3810</wp:posOffset>
            </wp:positionH>
            <wp:positionV relativeFrom="paragraph">
              <wp:posOffset>93345</wp:posOffset>
            </wp:positionV>
            <wp:extent cx="885825" cy="398959"/>
            <wp:effectExtent l="0" t="0" r="0" b="1270"/>
            <wp:wrapNone/>
            <wp:docPr id="3" name="Picture 3"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gnature ESP.PNG"/>
                    <pic:cNvPicPr/>
                  </pic:nvPicPr>
                  <pic:blipFill>
                    <a:blip r:embed="rId15">
                      <a:extLst>
                        <a:ext uri="{28A0092B-C50C-407E-A947-70E740481C1C}">
                          <a14:useLocalDpi xmlns:a14="http://schemas.microsoft.com/office/drawing/2010/main" val="0"/>
                        </a:ext>
                      </a:extLst>
                    </a:blip>
                    <a:stretch>
                      <a:fillRect/>
                    </a:stretch>
                  </pic:blipFill>
                  <pic:spPr>
                    <a:xfrm>
                      <a:off x="0" y="0"/>
                      <a:ext cx="885825" cy="398959"/>
                    </a:xfrm>
                    <a:prstGeom prst="rect">
                      <a:avLst/>
                    </a:prstGeom>
                  </pic:spPr>
                </pic:pic>
              </a:graphicData>
            </a:graphic>
            <wp14:sizeRelH relativeFrom="margin">
              <wp14:pctWidth>0</wp14:pctWidth>
            </wp14:sizeRelH>
            <wp14:sizeRelV relativeFrom="margin">
              <wp14:pctHeight>0</wp14:pctHeight>
            </wp14:sizeRelV>
          </wp:anchor>
        </w:drawing>
      </w:r>
      <w:r w:rsidR="007B6316" w:rsidRPr="00235BC3">
        <w:t>Chaesub Lee</w:t>
      </w:r>
      <w:r w:rsidR="000A2938" w:rsidRPr="00235BC3">
        <w:tab/>
      </w:r>
      <w:r w:rsidR="007B6316" w:rsidRPr="00235BC3">
        <w:br/>
      </w:r>
      <w:proofErr w:type="gramStart"/>
      <w:r w:rsidR="007B6316" w:rsidRPr="00235BC3">
        <w:t>Director</w:t>
      </w:r>
      <w:proofErr w:type="gramEnd"/>
      <w:r w:rsidR="007B6316" w:rsidRPr="00235BC3">
        <w:t xml:space="preserve"> de la Oficina de </w:t>
      </w:r>
      <w:r w:rsidR="007B6316" w:rsidRPr="00235BC3">
        <w:br/>
        <w:t>Normalización de las Telecomunicaciones</w:t>
      </w:r>
    </w:p>
    <w:sectPr w:rsidR="00401C20" w:rsidRPr="00235BC3" w:rsidSect="00B87E9E">
      <w:headerReference w:type="default" r:id="rId16"/>
      <w:footerReference w:type="first" r:id="rId17"/>
      <w:pgSz w:w="11907" w:h="16840" w:code="9"/>
      <w:pgMar w:top="1134" w:right="1134" w:bottom="1134" w:left="1134" w:header="567" w:footer="567" w:gutter="0"/>
      <w:paperSrc w:first="261"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69176D" w14:textId="77777777" w:rsidR="00B256F8" w:rsidRDefault="00B256F8">
      <w:r>
        <w:separator/>
      </w:r>
    </w:p>
  </w:endnote>
  <w:endnote w:type="continuationSeparator" w:id="0">
    <w:p w14:paraId="09F0D63A" w14:textId="77777777" w:rsidR="00B256F8" w:rsidRDefault="00B25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91178" w14:textId="77777777" w:rsidR="0014464D" w:rsidRPr="0055719E" w:rsidRDefault="0014464D" w:rsidP="00FC416A">
    <w:pPr>
      <w:pStyle w:val="FirstFooter"/>
      <w:ind w:left="-397" w:right="-397"/>
      <w:jc w:val="center"/>
      <w:rPr>
        <w:szCs w:val="18"/>
        <w:lang w:val="es-ES"/>
      </w:rPr>
    </w:pPr>
    <w:r w:rsidRPr="0055719E">
      <w:rPr>
        <w:szCs w:val="18"/>
        <w:lang w:val="es-ES"/>
      </w:rPr>
      <w:t xml:space="preserve">Unión Internacional de Telecomunicaciones • Place des </w:t>
    </w:r>
    <w:proofErr w:type="spellStart"/>
    <w:r w:rsidRPr="0055719E">
      <w:rPr>
        <w:szCs w:val="18"/>
        <w:lang w:val="es-ES"/>
      </w:rPr>
      <w:t>Nations</w:t>
    </w:r>
    <w:proofErr w:type="spellEnd"/>
    <w:r w:rsidRPr="0055719E">
      <w:rPr>
        <w:szCs w:val="18"/>
        <w:lang w:val="es-ES"/>
      </w:rPr>
      <w:t>, CH</w:t>
    </w:r>
    <w:r w:rsidRPr="0055719E">
      <w:rPr>
        <w:szCs w:val="18"/>
        <w:lang w:val="es-ES"/>
      </w:rPr>
      <w:noBreakHyphen/>
      <w:t xml:space="preserve">1211 Ginebra 20, Suiza </w:t>
    </w:r>
    <w:r w:rsidRPr="0055719E">
      <w:rPr>
        <w:szCs w:val="18"/>
        <w:lang w:val="es-ES"/>
      </w:rPr>
      <w:br/>
      <w:t xml:space="preserve">Tel: +41 22 730 5111 • Fax: +41 22 733 7256 • Correo-e: </w:t>
    </w:r>
    <w:hyperlink r:id="rId1" w:history="1">
      <w:r w:rsidRPr="0055719E">
        <w:rPr>
          <w:rStyle w:val="Hyperlink"/>
          <w:lang w:val="es-ES"/>
        </w:rPr>
        <w:t>itumail@itu.int</w:t>
      </w:r>
    </w:hyperlink>
    <w:r w:rsidRPr="0055719E">
      <w:rPr>
        <w:szCs w:val="18"/>
        <w:lang w:val="es-ES"/>
      </w:rPr>
      <w:t xml:space="preserve"> • </w:t>
    </w:r>
    <w:hyperlink r:id="rId2" w:history="1">
      <w:r w:rsidRPr="0055719E">
        <w:rPr>
          <w:rStyle w:val="Hyperlink"/>
          <w:lang w:val="es-ES"/>
        </w:rPr>
        <w:t>www.itu.int</w:t>
      </w:r>
    </w:hyperlink>
    <w:r w:rsidRPr="0055719E">
      <w:rPr>
        <w:szCs w:val="18"/>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C6E94C" w14:textId="77777777" w:rsidR="00B256F8" w:rsidRDefault="00B256F8">
      <w:r>
        <w:t>____________________</w:t>
      </w:r>
    </w:p>
  </w:footnote>
  <w:footnote w:type="continuationSeparator" w:id="0">
    <w:p w14:paraId="760A2B87" w14:textId="77777777" w:rsidR="00B256F8" w:rsidRDefault="00B256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2E9607" w14:textId="30C76885" w:rsidR="006969B4" w:rsidRDefault="006969B4">
    <w:pPr>
      <w:pStyle w:val="Header"/>
      <w:rPr>
        <w:rStyle w:val="PageNumber"/>
        <w:sz w:val="18"/>
        <w:szCs w:val="18"/>
      </w:rPr>
    </w:pPr>
    <w:r w:rsidRPr="00303D62">
      <w:rPr>
        <w:sz w:val="18"/>
        <w:szCs w:val="18"/>
      </w:rPr>
      <w:t xml:space="preserve">- </w:t>
    </w:r>
    <w:r w:rsidR="00B87E9E" w:rsidRPr="00303D62">
      <w:rPr>
        <w:rStyle w:val="PageNumber"/>
        <w:sz w:val="18"/>
        <w:szCs w:val="18"/>
      </w:rPr>
      <w:fldChar w:fldCharType="begin"/>
    </w:r>
    <w:r w:rsidRPr="00303D62">
      <w:rPr>
        <w:rStyle w:val="PageNumber"/>
        <w:sz w:val="18"/>
        <w:szCs w:val="18"/>
      </w:rPr>
      <w:instrText xml:space="preserve"> PAGE </w:instrText>
    </w:r>
    <w:r w:rsidR="00B87E9E" w:rsidRPr="00303D62">
      <w:rPr>
        <w:rStyle w:val="PageNumber"/>
        <w:sz w:val="18"/>
        <w:szCs w:val="18"/>
      </w:rPr>
      <w:fldChar w:fldCharType="separate"/>
    </w:r>
    <w:r w:rsidR="00772C7C">
      <w:rPr>
        <w:rStyle w:val="PageNumber"/>
        <w:noProof/>
        <w:sz w:val="18"/>
        <w:szCs w:val="18"/>
      </w:rPr>
      <w:t>2</w:t>
    </w:r>
    <w:r w:rsidR="00B87E9E" w:rsidRPr="00303D62">
      <w:rPr>
        <w:rStyle w:val="PageNumber"/>
        <w:sz w:val="18"/>
        <w:szCs w:val="18"/>
      </w:rPr>
      <w:fldChar w:fldCharType="end"/>
    </w:r>
    <w:r w:rsidRPr="00303D62">
      <w:rPr>
        <w:rStyle w:val="PageNumber"/>
        <w:sz w:val="18"/>
        <w:szCs w:val="18"/>
      </w:rPr>
      <w:t xml:space="preserve"> -</w:t>
    </w:r>
  </w:p>
  <w:p w14:paraId="233E72E2" w14:textId="2DEF177E" w:rsidR="002F2B52" w:rsidRPr="002F2B52" w:rsidRDefault="002F2B52" w:rsidP="002F2B52">
    <w:pPr>
      <w:spacing w:before="0" w:after="120"/>
      <w:jc w:val="center"/>
      <w:rPr>
        <w:rFonts w:ascii="Calibri" w:hAnsi="Calibri"/>
        <w:sz w:val="18"/>
        <w:lang w:val="en-US"/>
      </w:rPr>
    </w:pPr>
    <w:r w:rsidRPr="004C58BA">
      <w:rPr>
        <w:rFonts w:ascii="Calibri" w:hAnsi="Calibri"/>
        <w:noProof/>
        <w:sz w:val="18"/>
        <w:lang w:val="en-GB"/>
      </w:rPr>
      <w:t xml:space="preserve">Circular TSB </w:t>
    </w:r>
    <w:r w:rsidR="000A2938">
      <w:rPr>
        <w:rFonts w:ascii="Calibri" w:hAnsi="Calibri"/>
        <w:noProof/>
        <w:sz w:val="18"/>
        <w:lang w:val="en-GB"/>
      </w:rPr>
      <w:t>247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 w15:restartNumberingAfterBreak="0">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s-ES_tradnl" w:vendorID="64" w:dllVersion="6" w:nlCheck="1" w:checkStyle="0"/>
  <w:activeWritingStyle w:appName="MSWord" w:lang="es-ES_tradnl" w:vendorID="64" w:dllVersion="0" w:nlCheck="1" w:checkStyle="0"/>
  <w:activeWritingStyle w:appName="MSWord" w:lang="en-GB" w:vendorID="64" w:dllVersion="0" w:nlCheck="1" w:checkStyle="0"/>
  <w:activeWritingStyle w:appName="MSWord" w:lang="fr-CH" w:vendorID="64" w:dllVersion="0" w:nlCheck="1" w:checkStyle="0"/>
  <w:activeWritingStyle w:appName="MSWord" w:lang="es-E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B52"/>
    <w:rsid w:val="00002529"/>
    <w:rsid w:val="00034019"/>
    <w:rsid w:val="00085662"/>
    <w:rsid w:val="000A2938"/>
    <w:rsid w:val="000A6637"/>
    <w:rsid w:val="000C382F"/>
    <w:rsid w:val="000D6B7C"/>
    <w:rsid w:val="001173CC"/>
    <w:rsid w:val="001237FD"/>
    <w:rsid w:val="0014464D"/>
    <w:rsid w:val="001A54CC"/>
    <w:rsid w:val="00216AE7"/>
    <w:rsid w:val="00235BC3"/>
    <w:rsid w:val="00257FB4"/>
    <w:rsid w:val="002D45CF"/>
    <w:rsid w:val="002E488C"/>
    <w:rsid w:val="002E496E"/>
    <w:rsid w:val="002F2B52"/>
    <w:rsid w:val="00303D62"/>
    <w:rsid w:val="00335367"/>
    <w:rsid w:val="00370C2D"/>
    <w:rsid w:val="00387C8C"/>
    <w:rsid w:val="003D1E8D"/>
    <w:rsid w:val="003D673B"/>
    <w:rsid w:val="003F2855"/>
    <w:rsid w:val="00401C20"/>
    <w:rsid w:val="004A7957"/>
    <w:rsid w:val="004C4144"/>
    <w:rsid w:val="0055719E"/>
    <w:rsid w:val="00692CCF"/>
    <w:rsid w:val="00693846"/>
    <w:rsid w:val="006969B4"/>
    <w:rsid w:val="006E4F7B"/>
    <w:rsid w:val="00772C7C"/>
    <w:rsid w:val="00781E2A"/>
    <w:rsid w:val="0078792C"/>
    <w:rsid w:val="007933A2"/>
    <w:rsid w:val="007B6316"/>
    <w:rsid w:val="00814503"/>
    <w:rsid w:val="008258C2"/>
    <w:rsid w:val="008505BD"/>
    <w:rsid w:val="00850C78"/>
    <w:rsid w:val="00876165"/>
    <w:rsid w:val="00884D12"/>
    <w:rsid w:val="008855AA"/>
    <w:rsid w:val="008C17AD"/>
    <w:rsid w:val="008D02CD"/>
    <w:rsid w:val="0091370C"/>
    <w:rsid w:val="009263FF"/>
    <w:rsid w:val="0095172A"/>
    <w:rsid w:val="009A0BA0"/>
    <w:rsid w:val="00A54E47"/>
    <w:rsid w:val="00AB6E3A"/>
    <w:rsid w:val="00AE7093"/>
    <w:rsid w:val="00B256F8"/>
    <w:rsid w:val="00B422BC"/>
    <w:rsid w:val="00B43F77"/>
    <w:rsid w:val="00B55A3E"/>
    <w:rsid w:val="00B87E9E"/>
    <w:rsid w:val="00B95F0A"/>
    <w:rsid w:val="00B96180"/>
    <w:rsid w:val="00B96709"/>
    <w:rsid w:val="00C116FE"/>
    <w:rsid w:val="00C17AC0"/>
    <w:rsid w:val="00C34772"/>
    <w:rsid w:val="00C5465A"/>
    <w:rsid w:val="00D059BE"/>
    <w:rsid w:val="00D273A9"/>
    <w:rsid w:val="00D54642"/>
    <w:rsid w:val="00DD77C9"/>
    <w:rsid w:val="00DF3538"/>
    <w:rsid w:val="00E839B0"/>
    <w:rsid w:val="00E92C09"/>
    <w:rsid w:val="00ED63B2"/>
    <w:rsid w:val="00F14380"/>
    <w:rsid w:val="00F27E1F"/>
    <w:rsid w:val="00F6461F"/>
    <w:rsid w:val="00FC1985"/>
    <w:rsid w:val="00FC416A"/>
    <w:rsid w:val="00FD2B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22D1811"/>
  <w15:docId w15:val="{1FC64B01-D51B-40A6-8EFB-29DF7E953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496E"/>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basedOn w:val="DefaultParagraphFont"/>
    <w:rPr>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sz w:val="22"/>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sz w:val="22"/>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sz w:val="22"/>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sz w:val="22"/>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sz w:val="22"/>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sz w:val="22"/>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sz w:val="22"/>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aliases w:val="超级链接"/>
    <w:basedOn w:val="DefaultParagraphFont"/>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character" w:customStyle="1" w:styleId="UnresolvedMention1">
    <w:name w:val="Unresolved Mention1"/>
    <w:basedOn w:val="DefaultParagraphFont"/>
    <w:uiPriority w:val="99"/>
    <w:semiHidden/>
    <w:unhideWhenUsed/>
    <w:rsid w:val="00387C8C"/>
    <w:rPr>
      <w:color w:val="605E5C"/>
      <w:shd w:val="clear" w:color="auto" w:fill="E1DFDD"/>
    </w:rPr>
  </w:style>
  <w:style w:type="paragraph" w:styleId="ListParagraph">
    <w:name w:val="List Paragraph"/>
    <w:basedOn w:val="Normal"/>
    <w:uiPriority w:val="34"/>
    <w:qFormat/>
    <w:rsid w:val="00387C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en/ITU-T/webinars/20200520/Pages/default.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en/ITU-T/webinars/20200514/Pages/default.asp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en/ITU-T/Workshops-and-Seminars/24042015/Pages/default.aspx"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www.itu.int/en/ITU-T/webinars/Pages/dfs.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tu.int/en/ITU-T/webinars/Pages/dfs.aspx" TargetMode="External"/><Relationship Id="rId14" Type="http://schemas.openxmlformats.org/officeDocument/2006/relationships/hyperlink" Target="https://www.itu.int/en/ITU-T/webinars/20200521/Pages/default.aspx"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nmat\AppData\Roaming\Microsoft\Templates\POOL%20S%20-%20ITU\PS_TSBCIR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BD165-BB35-4EC7-B47E-AA53BBD05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PS_TSBCIRC.dotx</Template>
  <TotalTime>13</TotalTime>
  <Pages>2</Pages>
  <Words>890</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6311</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creator>Spanish</dc:creator>
  <cp:lastModifiedBy>Braud, Olivia</cp:lastModifiedBy>
  <cp:revision>7</cp:revision>
  <cp:lastPrinted>2020-05-13T07:32:00Z</cp:lastPrinted>
  <dcterms:created xsi:type="dcterms:W3CDTF">2020-05-08T07:25:00Z</dcterms:created>
  <dcterms:modified xsi:type="dcterms:W3CDTF">2020-05-13T07:33:00Z</dcterms:modified>
</cp:coreProperties>
</file>