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61" w:type="dxa"/>
        <w:tblLayout w:type="fixed"/>
        <w:tblLook w:val="0000" w:firstRow="0" w:lastRow="0" w:firstColumn="0" w:lastColumn="0" w:noHBand="0" w:noVBand="0"/>
      </w:tblPr>
      <w:tblGrid>
        <w:gridCol w:w="90"/>
        <w:gridCol w:w="90"/>
        <w:gridCol w:w="1134"/>
        <w:gridCol w:w="142"/>
        <w:gridCol w:w="3402"/>
        <w:gridCol w:w="3119"/>
        <w:gridCol w:w="850"/>
        <w:gridCol w:w="1134"/>
      </w:tblGrid>
      <w:tr w:rsidR="00FA46A0" w14:paraId="17DDD473" w14:textId="77777777" w:rsidTr="00777BDB">
        <w:trPr>
          <w:gridBefore w:val="2"/>
          <w:wBefore w:w="180" w:type="dxa"/>
          <w:trHeight w:val="80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46B7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2E31DE" wp14:editId="1F3C096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B4AB58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C227D6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314981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08746BA" w14:textId="77777777" w:rsidTr="00777BDB">
        <w:trPr>
          <w:gridBefore w:val="2"/>
          <w:wBefore w:w="180" w:type="dxa"/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42BF98C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3"/>
            <w:vAlign w:val="center"/>
          </w:tcPr>
          <w:p w14:paraId="16114B6D" w14:textId="0D6A99B9" w:rsidR="00FA46A0" w:rsidRDefault="00B61012" w:rsidP="00734AAB">
            <w:pPr>
              <w:pStyle w:val="Tabletext"/>
              <w:spacing w:before="240" w:after="240"/>
              <w:ind w:left="-115"/>
            </w:pPr>
            <w:r>
              <w:t xml:space="preserve">Geneva, </w:t>
            </w:r>
            <w:r w:rsidR="00A00764">
              <w:t>4 May</w:t>
            </w:r>
            <w:r w:rsidR="004449A1">
              <w:t xml:space="preserve"> </w:t>
            </w:r>
            <w:r w:rsidR="00564751" w:rsidRPr="00564751">
              <w:t>20</w:t>
            </w:r>
            <w:r w:rsidR="003A457D">
              <w:t>20</w:t>
            </w:r>
          </w:p>
        </w:tc>
      </w:tr>
      <w:tr w:rsidR="00FA46A0" w14:paraId="3D01F803" w14:textId="77777777" w:rsidTr="00777BDB">
        <w:trPr>
          <w:cantSplit/>
          <w:trHeight w:val="746"/>
        </w:trPr>
        <w:tc>
          <w:tcPr>
            <w:tcW w:w="1314" w:type="dxa"/>
            <w:gridSpan w:val="3"/>
          </w:tcPr>
          <w:p w14:paraId="50B114E7" w14:textId="77777777" w:rsidR="00FA46A0" w:rsidRPr="00B74D2C" w:rsidRDefault="00B61012" w:rsidP="00777BDB">
            <w:pPr>
              <w:pStyle w:val="Tabletext"/>
              <w:ind w:left="-15"/>
              <w:rPr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347BB8C3" w14:textId="5DC163B9" w:rsidR="00FA46A0" w:rsidRPr="00B74D2C" w:rsidRDefault="00B61012" w:rsidP="00A13DFF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B74D2C">
              <w:rPr>
                <w:b/>
                <w:bCs/>
                <w:sz w:val="22"/>
                <w:szCs w:val="18"/>
              </w:rPr>
              <w:t>TSB Circular</w:t>
            </w:r>
            <w:r w:rsidR="006B75D2" w:rsidRPr="00B74D2C">
              <w:rPr>
                <w:b/>
                <w:bCs/>
                <w:sz w:val="22"/>
                <w:szCs w:val="18"/>
              </w:rPr>
              <w:t xml:space="preserve"> </w:t>
            </w:r>
            <w:r w:rsidR="00614B80" w:rsidRPr="00B74D2C">
              <w:rPr>
                <w:b/>
                <w:bCs/>
                <w:sz w:val="22"/>
                <w:szCs w:val="18"/>
              </w:rPr>
              <w:t>247</w:t>
            </w:r>
          </w:p>
        </w:tc>
        <w:tc>
          <w:tcPr>
            <w:tcW w:w="5103" w:type="dxa"/>
            <w:gridSpan w:val="3"/>
            <w:vMerge w:val="restart"/>
          </w:tcPr>
          <w:p w14:paraId="096BD853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956A692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5C40EE47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14:paraId="4201FF52" w14:textId="3832A80E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 w:rsidR="00A72C30">
              <w:rPr>
                <w:szCs w:val="24"/>
                <w:lang w:val="fr-CH"/>
              </w:rPr>
              <w:t>;</w:t>
            </w:r>
            <w:proofErr w:type="gramEnd"/>
            <w:r w:rsidR="00A672CE">
              <w:rPr>
                <w:szCs w:val="24"/>
                <w:lang w:val="fr-CH"/>
              </w:rPr>
              <w:t xml:space="preserve"> </w:t>
            </w:r>
          </w:p>
          <w:p w14:paraId="1BE71F93" w14:textId="77777777" w:rsidR="00FA46A0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0CB31CAD" w14:textId="77777777" w:rsidR="00777BDB" w:rsidRPr="00963900" w:rsidRDefault="00777BDB" w:rsidP="00777BDB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4E5FDD42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 xml:space="preserve">n and Vice-Chairmen of Study </w:t>
            </w:r>
            <w:proofErr w:type="gramStart"/>
            <w:r w:rsidRPr="00963900">
              <w:t>Groups;</w:t>
            </w:r>
            <w:proofErr w:type="gramEnd"/>
          </w:p>
          <w:p w14:paraId="4EB80099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Telecommunication Development </w:t>
            </w:r>
            <w:proofErr w:type="gramStart"/>
            <w:r w:rsidRPr="00963900">
              <w:t>Bureau;</w:t>
            </w:r>
            <w:proofErr w:type="gramEnd"/>
          </w:p>
          <w:p w14:paraId="61ACCB59" w14:textId="03FBBC56" w:rsidR="00777BDB" w:rsidRPr="00FF5729" w:rsidRDefault="00777BDB" w:rsidP="0077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DB073F" w14:paraId="5FC68B29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0F946D66" w14:textId="77777777" w:rsidR="00DB073F" w:rsidRPr="00B74D2C" w:rsidRDefault="00DB073F" w:rsidP="00777BDB">
            <w:pPr>
              <w:pStyle w:val="Tabletext"/>
              <w:ind w:left="-15"/>
              <w:rPr>
                <w:b/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Contact:</w:t>
            </w:r>
          </w:p>
        </w:tc>
        <w:tc>
          <w:tcPr>
            <w:tcW w:w="3544" w:type="dxa"/>
            <w:gridSpan w:val="2"/>
          </w:tcPr>
          <w:p w14:paraId="4C35A185" w14:textId="757495AE" w:rsidR="00DB073F" w:rsidRPr="00B74D2C" w:rsidRDefault="006B75D2" w:rsidP="00564751">
            <w:pPr>
              <w:pStyle w:val="Tabletext"/>
              <w:rPr>
                <w:sz w:val="22"/>
                <w:szCs w:val="18"/>
              </w:rPr>
            </w:pPr>
            <w:r w:rsidRPr="00B74D2C">
              <w:rPr>
                <w:sz w:val="22"/>
                <w:szCs w:val="18"/>
              </w:rPr>
              <w:t>Vijay Mauree</w:t>
            </w:r>
          </w:p>
        </w:tc>
        <w:tc>
          <w:tcPr>
            <w:tcW w:w="5103" w:type="dxa"/>
            <w:gridSpan w:val="3"/>
            <w:vMerge/>
          </w:tcPr>
          <w:p w14:paraId="40823F63" w14:textId="77777777" w:rsidR="00DB073F" w:rsidRDefault="00DB073F" w:rsidP="00FF5729">
            <w:pPr>
              <w:pStyle w:val="Tabletext"/>
              <w:ind w:left="142" w:hanging="391"/>
            </w:pPr>
          </w:p>
        </w:tc>
      </w:tr>
      <w:tr w:rsidR="00FA46A0" w14:paraId="232D3B3E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5ED587B3" w14:textId="77777777" w:rsidR="00FA46A0" w:rsidRPr="00B74D2C" w:rsidRDefault="00B61012" w:rsidP="00777BDB">
            <w:pPr>
              <w:pStyle w:val="Tabletext"/>
              <w:ind w:left="-15"/>
              <w:rPr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40C3B5C5" w14:textId="7D364723" w:rsidR="00FA46A0" w:rsidRPr="00B74D2C" w:rsidRDefault="00C95BF6" w:rsidP="00564751">
            <w:pPr>
              <w:pStyle w:val="Tabletext"/>
              <w:rPr>
                <w:b/>
                <w:sz w:val="22"/>
                <w:szCs w:val="18"/>
              </w:rPr>
            </w:pPr>
            <w:r w:rsidRPr="00B74D2C">
              <w:rPr>
                <w:sz w:val="22"/>
                <w:szCs w:val="18"/>
              </w:rPr>
              <w:t xml:space="preserve">+41 22 730 </w:t>
            </w:r>
            <w:r w:rsidR="006B75D2" w:rsidRPr="00B74D2C">
              <w:rPr>
                <w:sz w:val="22"/>
                <w:szCs w:val="18"/>
              </w:rPr>
              <w:t>5591</w:t>
            </w:r>
          </w:p>
        </w:tc>
        <w:tc>
          <w:tcPr>
            <w:tcW w:w="5103" w:type="dxa"/>
            <w:gridSpan w:val="3"/>
            <w:vMerge/>
          </w:tcPr>
          <w:p w14:paraId="2F2114F1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7C655899" w14:textId="77777777" w:rsidTr="00777BDB">
        <w:trPr>
          <w:cantSplit/>
          <w:trHeight w:val="2868"/>
        </w:trPr>
        <w:tc>
          <w:tcPr>
            <w:tcW w:w="1314" w:type="dxa"/>
            <w:gridSpan w:val="3"/>
          </w:tcPr>
          <w:p w14:paraId="5AEED92B" w14:textId="77777777" w:rsidR="00FA46A0" w:rsidRPr="00B74D2C" w:rsidRDefault="00B61012" w:rsidP="00777BDB">
            <w:pPr>
              <w:pStyle w:val="Tabletext"/>
              <w:ind w:left="-15"/>
              <w:rPr>
                <w:b/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Fax:</w:t>
            </w:r>
          </w:p>
          <w:p w14:paraId="19467D43" w14:textId="180E1A52" w:rsidR="00777BDB" w:rsidRPr="00B74D2C" w:rsidRDefault="00777BDB" w:rsidP="00777BDB">
            <w:pPr>
              <w:pStyle w:val="Tabletext"/>
              <w:ind w:left="-15"/>
              <w:rPr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2D2A2CA6" w14:textId="77777777" w:rsidR="00FA46A0" w:rsidRPr="00B74D2C" w:rsidRDefault="00B61012">
            <w:pPr>
              <w:pStyle w:val="Tabletext"/>
              <w:rPr>
                <w:sz w:val="22"/>
                <w:szCs w:val="18"/>
              </w:rPr>
            </w:pPr>
            <w:r w:rsidRPr="00B74D2C">
              <w:rPr>
                <w:sz w:val="22"/>
                <w:szCs w:val="18"/>
              </w:rPr>
              <w:t>+41 22 730 5853</w:t>
            </w:r>
          </w:p>
          <w:p w14:paraId="45FFA5CF" w14:textId="77777777" w:rsidR="00777BDB" w:rsidRPr="00B74D2C" w:rsidRDefault="00777BDB" w:rsidP="00777BDB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Pr="00B74D2C">
                <w:rPr>
                  <w:rStyle w:val="Hyperlink"/>
                  <w:sz w:val="22"/>
                  <w:szCs w:val="18"/>
                </w:rPr>
                <w:t>tsbevents@itu.int</w:t>
              </w:r>
            </w:hyperlink>
          </w:p>
          <w:p w14:paraId="40402E9C" w14:textId="12A05D5B" w:rsidR="00777BDB" w:rsidRPr="00B74D2C" w:rsidRDefault="00777BDB">
            <w:pPr>
              <w:pStyle w:val="Tabletext"/>
              <w:rPr>
                <w:b/>
                <w:sz w:val="22"/>
                <w:szCs w:val="18"/>
              </w:rPr>
            </w:pPr>
          </w:p>
        </w:tc>
        <w:tc>
          <w:tcPr>
            <w:tcW w:w="5103" w:type="dxa"/>
            <w:gridSpan w:val="3"/>
            <w:vMerge/>
          </w:tcPr>
          <w:p w14:paraId="7948E425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46092C" w:rsidRPr="002053CA" w14:paraId="30572836" w14:textId="77777777" w:rsidTr="00777BDB">
        <w:trPr>
          <w:gridBefore w:val="1"/>
          <w:gridAfter w:val="1"/>
          <w:wBefore w:w="90" w:type="dxa"/>
          <w:wAfter w:w="1134" w:type="dxa"/>
          <w:cantSplit/>
          <w:trHeight w:val="870"/>
        </w:trPr>
        <w:tc>
          <w:tcPr>
            <w:tcW w:w="8737" w:type="dxa"/>
            <w:gridSpan w:val="6"/>
          </w:tcPr>
          <w:p w14:paraId="69F67E46" w14:textId="7E797F98" w:rsidR="0046092C" w:rsidRPr="00614B80" w:rsidRDefault="0046092C" w:rsidP="00777BDB">
            <w:pPr>
              <w:ind w:left="-105"/>
              <w:rPr>
                <w:rFonts w:cs="Calibri"/>
                <w:szCs w:val="24"/>
                <w:lang w:val="en-US"/>
              </w:rPr>
            </w:pPr>
            <w:r>
              <w:rPr>
                <w:b/>
              </w:rPr>
              <w:t>Subject:</w:t>
            </w:r>
            <w:r>
              <w:rPr>
                <w:b/>
              </w:rPr>
              <w:tab/>
            </w:r>
            <w:r w:rsidRPr="009C7EA3">
              <w:rPr>
                <w:b/>
                <w:bCs/>
              </w:rPr>
              <w:t xml:space="preserve">Insights on Digital Financial Services </w:t>
            </w:r>
            <w:r>
              <w:rPr>
                <w:b/>
                <w:bCs/>
              </w:rPr>
              <w:t>during</w:t>
            </w:r>
            <w:r w:rsidRPr="009C7EA3">
              <w:rPr>
                <w:b/>
                <w:bCs/>
              </w:rPr>
              <w:t xml:space="preserve"> COVID-19 </w:t>
            </w:r>
            <w:r>
              <w:rPr>
                <w:b/>
                <w:bCs/>
              </w:rPr>
              <w:t xml:space="preserve">Webinar Series </w:t>
            </w:r>
            <w:r>
              <w:rPr>
                <w:rFonts w:cs="Calibri"/>
                <w:b/>
                <w:bCs/>
                <w:szCs w:val="24"/>
                <w:lang w:val="en-US"/>
              </w:rPr>
              <w:br/>
            </w:r>
            <w:r>
              <w:rPr>
                <w:b/>
                <w:color w:val="FF0000"/>
              </w:rPr>
              <w:tab/>
            </w:r>
            <w:r w:rsidRPr="00FF1231">
              <w:rPr>
                <w:b/>
                <w:color w:val="FF0000"/>
              </w:rPr>
              <w:t>(Fully Virtual Meetings)</w:t>
            </w:r>
          </w:p>
        </w:tc>
      </w:tr>
    </w:tbl>
    <w:p w14:paraId="2E79DD16" w14:textId="0C09F92A" w:rsidR="00FA46A0" w:rsidRDefault="00B61012">
      <w:r>
        <w:t>Dear Sir/Madam,</w:t>
      </w:r>
    </w:p>
    <w:p w14:paraId="6D1E92DC" w14:textId="05804B65" w:rsidR="00911C5C" w:rsidRDefault="00DB073F" w:rsidP="00777BDB">
      <w:pPr>
        <w:jc w:val="both"/>
      </w:pPr>
      <w:bookmarkStart w:id="0" w:name="suitetext"/>
      <w:bookmarkStart w:id="1" w:name="text"/>
      <w:bookmarkEnd w:id="0"/>
      <w:bookmarkEnd w:id="1"/>
      <w:r w:rsidRPr="00DB073F">
        <w:rPr>
          <w:bCs/>
        </w:rPr>
        <w:t>1</w:t>
      </w:r>
      <w:r w:rsidRPr="00DB073F">
        <w:tab/>
      </w:r>
      <w:bookmarkStart w:id="2" w:name="_Hlk38880448"/>
      <w:r w:rsidRPr="00DB073F">
        <w:t xml:space="preserve">The International Telecommunication (ITU) </w:t>
      </w:r>
      <w:r w:rsidR="00FD50EA">
        <w:t xml:space="preserve">is </w:t>
      </w:r>
      <w:r w:rsidRPr="00DB073F">
        <w:t xml:space="preserve">organizing </w:t>
      </w:r>
      <w:r w:rsidR="00EE5435">
        <w:t>a</w:t>
      </w:r>
      <w:r w:rsidR="00614B80">
        <w:t xml:space="preserve"> series of webinars</w:t>
      </w:r>
      <w:r w:rsidR="00EE5435">
        <w:t xml:space="preserve"> on</w:t>
      </w:r>
      <w:r w:rsidR="00911C5C">
        <w:t xml:space="preserve"> </w:t>
      </w:r>
      <w:hyperlink r:id="rId13" w:history="1">
        <w:r w:rsidR="00911C5C" w:rsidRPr="00132E69">
          <w:rPr>
            <w:rStyle w:val="Hyperlink"/>
            <w:b/>
            <w:bCs/>
          </w:rPr>
          <w:t>Insights on Digital Financial Services during COVID-19</w:t>
        </w:r>
      </w:hyperlink>
      <w:r w:rsidR="00911C5C" w:rsidRPr="00FD50EA">
        <w:rPr>
          <w:b/>
          <w:bCs/>
        </w:rPr>
        <w:t xml:space="preserve"> </w:t>
      </w:r>
      <w:r w:rsidR="00911C5C">
        <w:t xml:space="preserve">with </w:t>
      </w:r>
      <w:r w:rsidR="00911C5C" w:rsidRPr="00777BDB">
        <w:t xml:space="preserve">the </w:t>
      </w:r>
      <w:r w:rsidR="00897A7A" w:rsidRPr="00777BDB">
        <w:rPr>
          <w:shd w:val="clear" w:color="auto" w:fill="FFFFFF"/>
        </w:rPr>
        <w:t xml:space="preserve">objectives of discussing the </w:t>
      </w:r>
      <w:r w:rsidR="00897A7A" w:rsidRPr="00777BDB">
        <w:rPr>
          <w:rStyle w:val="Strong"/>
          <w:b w:val="0"/>
          <w:bCs w:val="0"/>
        </w:rPr>
        <w:t>innovative applications of telecommunications services, digital payments and fintech</w:t>
      </w:r>
      <w:r w:rsidR="00132E69" w:rsidRPr="00777BDB">
        <w:rPr>
          <w:rStyle w:val="Strong"/>
          <w:b w:val="0"/>
          <w:bCs w:val="0"/>
        </w:rPr>
        <w:t>,</w:t>
      </w:r>
      <w:r w:rsidR="00897A7A" w:rsidRPr="00777BDB">
        <w:rPr>
          <w:rStyle w:val="Strong"/>
          <w:b w:val="0"/>
          <w:bCs w:val="0"/>
        </w:rPr>
        <w:t xml:space="preserve"> in addressing </w:t>
      </w:r>
      <w:r w:rsidR="00A00764" w:rsidRPr="00777BDB">
        <w:rPr>
          <w:rStyle w:val="Strong"/>
          <w:b w:val="0"/>
          <w:bCs w:val="0"/>
        </w:rPr>
        <w:t xml:space="preserve">the social distancing related challenges, triggered by </w:t>
      </w:r>
      <w:r w:rsidR="00897A7A" w:rsidRPr="00777BDB">
        <w:rPr>
          <w:shd w:val="clear" w:color="auto" w:fill="FFFFFF"/>
        </w:rPr>
        <w:t>COVID-19</w:t>
      </w:r>
      <w:r w:rsidR="00132E69" w:rsidRPr="00777BDB">
        <w:rPr>
          <w:shd w:val="clear" w:color="auto" w:fill="FFFFFF"/>
        </w:rPr>
        <w:t>.</w:t>
      </w:r>
      <w:r w:rsidR="00FD50EA" w:rsidRPr="00777BDB">
        <w:rPr>
          <w:shd w:val="clear" w:color="auto" w:fill="FFFFFF"/>
        </w:rPr>
        <w:t xml:space="preserve"> </w:t>
      </w:r>
      <w:r w:rsidR="00132E69" w:rsidRPr="00777BDB">
        <w:rPr>
          <w:shd w:val="clear" w:color="auto" w:fill="FFFFFF"/>
        </w:rPr>
        <w:t>The webinar will</w:t>
      </w:r>
      <w:r w:rsidR="00897A7A" w:rsidRPr="00777BDB">
        <w:rPr>
          <w:shd w:val="clear" w:color="auto" w:fill="FFFFFF"/>
        </w:rPr>
        <w:t xml:space="preserve"> share lessons learned from countries and DFS stakeholders on the </w:t>
      </w:r>
      <w:r w:rsidR="00132E69" w:rsidRPr="00777BDB">
        <w:rPr>
          <w:shd w:val="clear" w:color="auto" w:fill="FFFFFF"/>
        </w:rPr>
        <w:t xml:space="preserve">diverse </w:t>
      </w:r>
      <w:r w:rsidR="00897A7A" w:rsidRPr="00777BDB">
        <w:rPr>
          <w:shd w:val="clear" w:color="auto" w:fill="FFFFFF"/>
        </w:rPr>
        <w:t xml:space="preserve">measures </w:t>
      </w:r>
      <w:r w:rsidR="00375A8A" w:rsidRPr="00777BDB">
        <w:rPr>
          <w:shd w:val="clear" w:color="auto" w:fill="FFFFFF"/>
        </w:rPr>
        <w:t>being implemented</w:t>
      </w:r>
      <w:r w:rsidR="00911C5C" w:rsidRPr="00777BDB">
        <w:t>. The first t</w:t>
      </w:r>
      <w:r w:rsidR="00B33656" w:rsidRPr="00777BDB">
        <w:t>hree</w:t>
      </w:r>
      <w:r w:rsidR="00911C5C" w:rsidRPr="00777BDB">
        <w:t xml:space="preserve"> </w:t>
      </w:r>
      <w:r w:rsidR="00E43161" w:rsidRPr="00777BDB">
        <w:t>episodes of the Webinar series</w:t>
      </w:r>
      <w:r w:rsidR="00911C5C" w:rsidRPr="00777BDB">
        <w:t xml:space="preserve"> will be on the topics below:</w:t>
      </w:r>
    </w:p>
    <w:p w14:paraId="770E6234" w14:textId="5BE7DE13" w:rsidR="00911C5C" w:rsidRDefault="00777BDB" w:rsidP="00777BDB">
      <w:pPr>
        <w:ind w:left="720" w:right="895" w:hanging="436"/>
        <w:jc w:val="both"/>
        <w:rPr>
          <w:szCs w:val="24"/>
          <w:lang w:val="en-US"/>
        </w:rPr>
      </w:pPr>
      <w:r>
        <w:t>a)</w:t>
      </w:r>
      <w:r>
        <w:tab/>
      </w:r>
      <w:r w:rsidR="00911C5C" w:rsidRPr="00E3198A">
        <w:rPr>
          <w:b/>
          <w:bCs/>
          <w:szCs w:val="24"/>
          <w:lang w:val="en-US"/>
        </w:rPr>
        <w:t>Using digital financial services to curb the threa</w:t>
      </w:r>
      <w:r w:rsidR="002030AC">
        <w:rPr>
          <w:b/>
          <w:bCs/>
          <w:szCs w:val="24"/>
          <w:lang w:val="en-US"/>
        </w:rPr>
        <w:t>t</w:t>
      </w:r>
      <w:r w:rsidR="00911C5C" w:rsidRPr="00E3198A">
        <w:rPr>
          <w:b/>
          <w:bCs/>
          <w:szCs w:val="24"/>
          <w:lang w:val="en-US"/>
        </w:rPr>
        <w:t xml:space="preserve"> of the pandemic</w:t>
      </w:r>
      <w:r w:rsidR="00911C5C">
        <w:rPr>
          <w:szCs w:val="24"/>
          <w:lang w:val="en-US"/>
        </w:rPr>
        <w:t xml:space="preserve"> on 14 May 2020 at 3:00 – 4:45 pm CEST</w:t>
      </w:r>
    </w:p>
    <w:p w14:paraId="6C437ED1" w14:textId="4286514B" w:rsidR="00911C5C" w:rsidRDefault="00911C5C" w:rsidP="00777BDB">
      <w:pPr>
        <w:ind w:left="720" w:right="895" w:hanging="436"/>
        <w:jc w:val="both"/>
        <w:rPr>
          <w:rFonts w:cs="Calibri"/>
          <w:szCs w:val="24"/>
          <w:lang w:val="en-US"/>
        </w:rPr>
      </w:pPr>
      <w:r>
        <w:rPr>
          <w:szCs w:val="24"/>
          <w:lang w:val="en-US"/>
        </w:rPr>
        <w:t>b)</w:t>
      </w:r>
      <w:r w:rsidR="00777BDB">
        <w:rPr>
          <w:szCs w:val="24"/>
          <w:lang w:val="en-US"/>
        </w:rPr>
        <w:tab/>
      </w:r>
      <w:r w:rsidRPr="00E3198A">
        <w:rPr>
          <w:b/>
          <w:bCs/>
          <w:szCs w:val="24"/>
          <w:lang w:val="en-US"/>
        </w:rPr>
        <w:t>Benefits</w:t>
      </w:r>
      <w:r w:rsidRPr="00E3198A">
        <w:rPr>
          <w:rFonts w:cs="Calibri"/>
          <w:b/>
          <w:bCs/>
          <w:szCs w:val="24"/>
          <w:lang w:val="en-US"/>
        </w:rPr>
        <w:t xml:space="preserve"> of Digital ID to enable governments and private sector response to the </w:t>
      </w:r>
      <w:r w:rsidRPr="00E3198A">
        <w:rPr>
          <w:b/>
          <w:bCs/>
          <w:szCs w:val="24"/>
          <w:lang w:val="en-US"/>
        </w:rPr>
        <w:t>pandemic</w:t>
      </w:r>
      <w:r w:rsidR="00B33656">
        <w:rPr>
          <w:b/>
          <w:bCs/>
          <w:szCs w:val="24"/>
          <w:lang w:val="en-US"/>
        </w:rPr>
        <w:t xml:space="preserve"> – Part 1</w:t>
      </w:r>
      <w:r>
        <w:rPr>
          <w:rFonts w:cs="Calibri"/>
          <w:szCs w:val="24"/>
          <w:lang w:val="en-US"/>
        </w:rPr>
        <w:t xml:space="preserve"> on 20 May 2020 at </w:t>
      </w:r>
      <w:r w:rsidR="00B33656">
        <w:rPr>
          <w:rFonts w:cs="Calibri"/>
          <w:szCs w:val="24"/>
          <w:lang w:val="en-US"/>
        </w:rPr>
        <w:t>3</w:t>
      </w:r>
      <w:r>
        <w:rPr>
          <w:rFonts w:cs="Calibri"/>
          <w:szCs w:val="24"/>
          <w:lang w:val="en-US"/>
        </w:rPr>
        <w:t xml:space="preserve">:00 – </w:t>
      </w:r>
      <w:r w:rsidR="00B33656">
        <w:rPr>
          <w:rFonts w:cs="Calibri"/>
          <w:szCs w:val="24"/>
          <w:lang w:val="en-US"/>
        </w:rPr>
        <w:t>4:45</w:t>
      </w:r>
      <w:r>
        <w:rPr>
          <w:rFonts w:cs="Calibri"/>
          <w:szCs w:val="24"/>
          <w:lang w:val="en-US"/>
        </w:rPr>
        <w:t xml:space="preserve"> pm CEST</w:t>
      </w:r>
    </w:p>
    <w:p w14:paraId="6CAD1A54" w14:textId="5A3814C4" w:rsidR="004B4C11" w:rsidRPr="00777BDB" w:rsidRDefault="00B33656" w:rsidP="00777BDB">
      <w:pPr>
        <w:spacing w:after="120"/>
        <w:ind w:left="720" w:right="893" w:hanging="432"/>
        <w:jc w:val="both"/>
        <w:rPr>
          <w:rFonts w:cs="Calibri"/>
          <w:szCs w:val="24"/>
          <w:lang w:val="en-US"/>
        </w:rPr>
      </w:pPr>
      <w:r>
        <w:rPr>
          <w:szCs w:val="24"/>
          <w:lang w:val="en-US"/>
        </w:rPr>
        <w:t>c)</w:t>
      </w:r>
      <w:r w:rsidR="00777BDB">
        <w:rPr>
          <w:szCs w:val="24"/>
          <w:lang w:val="en-US"/>
        </w:rPr>
        <w:tab/>
      </w:r>
      <w:r w:rsidRPr="00E3198A">
        <w:rPr>
          <w:b/>
          <w:bCs/>
          <w:szCs w:val="24"/>
          <w:lang w:val="en-US"/>
        </w:rPr>
        <w:t>Benefits</w:t>
      </w:r>
      <w:r w:rsidRPr="00E3198A">
        <w:rPr>
          <w:rFonts w:cs="Calibri"/>
          <w:b/>
          <w:bCs/>
          <w:szCs w:val="24"/>
          <w:lang w:val="en-US"/>
        </w:rPr>
        <w:t xml:space="preserve"> of Digital ID to enable governments and private sector response to the </w:t>
      </w:r>
      <w:r w:rsidRPr="00777BDB">
        <w:rPr>
          <w:b/>
          <w:bCs/>
          <w:szCs w:val="24"/>
          <w:lang w:val="en-US"/>
        </w:rPr>
        <w:t>pandemic – Part 2</w:t>
      </w:r>
      <w:r w:rsidRPr="00777BDB">
        <w:rPr>
          <w:rFonts w:cs="Calibri"/>
          <w:szCs w:val="24"/>
          <w:lang w:val="en-US"/>
        </w:rPr>
        <w:t xml:space="preserve"> on 21 May 2020 at 4:00 – 5:45 pm CEST</w:t>
      </w:r>
    </w:p>
    <w:p w14:paraId="764E2624" w14:textId="25004F0B" w:rsidR="00777BDB" w:rsidRDefault="004B4C11" w:rsidP="00777BDB">
      <w:pPr>
        <w:pStyle w:val="NormalWeb"/>
        <w:spacing w:before="0" w:beforeAutospacing="0" w:after="240" w:afterAutospacing="0"/>
        <w:jc w:val="both"/>
        <w:rPr>
          <w:rFonts w:ascii="Calibri" w:hAnsi="Calibri"/>
          <w:szCs w:val="20"/>
          <w:lang w:eastAsia="en-US"/>
        </w:rPr>
      </w:pPr>
      <w:r w:rsidRPr="00777BDB">
        <w:rPr>
          <w:rFonts w:asciiTheme="minorHAnsi" w:hAnsiTheme="minorHAnsi" w:cstheme="minorHAnsi"/>
        </w:rPr>
        <w:t>2</w:t>
      </w:r>
      <w:r w:rsidRPr="00777BDB">
        <w:rPr>
          <w:rFonts w:asciiTheme="minorHAnsi" w:hAnsiTheme="minorHAnsi" w:cstheme="minorHAnsi"/>
        </w:rPr>
        <w:tab/>
      </w:r>
      <w:r w:rsidR="00897A7A" w:rsidRPr="00777BDB">
        <w:rPr>
          <w:rFonts w:ascii="Calibri" w:hAnsi="Calibri"/>
          <w:szCs w:val="20"/>
          <w:lang w:eastAsia="en-US"/>
        </w:rPr>
        <w:t xml:space="preserve">With more than half of the world’s population under lockdown from COVID-19, most of the world’s poor do not have any income. Many do not have a safe place in which to quarantine, most have minimal savings </w:t>
      </w:r>
      <w:r w:rsidR="00375A8A" w:rsidRPr="00777BDB">
        <w:rPr>
          <w:rFonts w:ascii="Calibri" w:hAnsi="Calibri"/>
          <w:szCs w:val="20"/>
          <w:lang w:eastAsia="en-US"/>
        </w:rPr>
        <w:t>to stock</w:t>
      </w:r>
      <w:r w:rsidR="00897A7A" w:rsidRPr="00777BDB">
        <w:rPr>
          <w:rFonts w:ascii="Calibri" w:hAnsi="Calibri"/>
          <w:szCs w:val="20"/>
          <w:lang w:eastAsia="en-US"/>
        </w:rPr>
        <w:t xml:space="preserve"> up on food and supplies, and some do not even have access to basic services such as the water needed to wash their hands. Moreover, cash access points </w:t>
      </w:r>
      <w:r w:rsidR="00375A8A" w:rsidRPr="00777BDB">
        <w:rPr>
          <w:rFonts w:ascii="Calibri" w:hAnsi="Calibri"/>
          <w:szCs w:val="20"/>
          <w:lang w:eastAsia="en-US"/>
        </w:rPr>
        <w:t xml:space="preserve">have </w:t>
      </w:r>
      <w:r w:rsidR="00897A7A" w:rsidRPr="00777BDB">
        <w:rPr>
          <w:rFonts w:ascii="Calibri" w:hAnsi="Calibri"/>
          <w:szCs w:val="20"/>
          <w:lang w:eastAsia="en-US"/>
        </w:rPr>
        <w:t xml:space="preserve">also </w:t>
      </w:r>
      <w:r w:rsidR="00375A8A" w:rsidRPr="00777BDB">
        <w:rPr>
          <w:rFonts w:ascii="Calibri" w:hAnsi="Calibri"/>
          <w:szCs w:val="20"/>
          <w:lang w:eastAsia="en-US"/>
        </w:rPr>
        <w:t xml:space="preserve">been </w:t>
      </w:r>
      <w:r w:rsidR="00897A7A" w:rsidRPr="00777BDB">
        <w:rPr>
          <w:rFonts w:ascii="Calibri" w:hAnsi="Calibri"/>
          <w:szCs w:val="20"/>
          <w:lang w:eastAsia="en-US"/>
        </w:rPr>
        <w:t xml:space="preserve">limited due to business closure or lack of adequate liquidity. How will </w:t>
      </w:r>
      <w:r w:rsidR="00375A8A" w:rsidRPr="00777BDB">
        <w:rPr>
          <w:rFonts w:ascii="Calibri" w:hAnsi="Calibri"/>
          <w:szCs w:val="20"/>
          <w:lang w:eastAsia="en-US"/>
        </w:rPr>
        <w:t xml:space="preserve">the </w:t>
      </w:r>
      <w:r w:rsidR="00897A7A" w:rsidRPr="00777BDB">
        <w:rPr>
          <w:rFonts w:ascii="Calibri" w:hAnsi="Calibri"/>
          <w:szCs w:val="20"/>
          <w:lang w:eastAsia="en-US"/>
        </w:rPr>
        <w:t>poor and unbanked be able to access financial services during the pandemic?</w:t>
      </w:r>
    </w:p>
    <w:p w14:paraId="003FA742" w14:textId="4AD9E9F8" w:rsidR="00897A7A" w:rsidRPr="00777BDB" w:rsidRDefault="00777BDB" w:rsidP="00777B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</w:pPr>
      <w:r>
        <w:br w:type="page"/>
      </w:r>
    </w:p>
    <w:p w14:paraId="062D0E09" w14:textId="59AD72F4" w:rsidR="004B4C11" w:rsidRPr="00777BDB" w:rsidRDefault="00897A7A" w:rsidP="00777BDB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shd w:val="clear" w:color="auto" w:fill="FFFFFF"/>
        </w:rPr>
      </w:pPr>
      <w:r w:rsidRPr="00777BDB">
        <w:rPr>
          <w:rStyle w:val="Strong"/>
          <w:rFonts w:asciiTheme="minorHAnsi" w:hAnsiTheme="minorHAnsi" w:cstheme="minorHAnsi"/>
          <w:b w:val="0"/>
          <w:bCs w:val="0"/>
        </w:rPr>
        <w:lastRenderedPageBreak/>
        <w:t>3</w:t>
      </w:r>
      <w:r w:rsidRPr="00777BDB">
        <w:rPr>
          <w:rStyle w:val="Strong"/>
          <w:b w:val="0"/>
          <w:bCs w:val="0"/>
        </w:rPr>
        <w:tab/>
      </w:r>
      <w:r w:rsidRPr="00777BDB">
        <w:rPr>
          <w:rStyle w:val="Strong"/>
          <w:rFonts w:ascii="Calibri" w:hAnsi="Calibri" w:cs="Calibri"/>
        </w:rPr>
        <w:t>Telecommunications availability, digital payments and fintech are key to getting money quickly and efficiently to those who need it during the times of the pandemic</w:t>
      </w:r>
      <w:r w:rsidRPr="00777BDB">
        <w:rPr>
          <w:rStyle w:val="Strong"/>
          <w:rFonts w:ascii="Calibri" w:hAnsi="Calibri" w:cs="Calibri"/>
          <w:b w:val="0"/>
          <w:bCs w:val="0"/>
        </w:rPr>
        <w:t>.</w:t>
      </w:r>
      <w:r w:rsidRPr="00777BDB">
        <w:rPr>
          <w:rFonts w:ascii="Calibri" w:hAnsi="Calibri" w:cs="Calibri"/>
          <w:shd w:val="clear" w:color="auto" w:fill="FFFFFF"/>
        </w:rPr>
        <w:t xml:space="preserve"> Many governments will rely on safety net payments as the first financial line of defence</w:t>
      </w:r>
      <w:r w:rsidR="00C7274E" w:rsidRPr="00777BDB">
        <w:rPr>
          <w:rFonts w:ascii="Calibri" w:hAnsi="Calibri" w:cs="Calibri"/>
          <w:shd w:val="clear" w:color="auto" w:fill="FFFFFF"/>
        </w:rPr>
        <w:t>;</w:t>
      </w:r>
      <w:r w:rsidRPr="00777BDB">
        <w:rPr>
          <w:rFonts w:ascii="Calibri" w:hAnsi="Calibri" w:cs="Calibri"/>
          <w:shd w:val="clear" w:color="auto" w:fill="FFFFFF"/>
        </w:rPr>
        <w:t xml:space="preserve"> and digital mechanisms will play a critical role in enabling these payments to help mitigat</w:t>
      </w:r>
      <w:r w:rsidR="00C7274E" w:rsidRPr="00777BDB">
        <w:rPr>
          <w:rFonts w:ascii="Calibri" w:hAnsi="Calibri" w:cs="Calibri"/>
          <w:shd w:val="clear" w:color="auto" w:fill="FFFFFF"/>
        </w:rPr>
        <w:t>e</w:t>
      </w:r>
      <w:r w:rsidRPr="00777BDB">
        <w:rPr>
          <w:rFonts w:ascii="Calibri" w:hAnsi="Calibri" w:cs="Calibri"/>
          <w:shd w:val="clear" w:color="auto" w:fill="FFFFFF"/>
        </w:rPr>
        <w:t xml:space="preserve"> the crisis for the poor. Digital channels also </w:t>
      </w:r>
      <w:r w:rsidR="00C7274E" w:rsidRPr="00777BDB">
        <w:rPr>
          <w:rFonts w:ascii="Calibri" w:hAnsi="Calibri" w:cs="Calibri"/>
          <w:shd w:val="clear" w:color="auto" w:fill="FFFFFF"/>
        </w:rPr>
        <w:t>provide</w:t>
      </w:r>
      <w:r w:rsidR="00007640" w:rsidRPr="00777BDB">
        <w:rPr>
          <w:rFonts w:ascii="Calibri" w:hAnsi="Calibri" w:cs="Calibri"/>
          <w:shd w:val="clear" w:color="auto" w:fill="FFFFFF"/>
        </w:rPr>
        <w:t xml:space="preserve"> </w:t>
      </w:r>
      <w:r w:rsidR="00C7274E" w:rsidRPr="00777BDB">
        <w:rPr>
          <w:rFonts w:ascii="Calibri" w:hAnsi="Calibri" w:cs="Calibri"/>
          <w:shd w:val="clear" w:color="auto" w:fill="FFFFFF"/>
        </w:rPr>
        <w:t>quicker access</w:t>
      </w:r>
      <w:r w:rsidRPr="00777BDB">
        <w:rPr>
          <w:rFonts w:ascii="Calibri" w:hAnsi="Calibri" w:cs="Calibri"/>
          <w:shd w:val="clear" w:color="auto" w:fill="FFFFFF"/>
        </w:rPr>
        <w:t xml:space="preserve"> </w:t>
      </w:r>
      <w:r w:rsidR="00C7274E" w:rsidRPr="00777BDB">
        <w:rPr>
          <w:rFonts w:ascii="Calibri" w:hAnsi="Calibri" w:cs="Calibri"/>
          <w:shd w:val="clear" w:color="auto" w:fill="FFFFFF"/>
        </w:rPr>
        <w:t xml:space="preserve">to </w:t>
      </w:r>
      <w:r w:rsidRPr="00777BDB">
        <w:rPr>
          <w:rFonts w:ascii="Calibri" w:hAnsi="Calibri" w:cs="Calibri"/>
          <w:shd w:val="clear" w:color="auto" w:fill="FFFFFF"/>
        </w:rPr>
        <w:t>funds</w:t>
      </w:r>
      <w:r w:rsidR="00C7274E" w:rsidRPr="00777BDB">
        <w:rPr>
          <w:rFonts w:ascii="Calibri" w:hAnsi="Calibri" w:cs="Calibri"/>
          <w:shd w:val="clear" w:color="auto" w:fill="FFFFFF"/>
        </w:rPr>
        <w:t>,</w:t>
      </w:r>
      <w:r w:rsidRPr="00777BDB">
        <w:rPr>
          <w:rFonts w:ascii="Calibri" w:hAnsi="Calibri" w:cs="Calibri"/>
          <w:shd w:val="clear" w:color="auto" w:fill="FFFFFF"/>
        </w:rPr>
        <w:t xml:space="preserve"> not </w:t>
      </w:r>
      <w:r w:rsidR="00C7274E" w:rsidRPr="00777BDB">
        <w:rPr>
          <w:rFonts w:ascii="Calibri" w:hAnsi="Calibri" w:cs="Calibri"/>
          <w:shd w:val="clear" w:color="auto" w:fill="FFFFFF"/>
        </w:rPr>
        <w:t xml:space="preserve">only </w:t>
      </w:r>
      <w:r w:rsidRPr="00777BDB">
        <w:rPr>
          <w:rFonts w:ascii="Calibri" w:hAnsi="Calibri" w:cs="Calibri"/>
          <w:shd w:val="clear" w:color="auto" w:fill="FFFFFF"/>
        </w:rPr>
        <w:t xml:space="preserve">to victims but also to those helping to mitigate a crisis. </w:t>
      </w:r>
    </w:p>
    <w:bookmarkEnd w:id="2"/>
    <w:p w14:paraId="0C8278F7" w14:textId="10EDE4AC" w:rsidR="00614B80" w:rsidRPr="00777BDB" w:rsidRDefault="004B4C11" w:rsidP="00777BDB">
      <w:pPr>
        <w:jc w:val="both"/>
        <w:rPr>
          <w:rFonts w:cs="Calibri"/>
          <w:szCs w:val="24"/>
          <w:shd w:val="clear" w:color="auto" w:fill="FFFFFF"/>
        </w:rPr>
      </w:pPr>
      <w:r w:rsidRPr="00777BDB">
        <w:t>4</w:t>
      </w:r>
      <w:r w:rsidR="00734AAB" w:rsidRPr="00777BDB">
        <w:tab/>
      </w:r>
      <w:r w:rsidR="00923099" w:rsidRPr="00777BDB">
        <w:rPr>
          <w:rFonts w:cs="Calibri"/>
          <w:szCs w:val="24"/>
          <w:shd w:val="clear" w:color="auto" w:fill="FFFFFF"/>
        </w:rPr>
        <w:t xml:space="preserve">The first </w:t>
      </w:r>
      <w:r w:rsidR="00E43161" w:rsidRPr="00777BDB">
        <w:rPr>
          <w:rFonts w:cs="Calibri"/>
          <w:szCs w:val="24"/>
          <w:shd w:val="clear" w:color="auto" w:fill="FFFFFF"/>
        </w:rPr>
        <w:t>episode</w:t>
      </w:r>
      <w:r w:rsidR="00923099" w:rsidRPr="00777BDB">
        <w:rPr>
          <w:rFonts w:cs="Calibri"/>
          <w:szCs w:val="24"/>
          <w:shd w:val="clear" w:color="auto" w:fill="FFFFFF"/>
        </w:rPr>
        <w:t xml:space="preserve"> on </w:t>
      </w:r>
      <w:r w:rsidR="00923099" w:rsidRPr="00777BDB">
        <w:rPr>
          <w:rFonts w:eastAsia="Batang" w:cs="Calibri"/>
          <w:b/>
          <w:bCs/>
          <w:lang w:eastAsia="ko-KR"/>
        </w:rPr>
        <w:t>“</w:t>
      </w:r>
      <w:r w:rsidR="00923099" w:rsidRPr="00777BDB">
        <w:rPr>
          <w:b/>
          <w:bCs/>
          <w:szCs w:val="24"/>
          <w:lang w:val="en-US"/>
        </w:rPr>
        <w:t>Using digital financial services to curb the threa</w:t>
      </w:r>
      <w:r w:rsidR="002030AC" w:rsidRPr="00777BDB">
        <w:rPr>
          <w:b/>
          <w:bCs/>
          <w:szCs w:val="24"/>
          <w:lang w:val="en-US"/>
        </w:rPr>
        <w:t>t</w:t>
      </w:r>
      <w:r w:rsidR="00923099" w:rsidRPr="00777BDB">
        <w:rPr>
          <w:b/>
          <w:bCs/>
          <w:szCs w:val="24"/>
          <w:lang w:val="en-US"/>
        </w:rPr>
        <w:t xml:space="preserve"> of the pandemic</w:t>
      </w:r>
      <w:r w:rsidR="00923099" w:rsidRPr="00777BDB">
        <w:rPr>
          <w:rFonts w:eastAsia="Batang" w:cs="Calibri"/>
          <w:b/>
          <w:bCs/>
          <w:lang w:eastAsia="ko-KR"/>
        </w:rPr>
        <w:t xml:space="preserve">” </w:t>
      </w:r>
      <w:r w:rsidR="00923099" w:rsidRPr="00777BDB">
        <w:rPr>
          <w:rFonts w:eastAsia="Batang" w:cs="Calibri"/>
          <w:lang w:eastAsia="ko-KR"/>
        </w:rPr>
        <w:t xml:space="preserve">will explore the technical </w:t>
      </w:r>
      <w:r w:rsidR="00923099" w:rsidRPr="00777BDB">
        <w:rPr>
          <w:rFonts w:cs="Calibri"/>
          <w:szCs w:val="24"/>
          <w:shd w:val="clear" w:color="auto" w:fill="FFFFFF"/>
        </w:rPr>
        <w:t xml:space="preserve">measures </w:t>
      </w:r>
      <w:r w:rsidR="00C7274E" w:rsidRPr="00777BDB">
        <w:rPr>
          <w:rFonts w:cs="Calibri"/>
          <w:szCs w:val="24"/>
          <w:shd w:val="clear" w:color="auto" w:fill="FFFFFF"/>
        </w:rPr>
        <w:t>being</w:t>
      </w:r>
      <w:r w:rsidR="00923099" w:rsidRPr="00777BDB">
        <w:rPr>
          <w:rFonts w:cs="Calibri"/>
          <w:szCs w:val="24"/>
          <w:shd w:val="clear" w:color="auto" w:fill="FFFFFF"/>
        </w:rPr>
        <w:t xml:space="preserve"> implemented by governments and private sector to promote </w:t>
      </w:r>
      <w:r w:rsidR="00C7274E" w:rsidRPr="00777BDB">
        <w:rPr>
          <w:rFonts w:cs="Calibri"/>
          <w:szCs w:val="24"/>
          <w:shd w:val="clear" w:color="auto" w:fill="FFFFFF"/>
        </w:rPr>
        <w:t xml:space="preserve">the </w:t>
      </w:r>
      <w:r w:rsidR="00923099" w:rsidRPr="00777BDB">
        <w:rPr>
          <w:rFonts w:cs="Calibri"/>
          <w:szCs w:val="24"/>
          <w:shd w:val="clear" w:color="auto" w:fill="FFFFFF"/>
        </w:rPr>
        <w:t>use of digital financial services instead of physical cash</w:t>
      </w:r>
      <w:r w:rsidR="0006441C" w:rsidRPr="00777BDB">
        <w:rPr>
          <w:rFonts w:cs="Calibri"/>
          <w:szCs w:val="24"/>
          <w:shd w:val="clear" w:color="auto" w:fill="FFFFFF"/>
        </w:rPr>
        <w:t>;</w:t>
      </w:r>
      <w:r w:rsidR="00923099" w:rsidRPr="00777BDB">
        <w:rPr>
          <w:rFonts w:cs="Calibri"/>
          <w:szCs w:val="24"/>
          <w:shd w:val="clear" w:color="auto" w:fill="FFFFFF"/>
        </w:rPr>
        <w:t xml:space="preserve"> and how  digital finance is being used as a lever to influence social distancing and payment transactions during this health crisis. The webinar features key experts from Kenya, Pakistan</w:t>
      </w:r>
      <w:r w:rsidR="00D23212" w:rsidRPr="00777BDB">
        <w:rPr>
          <w:rFonts w:cs="Calibri"/>
          <w:szCs w:val="24"/>
          <w:shd w:val="clear" w:color="auto" w:fill="FFFFFF"/>
        </w:rPr>
        <w:t>, Tunisia</w:t>
      </w:r>
      <w:r w:rsidR="007E6A46" w:rsidRPr="00777BDB">
        <w:rPr>
          <w:rFonts w:cs="Calibri"/>
          <w:szCs w:val="24"/>
          <w:shd w:val="clear" w:color="auto" w:fill="FFFFFF"/>
        </w:rPr>
        <w:t xml:space="preserve">, </w:t>
      </w:r>
      <w:r w:rsidR="00923099" w:rsidRPr="00777BDB">
        <w:rPr>
          <w:rFonts w:cs="Calibri"/>
          <w:szCs w:val="24"/>
          <w:shd w:val="clear" w:color="auto" w:fill="FFFFFF"/>
        </w:rPr>
        <w:t>Morocco and international organiz</w:t>
      </w:r>
      <w:r w:rsidR="00512DD4" w:rsidRPr="00777BDB">
        <w:rPr>
          <w:rFonts w:cs="Calibri"/>
          <w:szCs w:val="24"/>
          <w:shd w:val="clear" w:color="auto" w:fill="FFFFFF"/>
        </w:rPr>
        <w:t>a</w:t>
      </w:r>
      <w:r w:rsidR="00923099" w:rsidRPr="00777BDB">
        <w:rPr>
          <w:rFonts w:cs="Calibri"/>
          <w:szCs w:val="24"/>
          <w:shd w:val="clear" w:color="auto" w:fill="FFFFFF"/>
        </w:rPr>
        <w:t xml:space="preserve">tions discussing the measures that have been implemented to encourage use of digital finance. </w:t>
      </w:r>
    </w:p>
    <w:p w14:paraId="0ECB8A8A" w14:textId="361584C7" w:rsidR="00DB073F" w:rsidRPr="00777BDB" w:rsidRDefault="00923099" w:rsidP="00777BDB">
      <w:pPr>
        <w:jc w:val="both"/>
        <w:rPr>
          <w:rFonts w:cs="Calibri"/>
          <w:szCs w:val="24"/>
          <w:shd w:val="clear" w:color="auto" w:fill="FFFFFF"/>
        </w:rPr>
      </w:pPr>
      <w:r w:rsidRPr="00777BDB">
        <w:rPr>
          <w:rFonts w:cs="Calibri"/>
          <w:szCs w:val="24"/>
          <w:shd w:val="clear" w:color="auto" w:fill="FFFFFF"/>
        </w:rPr>
        <w:t>5</w:t>
      </w:r>
      <w:r w:rsidRPr="00777BDB">
        <w:rPr>
          <w:rFonts w:cs="Calibri"/>
          <w:szCs w:val="24"/>
          <w:shd w:val="clear" w:color="auto" w:fill="FFFFFF"/>
        </w:rPr>
        <w:tab/>
        <w:t>The second</w:t>
      </w:r>
      <w:r w:rsidR="00B33656" w:rsidRPr="00777BDB">
        <w:rPr>
          <w:rFonts w:cs="Calibri"/>
          <w:szCs w:val="24"/>
          <w:shd w:val="clear" w:color="auto" w:fill="FFFFFF"/>
        </w:rPr>
        <w:t xml:space="preserve"> and third</w:t>
      </w:r>
      <w:r w:rsidRPr="00777BDB">
        <w:rPr>
          <w:rFonts w:cs="Calibri"/>
          <w:szCs w:val="24"/>
          <w:shd w:val="clear" w:color="auto" w:fill="FFFFFF"/>
        </w:rPr>
        <w:t xml:space="preserve"> </w:t>
      </w:r>
      <w:r w:rsidR="00E43161" w:rsidRPr="00777BDB">
        <w:rPr>
          <w:rFonts w:cs="Calibri"/>
          <w:szCs w:val="24"/>
          <w:shd w:val="clear" w:color="auto" w:fill="FFFFFF"/>
        </w:rPr>
        <w:t>episode</w:t>
      </w:r>
      <w:r w:rsidR="00B33656" w:rsidRPr="00777BDB">
        <w:rPr>
          <w:rFonts w:cs="Calibri"/>
          <w:szCs w:val="24"/>
          <w:shd w:val="clear" w:color="auto" w:fill="FFFFFF"/>
        </w:rPr>
        <w:t>s</w:t>
      </w:r>
      <w:r w:rsidRPr="00777BDB">
        <w:rPr>
          <w:rFonts w:cs="Calibri"/>
          <w:szCs w:val="24"/>
          <w:shd w:val="clear" w:color="auto" w:fill="FFFFFF"/>
        </w:rPr>
        <w:t xml:space="preserve"> on </w:t>
      </w:r>
      <w:r w:rsidRPr="00777BDB">
        <w:rPr>
          <w:rFonts w:cs="Calibri"/>
          <w:b/>
          <w:bCs/>
          <w:szCs w:val="24"/>
          <w:lang w:val="en-US"/>
        </w:rPr>
        <w:t xml:space="preserve">“Benefits of Digital ID to enable governments and private sector response to the pandemic” </w:t>
      </w:r>
      <w:r w:rsidRPr="00777BDB">
        <w:rPr>
          <w:rFonts w:cs="Calibri"/>
          <w:szCs w:val="24"/>
          <w:shd w:val="clear" w:color="auto" w:fill="FFFFFF"/>
        </w:rPr>
        <w:t>will explore how</w:t>
      </w:r>
      <w:r w:rsidR="00614B80" w:rsidRPr="00777BDB">
        <w:rPr>
          <w:rFonts w:cs="Calibri"/>
          <w:szCs w:val="24"/>
          <w:shd w:val="clear" w:color="auto" w:fill="FFFFFF"/>
        </w:rPr>
        <w:t xml:space="preserve"> businesses are increasingly </w:t>
      </w:r>
      <w:r w:rsidRPr="00777BDB">
        <w:rPr>
          <w:rFonts w:cs="Calibri"/>
          <w:szCs w:val="24"/>
          <w:shd w:val="clear" w:color="auto" w:fill="FFFFFF"/>
        </w:rPr>
        <w:t>using</w:t>
      </w:r>
      <w:r w:rsidR="00614B80" w:rsidRPr="00777BDB">
        <w:rPr>
          <w:rFonts w:cs="Calibri"/>
          <w:szCs w:val="24"/>
          <w:shd w:val="clear" w:color="auto" w:fill="FFFFFF"/>
        </w:rPr>
        <w:t xml:space="preserve"> technology to verify identity remotely</w:t>
      </w:r>
      <w:r w:rsidR="0006441C" w:rsidRPr="00777BDB">
        <w:rPr>
          <w:rFonts w:cs="Calibri"/>
          <w:szCs w:val="24"/>
          <w:shd w:val="clear" w:color="auto" w:fill="FFFFFF"/>
        </w:rPr>
        <w:t xml:space="preserve">, </w:t>
      </w:r>
      <w:r w:rsidR="00614B80" w:rsidRPr="00777BDB">
        <w:rPr>
          <w:rFonts w:cs="Calibri"/>
          <w:szCs w:val="24"/>
          <w:shd w:val="clear" w:color="auto" w:fill="FFFFFF"/>
        </w:rPr>
        <w:t xml:space="preserve">to quickly onboard people </w:t>
      </w:r>
      <w:r w:rsidR="0006441C" w:rsidRPr="00777BDB">
        <w:rPr>
          <w:rFonts w:cs="Calibri"/>
          <w:szCs w:val="24"/>
          <w:shd w:val="clear" w:color="auto" w:fill="FFFFFF"/>
        </w:rPr>
        <w:t>on</w:t>
      </w:r>
      <w:r w:rsidR="00614B80" w:rsidRPr="00777BDB">
        <w:rPr>
          <w:rFonts w:cs="Calibri"/>
          <w:szCs w:val="24"/>
          <w:shd w:val="clear" w:color="auto" w:fill="FFFFFF"/>
        </w:rPr>
        <w:t>to digital financial services. Using digital financial services and digital id solutions, governments can also effectively distribute social aid to the population during the crisis. Th</w:t>
      </w:r>
      <w:r w:rsidR="007E037C" w:rsidRPr="00777BDB">
        <w:rPr>
          <w:rFonts w:cs="Calibri"/>
          <w:szCs w:val="24"/>
          <w:shd w:val="clear" w:color="auto" w:fill="FFFFFF"/>
        </w:rPr>
        <w:t>is</w:t>
      </w:r>
      <w:r w:rsidR="00D61259" w:rsidRPr="00777BDB">
        <w:rPr>
          <w:rFonts w:cs="Calibri"/>
          <w:szCs w:val="24"/>
          <w:shd w:val="clear" w:color="auto" w:fill="FFFFFF"/>
        </w:rPr>
        <w:t xml:space="preserve"> </w:t>
      </w:r>
      <w:r w:rsidR="00614B80" w:rsidRPr="00777BDB">
        <w:rPr>
          <w:rFonts w:cs="Calibri"/>
          <w:szCs w:val="24"/>
          <w:shd w:val="clear" w:color="auto" w:fill="FFFFFF"/>
        </w:rPr>
        <w:t xml:space="preserve">webinar features key experts discussing how digital id solutions can </w:t>
      </w:r>
      <w:r w:rsidR="007E037C" w:rsidRPr="00777BDB">
        <w:rPr>
          <w:rFonts w:cs="Calibri"/>
          <w:szCs w:val="24"/>
          <w:shd w:val="clear" w:color="auto" w:fill="FFFFFF"/>
        </w:rPr>
        <w:t>enable</w:t>
      </w:r>
      <w:r w:rsidR="00614B80" w:rsidRPr="00777BDB">
        <w:rPr>
          <w:rFonts w:cs="Calibri"/>
          <w:szCs w:val="24"/>
          <w:shd w:val="clear" w:color="auto" w:fill="FFFFFF"/>
        </w:rPr>
        <w:t xml:space="preserve"> remote onboarding of customers and will also explore emerging technologies in the field. </w:t>
      </w:r>
    </w:p>
    <w:p w14:paraId="7D7B4479" w14:textId="58397873" w:rsidR="004B4C11" w:rsidRPr="00FD50EA" w:rsidRDefault="00E43161" w:rsidP="00777BDB">
      <w:pPr>
        <w:jc w:val="both"/>
      </w:pPr>
      <w:r w:rsidRPr="00777BDB">
        <w:rPr>
          <w:bCs/>
        </w:rPr>
        <w:t>6</w:t>
      </w:r>
      <w:r w:rsidR="004B4C11" w:rsidRPr="00777BDB">
        <w:tab/>
        <w:t>Participation in these webinars are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</w:t>
      </w:r>
      <w:r w:rsidR="004B4C11" w:rsidRPr="00C56D9B">
        <w:t xml:space="preserve">. </w:t>
      </w:r>
    </w:p>
    <w:p w14:paraId="25801F93" w14:textId="4E26D52B" w:rsidR="00A672CE" w:rsidRDefault="00E43161" w:rsidP="00777BDB">
      <w:pPr>
        <w:jc w:val="both"/>
      </w:pPr>
      <w:r>
        <w:t>7</w:t>
      </w:r>
      <w:r w:rsidR="00DB073F" w:rsidRPr="00C56D9B">
        <w:tab/>
      </w:r>
      <w:r w:rsidR="003A457D">
        <w:t>All relevant i</w:t>
      </w:r>
      <w:r w:rsidR="00DB073F" w:rsidRPr="00C56D9B">
        <w:t xml:space="preserve">nformation </w:t>
      </w:r>
      <w:r w:rsidR="002053CA">
        <w:t>pertaining</w:t>
      </w:r>
      <w:r w:rsidR="00DB073F" w:rsidRPr="00C56D9B">
        <w:t xml:space="preserve"> to the </w:t>
      </w:r>
      <w:r w:rsidR="003A457D">
        <w:t>webinar</w:t>
      </w:r>
      <w:r w:rsidR="00D61259">
        <w:t>s</w:t>
      </w:r>
      <w:r w:rsidR="0006441C">
        <w:t>,</w:t>
      </w:r>
      <w:r w:rsidR="00A00764">
        <w:t xml:space="preserve"> </w:t>
      </w:r>
      <w:r w:rsidR="0006441C">
        <w:t>(speakers, registration</w:t>
      </w:r>
      <w:r w:rsidR="00A00764">
        <w:t xml:space="preserve"> links</w:t>
      </w:r>
      <w:r w:rsidR="0006441C">
        <w:t>, remote connection details)</w:t>
      </w:r>
      <w:r w:rsidR="00DB073F" w:rsidRPr="00C56D9B">
        <w:t xml:space="preserve"> will be </w:t>
      </w:r>
      <w:r w:rsidR="004B4C11">
        <w:t xml:space="preserve">made </w:t>
      </w:r>
      <w:r w:rsidR="00DB073F" w:rsidRPr="00C56D9B">
        <w:t>available on the</w:t>
      </w:r>
      <w:r w:rsidR="00D61259">
        <w:t xml:space="preserve"> </w:t>
      </w:r>
      <w:hyperlink r:id="rId14" w:history="1">
        <w:r w:rsidR="00A00764" w:rsidRPr="00A00764">
          <w:rPr>
            <w:rStyle w:val="Hyperlink"/>
          </w:rPr>
          <w:t>main landing page</w:t>
        </w:r>
      </w:hyperlink>
      <w:r w:rsidR="00A00764">
        <w:t xml:space="preserve"> and the </w:t>
      </w:r>
      <w:r w:rsidR="00D61259">
        <w:t>respective</w:t>
      </w:r>
      <w:r w:rsidR="00DB073F" w:rsidRPr="00C56D9B">
        <w:t xml:space="preserve"> event website</w:t>
      </w:r>
      <w:r w:rsidR="00614B80">
        <w:t>s</w:t>
      </w:r>
      <w:r w:rsidR="00DB073F" w:rsidRPr="00C56D9B">
        <w:t xml:space="preserve"> </w:t>
      </w:r>
      <w:r w:rsidR="00A672CE">
        <w:t>below. T</w:t>
      </w:r>
      <w:r w:rsidR="00A672CE" w:rsidRPr="00C56D9B">
        <w:t>h</w:t>
      </w:r>
      <w:r w:rsidR="00A672CE">
        <w:t>ese</w:t>
      </w:r>
      <w:r w:rsidR="00A672CE" w:rsidRPr="00C56D9B">
        <w:t xml:space="preserve"> website</w:t>
      </w:r>
      <w:r w:rsidR="00A672CE">
        <w:t>s</w:t>
      </w:r>
      <w:r w:rsidR="00A672CE" w:rsidRPr="00C56D9B">
        <w:t xml:space="preserve"> will be regularly updated as new or modified information become</w:t>
      </w:r>
      <w:r w:rsidR="00A672CE">
        <w:t>s</w:t>
      </w:r>
      <w:r w:rsidR="00A672CE" w:rsidRPr="00C56D9B">
        <w:t xml:space="preserve"> available. Participants are requested to check periodically for new updates.</w:t>
      </w:r>
    </w:p>
    <w:p w14:paraId="107CE877" w14:textId="5658F56F" w:rsidR="00A672CE" w:rsidRDefault="007867C0" w:rsidP="00424AB7">
      <w:pPr>
        <w:jc w:val="both"/>
      </w:pPr>
      <w:hyperlink r:id="rId15" w:history="1">
        <w:r w:rsidR="00A672CE" w:rsidRPr="00E3445C">
          <w:rPr>
            <w:rStyle w:val="Hyperlink"/>
          </w:rPr>
          <w:t>https://www.itu.int/en/ITU-T/webinars/20200514/Pages/default.aspx</w:t>
        </w:r>
      </w:hyperlink>
    </w:p>
    <w:p w14:paraId="65C85EBD" w14:textId="501687DB" w:rsidR="000E63D4" w:rsidRDefault="007867C0" w:rsidP="00424AB7">
      <w:pPr>
        <w:jc w:val="both"/>
        <w:rPr>
          <w:rStyle w:val="Hyperlink"/>
        </w:rPr>
      </w:pPr>
      <w:hyperlink r:id="rId16" w:history="1">
        <w:r w:rsidR="00A672CE" w:rsidRPr="00E3445C">
          <w:rPr>
            <w:rStyle w:val="Hyperlink"/>
          </w:rPr>
          <w:t>https://www.itu.int/en/ITU-T/webinars/20200520/Pages/default.aspx</w:t>
        </w:r>
      </w:hyperlink>
    </w:p>
    <w:p w14:paraId="300ADDEF" w14:textId="170A6C50" w:rsidR="00724ADE" w:rsidRPr="00A00764" w:rsidRDefault="007867C0" w:rsidP="00A00764">
      <w:pPr>
        <w:jc w:val="both"/>
        <w:rPr>
          <w:color w:val="0000FF"/>
          <w:u w:val="single"/>
        </w:rPr>
      </w:pPr>
      <w:hyperlink r:id="rId17" w:history="1">
        <w:r w:rsidR="00A00764" w:rsidRPr="00615989">
          <w:rPr>
            <w:rStyle w:val="Hyperlink"/>
          </w:rPr>
          <w:t>https://www.itu.int/en/ITU-T/webinars/20200521/Pages/default.aspx</w:t>
        </w:r>
      </w:hyperlink>
    </w:p>
    <w:p w14:paraId="5BB545EC" w14:textId="61C54C4A" w:rsidR="0075165B" w:rsidRDefault="00B61012" w:rsidP="00734AAB">
      <w:pPr>
        <w:spacing w:before="360"/>
      </w:pPr>
      <w:r>
        <w:t>Yours faithfully,</w:t>
      </w:r>
    </w:p>
    <w:p w14:paraId="544863EC" w14:textId="690C8CB8" w:rsidR="00D62702" w:rsidRDefault="007867C0" w:rsidP="00734AAB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910AB" wp14:editId="0CF74FEF">
            <wp:simplePos x="0" y="0"/>
            <wp:positionH relativeFrom="column">
              <wp:posOffset>3810</wp:posOffset>
            </wp:positionH>
            <wp:positionV relativeFrom="paragraph">
              <wp:posOffset>146050</wp:posOffset>
            </wp:positionV>
            <wp:extent cx="742950" cy="3138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</w:p>
    <w:sectPr w:rsidR="00D62702" w:rsidSect="002030AC">
      <w:headerReference w:type="default" r:id="rId19"/>
      <w:footerReference w:type="first" r:id="rId20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91892" w14:textId="77777777" w:rsidR="00A01844" w:rsidRDefault="00A01844">
      <w:r>
        <w:separator/>
      </w:r>
    </w:p>
  </w:endnote>
  <w:endnote w:type="continuationSeparator" w:id="0">
    <w:p w14:paraId="0B9B0D56" w14:textId="77777777" w:rsidR="00A01844" w:rsidRDefault="00A01844">
      <w:r>
        <w:continuationSeparator/>
      </w:r>
    </w:p>
  </w:endnote>
  <w:endnote w:type="continuationNotice" w:id="1">
    <w:p w14:paraId="07B4FB87" w14:textId="77777777" w:rsidR="00A01844" w:rsidRDefault="00A018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32E4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75A2" w14:textId="77777777" w:rsidR="00A01844" w:rsidRDefault="00A01844">
      <w:r>
        <w:t>____________________</w:t>
      </w:r>
    </w:p>
  </w:footnote>
  <w:footnote w:type="continuationSeparator" w:id="0">
    <w:p w14:paraId="2FEE9297" w14:textId="77777777" w:rsidR="00A01844" w:rsidRDefault="00A01844">
      <w:r>
        <w:continuationSeparator/>
      </w:r>
    </w:p>
  </w:footnote>
  <w:footnote w:type="continuationNotice" w:id="1">
    <w:p w14:paraId="6AE5CD7E" w14:textId="77777777" w:rsidR="00A01844" w:rsidRDefault="00A0184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C017" w14:textId="1E9B1316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24</w:t>
    </w:r>
    <w:r w:rsidR="00614B80">
      <w:rPr>
        <w:noProof/>
      </w:rPr>
      <w:t>7</w:t>
    </w:r>
  </w:p>
  <w:p w14:paraId="24A30215" w14:textId="77777777" w:rsidR="00FA46A0" w:rsidRDefault="00FA46A0" w:rsidP="00E15E0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7640"/>
    <w:rsid w:val="00017751"/>
    <w:rsid w:val="00022E6B"/>
    <w:rsid w:val="0006441C"/>
    <w:rsid w:val="000B15C8"/>
    <w:rsid w:val="000E63D4"/>
    <w:rsid w:val="000F12BC"/>
    <w:rsid w:val="001018E1"/>
    <w:rsid w:val="001070C1"/>
    <w:rsid w:val="00112F37"/>
    <w:rsid w:val="00132E69"/>
    <w:rsid w:val="00184FE3"/>
    <w:rsid w:val="001A34EC"/>
    <w:rsid w:val="001A7804"/>
    <w:rsid w:val="001B207C"/>
    <w:rsid w:val="001C6AA9"/>
    <w:rsid w:val="001F3D92"/>
    <w:rsid w:val="002030AC"/>
    <w:rsid w:val="002053CA"/>
    <w:rsid w:val="00205C30"/>
    <w:rsid w:val="00214D55"/>
    <w:rsid w:val="00244C45"/>
    <w:rsid w:val="002F3AEA"/>
    <w:rsid w:val="00356B73"/>
    <w:rsid w:val="003746A5"/>
    <w:rsid w:val="00375A8A"/>
    <w:rsid w:val="00396C3B"/>
    <w:rsid w:val="003A0588"/>
    <w:rsid w:val="003A457D"/>
    <w:rsid w:val="003D4690"/>
    <w:rsid w:val="003F264B"/>
    <w:rsid w:val="00424AB7"/>
    <w:rsid w:val="00426109"/>
    <w:rsid w:val="004449A1"/>
    <w:rsid w:val="00453CEA"/>
    <w:rsid w:val="0046092C"/>
    <w:rsid w:val="00485E1E"/>
    <w:rsid w:val="00487330"/>
    <w:rsid w:val="004B4C11"/>
    <w:rsid w:val="004C61AB"/>
    <w:rsid w:val="004E3628"/>
    <w:rsid w:val="00503ADB"/>
    <w:rsid w:val="00512DD4"/>
    <w:rsid w:val="00564751"/>
    <w:rsid w:val="005D35EA"/>
    <w:rsid w:val="005D54A8"/>
    <w:rsid w:val="005E003C"/>
    <w:rsid w:val="005F5921"/>
    <w:rsid w:val="00614B80"/>
    <w:rsid w:val="00655190"/>
    <w:rsid w:val="006B410B"/>
    <w:rsid w:val="006B75D2"/>
    <w:rsid w:val="007214BC"/>
    <w:rsid w:val="00724ADE"/>
    <w:rsid w:val="00730A58"/>
    <w:rsid w:val="00733026"/>
    <w:rsid w:val="00734AAB"/>
    <w:rsid w:val="0075165B"/>
    <w:rsid w:val="00755C07"/>
    <w:rsid w:val="00773DBB"/>
    <w:rsid w:val="00777BDB"/>
    <w:rsid w:val="007867C0"/>
    <w:rsid w:val="0079763E"/>
    <w:rsid w:val="007A65E8"/>
    <w:rsid w:val="007B680F"/>
    <w:rsid w:val="007E037C"/>
    <w:rsid w:val="007E6A46"/>
    <w:rsid w:val="00856950"/>
    <w:rsid w:val="00897A7A"/>
    <w:rsid w:val="008A567A"/>
    <w:rsid w:val="008C194B"/>
    <w:rsid w:val="009015EC"/>
    <w:rsid w:val="00911C5C"/>
    <w:rsid w:val="00923099"/>
    <w:rsid w:val="009604C5"/>
    <w:rsid w:val="00963900"/>
    <w:rsid w:val="009747C5"/>
    <w:rsid w:val="009B2EB5"/>
    <w:rsid w:val="00A00764"/>
    <w:rsid w:val="00A01844"/>
    <w:rsid w:val="00A13DFF"/>
    <w:rsid w:val="00A170F2"/>
    <w:rsid w:val="00A672CE"/>
    <w:rsid w:val="00A72C30"/>
    <w:rsid w:val="00A90E48"/>
    <w:rsid w:val="00B2488F"/>
    <w:rsid w:val="00B33656"/>
    <w:rsid w:val="00B45EE3"/>
    <w:rsid w:val="00B4669D"/>
    <w:rsid w:val="00B61012"/>
    <w:rsid w:val="00B74D2C"/>
    <w:rsid w:val="00C10B58"/>
    <w:rsid w:val="00C25C25"/>
    <w:rsid w:val="00C56D9B"/>
    <w:rsid w:val="00C7274E"/>
    <w:rsid w:val="00C8240A"/>
    <w:rsid w:val="00C87523"/>
    <w:rsid w:val="00C95BF6"/>
    <w:rsid w:val="00CD2852"/>
    <w:rsid w:val="00D04FFC"/>
    <w:rsid w:val="00D23212"/>
    <w:rsid w:val="00D61259"/>
    <w:rsid w:val="00D62702"/>
    <w:rsid w:val="00D80366"/>
    <w:rsid w:val="00DB073F"/>
    <w:rsid w:val="00DE6C68"/>
    <w:rsid w:val="00DF2415"/>
    <w:rsid w:val="00E15E03"/>
    <w:rsid w:val="00E3198A"/>
    <w:rsid w:val="00E43161"/>
    <w:rsid w:val="00E55BE0"/>
    <w:rsid w:val="00E708AF"/>
    <w:rsid w:val="00E7624F"/>
    <w:rsid w:val="00EA2114"/>
    <w:rsid w:val="00EC15F4"/>
    <w:rsid w:val="00EC532B"/>
    <w:rsid w:val="00EE5435"/>
    <w:rsid w:val="00F22314"/>
    <w:rsid w:val="00F436B0"/>
    <w:rsid w:val="00F85C94"/>
    <w:rsid w:val="00FA4331"/>
    <w:rsid w:val="00FA46A0"/>
    <w:rsid w:val="00FC1C19"/>
    <w:rsid w:val="00FD50EA"/>
    <w:rsid w:val="00FF12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ebinars/Pages/dfs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ebinars/20200521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ebinars/20200520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ebinars/20200514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ebinars/Pages/dfs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E661E-AFA5-4788-8050-AF58216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137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5144</CharactersWithSpaces>
  <SharedDoc>false</SharedDoc>
  <HLinks>
    <vt:vector size="42" baseType="variant">
      <vt:variant>
        <vt:i4>5046293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https://www.itu.int/net4/CRM/xreg/web/registration.aspx?Event=C-00007766</vt:lpwstr>
      </vt:variant>
      <vt:variant>
        <vt:lpwstr/>
      </vt:variant>
      <vt:variant>
        <vt:i4>5111829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https://www.itu.int/net4/CRM/xreg/web/Registration.aspx?Event=C-00007765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https://www.itu.int/en/ITU-T/webinars/20200520/Pages/default.aspx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https://www.itu.int/en/ITU-T/webinars/20200514/Pages/default.aspx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3</cp:revision>
  <cp:lastPrinted>2020-05-05T08:08:00Z</cp:lastPrinted>
  <dcterms:created xsi:type="dcterms:W3CDTF">2020-05-04T07:56:00Z</dcterms:created>
  <dcterms:modified xsi:type="dcterms:W3CDTF">2020-05-05T08:09:00Z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