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53693993" w14:textId="77777777" w:rsidTr="00D517B2">
        <w:trPr>
          <w:cantSplit/>
          <w:trHeight w:val="1134"/>
        </w:trPr>
        <w:tc>
          <w:tcPr>
            <w:tcW w:w="798" w:type="pct"/>
          </w:tcPr>
          <w:p w14:paraId="37C31FCB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2203326A" wp14:editId="6FB1D2A3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53A77780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5AA051A6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711"/>
        <w:gridCol w:w="4393"/>
      </w:tblGrid>
      <w:tr w:rsidR="00D517B2" w:rsidRPr="00D517B2" w14:paraId="559C1BAD" w14:textId="77777777" w:rsidTr="00BF12C7">
        <w:trPr>
          <w:cantSplit/>
          <w:trHeight w:val="142"/>
          <w:jc w:val="center"/>
        </w:trPr>
        <w:tc>
          <w:tcPr>
            <w:tcW w:w="796" w:type="pct"/>
          </w:tcPr>
          <w:p w14:paraId="06D2A84E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5A8F5B0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48A3F934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1C556CF6" w14:textId="77777777" w:rsidTr="00BF12C7">
        <w:trPr>
          <w:cantSplit/>
          <w:trHeight w:val="148"/>
          <w:jc w:val="center"/>
        </w:trPr>
        <w:tc>
          <w:tcPr>
            <w:tcW w:w="796" w:type="pct"/>
          </w:tcPr>
          <w:p w14:paraId="60DEA93E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25" w:type="pct"/>
          </w:tcPr>
          <w:p w14:paraId="590F90DB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79" w:type="pct"/>
          </w:tcPr>
          <w:p w14:paraId="4534F986" w14:textId="452C1726" w:rsidR="00D517B2" w:rsidRPr="00D517B2" w:rsidRDefault="00873469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  <w:r w:rsidRPr="00D517B2">
              <w:rPr>
                <w:rFonts w:hint="cs"/>
                <w:position w:val="2"/>
                <w:rtl/>
              </w:rPr>
              <w:t xml:space="preserve">جنيف، </w:t>
            </w:r>
            <w:r w:rsidR="00863F83">
              <w:rPr>
                <w:position w:val="2"/>
              </w:rPr>
              <w:t>16</w:t>
            </w:r>
            <w:r w:rsidR="00863F83">
              <w:rPr>
                <w:rFonts w:hint="cs"/>
                <w:position w:val="2"/>
                <w:rtl/>
                <w:lang w:bidi="ar-EG"/>
              </w:rPr>
              <w:t xml:space="preserve"> أبريل </w:t>
            </w:r>
            <w:r w:rsidR="00863F83">
              <w:rPr>
                <w:position w:val="2"/>
                <w:lang w:bidi="ar-EG"/>
              </w:rPr>
              <w:t>2020</w:t>
            </w:r>
          </w:p>
        </w:tc>
      </w:tr>
      <w:tr w:rsidR="00E84438" w:rsidRPr="00D517B2" w14:paraId="68BCA3DB" w14:textId="77777777" w:rsidTr="00BF12C7">
        <w:trPr>
          <w:cantSplit/>
          <w:trHeight w:val="831"/>
          <w:jc w:val="center"/>
        </w:trPr>
        <w:tc>
          <w:tcPr>
            <w:tcW w:w="796" w:type="pct"/>
          </w:tcPr>
          <w:p w14:paraId="1441E6B2" w14:textId="77777777" w:rsidR="00E84438" w:rsidRPr="00A9156F" w:rsidRDefault="00E84438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25" w:type="pct"/>
          </w:tcPr>
          <w:p w14:paraId="3F3BFF86" w14:textId="3878273C" w:rsidR="00E84438" w:rsidRPr="00D517B2" w:rsidRDefault="00E84438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b/>
                <w:position w:val="2"/>
              </w:rPr>
              <w:t>TSB </w:t>
            </w:r>
            <w:r>
              <w:rPr>
                <w:b/>
                <w:position w:val="2"/>
              </w:rPr>
              <w:t>Circular</w:t>
            </w:r>
            <w:r w:rsidRPr="00D517B2">
              <w:rPr>
                <w:b/>
                <w:position w:val="2"/>
              </w:rPr>
              <w:t xml:space="preserve"> </w:t>
            </w:r>
            <w:r w:rsidR="00863F83">
              <w:rPr>
                <w:b/>
                <w:position w:val="2"/>
              </w:rPr>
              <w:t>244</w:t>
            </w:r>
            <w:r>
              <w:rPr>
                <w:b/>
                <w:position w:val="2"/>
              </w:rPr>
              <w:br/>
            </w:r>
            <w:r w:rsidR="00863F83">
              <w:rPr>
                <w:bCs/>
                <w:position w:val="2"/>
              </w:rPr>
              <w:t>SG17/XY</w:t>
            </w:r>
          </w:p>
        </w:tc>
        <w:tc>
          <w:tcPr>
            <w:tcW w:w="2279" w:type="pct"/>
            <w:vMerge w:val="restart"/>
          </w:tcPr>
          <w:p w14:paraId="7BC68EBE" w14:textId="77777777" w:rsidR="00E84438" w:rsidRPr="00863F83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863F83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7624E884" w14:textId="1A60FB82" w:rsidR="00E84438" w:rsidRPr="00863F83" w:rsidRDefault="00E84438" w:rsidP="00424BC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00F8FDCD" w14:textId="159D6C8B" w:rsidR="00E84438" w:rsidRDefault="00E84438" w:rsidP="00D517B2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863F83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3452E98E" w14:textId="77777777" w:rsidR="00424BCC" w:rsidRPr="00863F83" w:rsidRDefault="00424BCC" w:rsidP="00424BCC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  <w:lang w:bidi="ar-EG"/>
              </w:rPr>
              <w:t>أعضاء قطاع تقييس الاتصالات بالاتحاد؛</w:t>
            </w:r>
          </w:p>
          <w:p w14:paraId="6BD6B843" w14:textId="65C6342B" w:rsidR="00424BCC" w:rsidRPr="00863F83" w:rsidRDefault="00424BCC" w:rsidP="005A300B">
            <w:pPr>
              <w:tabs>
                <w:tab w:val="left" w:pos="284"/>
                <w:tab w:val="left" w:pos="4111"/>
              </w:tabs>
              <w:spacing w:before="20" w:line="340" w:lineRule="exact"/>
              <w:ind w:left="284" w:hanging="284"/>
              <w:jc w:val="left"/>
              <w:rPr>
                <w:position w:val="2"/>
                <w:rtl/>
                <w:lang w:bidi="ar-EG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BF12C7">
              <w:rPr>
                <w:rFonts w:hint="cs"/>
                <w:spacing w:val="-10"/>
                <w:position w:val="2"/>
                <w:rtl/>
              </w:rPr>
              <w:t>المنتسبين إلى</w:t>
            </w:r>
            <w:r w:rsidR="005A300B" w:rsidRPr="00BF12C7">
              <w:rPr>
                <w:rFonts w:eastAsia="Times New Roman" w:hint="cs"/>
                <w:spacing w:val="-10"/>
                <w:position w:val="2"/>
                <w:rtl/>
                <w:lang w:eastAsia="en-US"/>
              </w:rPr>
              <w:t xml:space="preserve"> لجنة الدراسات </w:t>
            </w:r>
            <w:r w:rsidR="005A300B" w:rsidRPr="00BF12C7">
              <w:rPr>
                <w:rFonts w:eastAsia="Times New Roman"/>
                <w:spacing w:val="-10"/>
                <w:position w:val="2"/>
                <w:lang w:eastAsia="en-US"/>
              </w:rPr>
              <w:t>17</w:t>
            </w:r>
            <w:r w:rsidR="005A300B" w:rsidRPr="00BF12C7">
              <w:rPr>
                <w:rFonts w:eastAsia="Times New Roman" w:hint="cs"/>
                <w:spacing w:val="-10"/>
                <w:position w:val="2"/>
                <w:rtl/>
                <w:lang w:eastAsia="en-US" w:bidi="ar-EG"/>
              </w:rPr>
              <w:t xml:space="preserve"> لقطاع </w:t>
            </w:r>
            <w:r w:rsidRPr="00BF12C7">
              <w:rPr>
                <w:rFonts w:hint="cs"/>
                <w:spacing w:val="-10"/>
                <w:position w:val="2"/>
                <w:rtl/>
              </w:rPr>
              <w:t>تقييس الاتصالات؛</w:t>
            </w:r>
          </w:p>
          <w:p w14:paraId="5359BA75" w14:textId="5FD320FC" w:rsidR="00424BCC" w:rsidRPr="0097291C" w:rsidRDefault="00424BCC" w:rsidP="00424BCC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Pr="00863F83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863F83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  <w:r w:rsidR="0097291C" w:rsidRPr="0097291C">
              <w:rPr>
                <w:rFonts w:hint="cs"/>
                <w:position w:val="2"/>
                <w:rtl/>
              </w:rPr>
              <w:t>؛</w:t>
            </w:r>
          </w:p>
          <w:p w14:paraId="6B2D6009" w14:textId="32EE9990" w:rsidR="00002A63" w:rsidRPr="00863F83" w:rsidRDefault="00E84438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hint="cs"/>
                <w:position w:val="2"/>
                <w:rtl/>
              </w:rPr>
              <w:t>-</w:t>
            </w:r>
            <w:r w:rsidRPr="00863F83">
              <w:rPr>
                <w:position w:val="2"/>
                <w:rtl/>
              </w:rPr>
              <w:tab/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رئيس لجنة الدراسات </w:t>
            </w:r>
            <w:r w:rsidR="00424BCC" w:rsidRPr="00424BCC">
              <w:rPr>
                <w:rFonts w:eastAsia="Times New Roman"/>
                <w:spacing w:val="-8"/>
                <w:position w:val="2"/>
                <w:lang w:eastAsia="en-US"/>
              </w:rPr>
              <w:t>17</w:t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 w:bidi="ar-EG"/>
              </w:rPr>
              <w:t xml:space="preserve"> لقطاع تقييس الاتصالات</w:t>
            </w:r>
            <w:r w:rsidR="00002A63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 xml:space="preserve"> </w:t>
            </w:r>
            <w:r w:rsidR="00424BCC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ونوابه</w:t>
            </w:r>
            <w:r w:rsidR="00002A63" w:rsidRPr="00424BCC">
              <w:rPr>
                <w:rFonts w:eastAsia="Times New Roman" w:hint="cs"/>
                <w:spacing w:val="-8"/>
                <w:position w:val="2"/>
                <w:rtl/>
                <w:lang w:eastAsia="en-US"/>
              </w:rPr>
              <w:t>؛</w:t>
            </w:r>
          </w:p>
          <w:p w14:paraId="46CA2CCF" w14:textId="77777777" w:rsidR="00002A63" w:rsidRPr="00863F83" w:rsidRDefault="00002A63" w:rsidP="00002A6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</w:t>
            </w:r>
            <w:r w:rsidRPr="00863F83">
              <w:rPr>
                <w:rFonts w:eastAsia="Times New Roman" w:hint="cs"/>
                <w:position w:val="2"/>
                <w:rtl/>
                <w:lang w:eastAsia="en-US" w:bidi="ar-EG"/>
              </w:rPr>
              <w:t>ة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 xml:space="preserve"> مكتب تنمية الاتصالات</w:t>
            </w: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2A8FC671" w14:textId="3C37920B" w:rsidR="00E84438" w:rsidRPr="00D517B2" w:rsidRDefault="00002A63" w:rsidP="00D176D6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863F83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863F83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D517B2" w:rsidRPr="00D517B2" w14:paraId="2AE5AB1D" w14:textId="77777777" w:rsidTr="00BF12C7">
        <w:trPr>
          <w:cantSplit/>
          <w:trHeight w:val="340"/>
          <w:jc w:val="center"/>
        </w:trPr>
        <w:tc>
          <w:tcPr>
            <w:tcW w:w="796" w:type="pct"/>
          </w:tcPr>
          <w:p w14:paraId="27E6FB5A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25" w:type="pct"/>
          </w:tcPr>
          <w:p w14:paraId="634569A9" w14:textId="2C3F9982" w:rsidR="00D517B2" w:rsidRPr="00D517B2" w:rsidRDefault="00D517B2" w:rsidP="00D517B2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D517B2">
              <w:rPr>
                <w:position w:val="2"/>
              </w:rPr>
              <w:t>+41 22 730 </w:t>
            </w:r>
            <w:r w:rsidR="00863F83">
              <w:rPr>
                <w:position w:val="2"/>
              </w:rPr>
              <w:t>6206</w:t>
            </w:r>
          </w:p>
        </w:tc>
        <w:tc>
          <w:tcPr>
            <w:tcW w:w="2279" w:type="pct"/>
            <w:vMerge/>
          </w:tcPr>
          <w:p w14:paraId="78F35A8C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0F6E795F" w14:textId="77777777" w:rsidTr="00BF12C7">
        <w:trPr>
          <w:cantSplit/>
          <w:trHeight w:val="340"/>
          <w:jc w:val="center"/>
        </w:trPr>
        <w:tc>
          <w:tcPr>
            <w:tcW w:w="796" w:type="pct"/>
          </w:tcPr>
          <w:p w14:paraId="47E253EC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25" w:type="pct"/>
          </w:tcPr>
          <w:p w14:paraId="50BA5D26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D517B2">
              <w:rPr>
                <w:position w:val="2"/>
              </w:rPr>
              <w:t>+41 22 730 5853</w:t>
            </w:r>
          </w:p>
        </w:tc>
        <w:tc>
          <w:tcPr>
            <w:tcW w:w="2279" w:type="pct"/>
            <w:vMerge/>
          </w:tcPr>
          <w:p w14:paraId="18946189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1EB271AB" w14:textId="77777777" w:rsidTr="00BF12C7">
        <w:trPr>
          <w:cantSplit/>
          <w:jc w:val="center"/>
        </w:trPr>
        <w:tc>
          <w:tcPr>
            <w:tcW w:w="796" w:type="pct"/>
          </w:tcPr>
          <w:p w14:paraId="1C32F89F" w14:textId="77777777" w:rsidR="00D517B2" w:rsidRPr="00A9156F" w:rsidRDefault="00D517B2" w:rsidP="00D517B2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25" w:type="pct"/>
          </w:tcPr>
          <w:p w14:paraId="6A78ADB2" w14:textId="5FA5C1D4" w:rsidR="00D517B2" w:rsidRPr="00D517B2" w:rsidRDefault="0018622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  <w:hyperlink r:id="rId9" w:history="1">
              <w:r w:rsidR="00863F83" w:rsidRPr="0038111A">
                <w:rPr>
                  <w:rStyle w:val="Hyperlink"/>
                  <w:position w:val="2"/>
                </w:rPr>
                <w:t>tsbsg17@itu.int</w:t>
              </w:r>
            </w:hyperlink>
          </w:p>
        </w:tc>
        <w:tc>
          <w:tcPr>
            <w:tcW w:w="2279" w:type="pct"/>
            <w:vMerge/>
          </w:tcPr>
          <w:p w14:paraId="32AC7FE0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D517B2" w14:paraId="34520304" w14:textId="77777777" w:rsidTr="00BF12C7">
        <w:trPr>
          <w:cantSplit/>
          <w:jc w:val="center"/>
        </w:trPr>
        <w:tc>
          <w:tcPr>
            <w:tcW w:w="796" w:type="pct"/>
          </w:tcPr>
          <w:p w14:paraId="3EBF76ED" w14:textId="77777777" w:rsidR="00D517B2" w:rsidRPr="00A9156F" w:rsidRDefault="00D517B2" w:rsidP="00652B46">
            <w:pPr>
              <w:spacing w:before="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25" w:type="pct"/>
          </w:tcPr>
          <w:p w14:paraId="524238B7" w14:textId="77777777" w:rsidR="00D517B2" w:rsidRPr="00D517B2" w:rsidRDefault="00D517B2" w:rsidP="00652B46">
            <w:pPr>
              <w:spacing w:before="0" w:line="300" w:lineRule="exact"/>
              <w:jc w:val="left"/>
              <w:rPr>
                <w:position w:val="2"/>
              </w:rPr>
            </w:pPr>
          </w:p>
        </w:tc>
        <w:tc>
          <w:tcPr>
            <w:tcW w:w="2279" w:type="pct"/>
          </w:tcPr>
          <w:p w14:paraId="51869D6B" w14:textId="77777777" w:rsidR="00D517B2" w:rsidRPr="00D517B2" w:rsidRDefault="00D517B2" w:rsidP="00652B46">
            <w:pPr>
              <w:spacing w:before="0" w:line="300" w:lineRule="exact"/>
              <w:jc w:val="left"/>
              <w:rPr>
                <w:position w:val="2"/>
                <w:rtl/>
              </w:rPr>
            </w:pPr>
          </w:p>
        </w:tc>
      </w:tr>
      <w:tr w:rsidR="00D517B2" w:rsidRPr="00A34C2D" w14:paraId="2CA47537" w14:textId="77777777" w:rsidTr="00D517B2">
        <w:trPr>
          <w:cantSplit/>
          <w:jc w:val="center"/>
        </w:trPr>
        <w:tc>
          <w:tcPr>
            <w:tcW w:w="796" w:type="pct"/>
          </w:tcPr>
          <w:p w14:paraId="494A6E92" w14:textId="77777777" w:rsidR="00D517B2" w:rsidRPr="00A34C2D" w:rsidRDefault="00D517B2" w:rsidP="00A34C2D">
            <w:pPr>
              <w:spacing w:before="60" w:after="60"/>
              <w:jc w:val="left"/>
              <w:rPr>
                <w:b/>
                <w:bCs/>
                <w:rtl/>
                <w:lang w:bidi="ar-SY"/>
              </w:rPr>
            </w:pPr>
            <w:r w:rsidRPr="00A34C2D">
              <w:rPr>
                <w:rFonts w:hint="cs"/>
                <w:b/>
                <w:bCs/>
                <w:rtl/>
              </w:rPr>
              <w:t>الموضوع:</w:t>
            </w:r>
          </w:p>
        </w:tc>
        <w:tc>
          <w:tcPr>
            <w:tcW w:w="4204" w:type="pct"/>
            <w:gridSpan w:val="2"/>
          </w:tcPr>
          <w:p w14:paraId="4780A0C5" w14:textId="0AB2D967" w:rsidR="00D517B2" w:rsidRPr="00A34C2D" w:rsidRDefault="00D176D6" w:rsidP="00A34C2D">
            <w:pPr>
              <w:spacing w:before="60" w:after="60"/>
              <w:rPr>
                <w:b/>
                <w:bCs/>
                <w:lang w:bidi="ar-EG"/>
              </w:rPr>
            </w:pPr>
            <w:r w:rsidRPr="00A34C2D">
              <w:rPr>
                <w:rFonts w:hint="cs"/>
                <w:b/>
                <w:bCs/>
                <w:rtl/>
              </w:rPr>
              <w:t>حالة</w:t>
            </w:r>
            <w:r w:rsidR="00A34C2D" w:rsidRPr="00A34C2D">
              <w:rPr>
                <w:rFonts w:hint="cs"/>
                <w:b/>
                <w:bCs/>
                <w:rtl/>
              </w:rPr>
              <w:t xml:space="preserve"> </w:t>
            </w:r>
            <w:proofErr w:type="gramStart"/>
            <w:r w:rsidRPr="00A34C2D">
              <w:rPr>
                <w:rFonts w:hint="cs"/>
                <w:b/>
                <w:bCs/>
                <w:rtl/>
              </w:rPr>
              <w:t xml:space="preserve">التوصيات </w:t>
            </w:r>
            <w:r w:rsidRPr="00A34C2D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 xml:space="preserve"> </w:t>
            </w:r>
            <w:r w:rsidRPr="00A34C2D">
              <w:rPr>
                <w:b/>
                <w:bCs/>
                <w:lang w:val="en-GB" w:bidi="ar-EG"/>
              </w:rPr>
              <w:t>ITU</w:t>
            </w:r>
            <w:proofErr w:type="gramEnd"/>
            <w:r w:rsidRPr="00A34C2D">
              <w:rPr>
                <w:b/>
                <w:bCs/>
                <w:lang w:val="en-GB" w:bidi="ar-EG"/>
              </w:rPr>
              <w:t>-T X.1332 (X.sgsec-3)</w:t>
            </w:r>
            <w:r w:rsidRPr="00A34C2D">
              <w:rPr>
                <w:rFonts w:hint="cs"/>
                <w:b/>
                <w:bCs/>
                <w:rtl/>
                <w:lang w:val="en-GB" w:bidi="ar-EG"/>
              </w:rPr>
              <w:t>و</w:t>
            </w:r>
            <w:r w:rsidRPr="00A34C2D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 xml:space="preserve"> </w:t>
            </w:r>
            <w:r w:rsidRPr="00A34C2D">
              <w:rPr>
                <w:b/>
                <w:bCs/>
                <w:lang w:val="en-GB" w:bidi="ar-EG"/>
              </w:rPr>
              <w:t>X.1365 (</w:t>
            </w:r>
            <w:proofErr w:type="spellStart"/>
            <w:r w:rsidRPr="00A34C2D">
              <w:rPr>
                <w:b/>
                <w:bCs/>
                <w:lang w:val="en-GB" w:bidi="ar-EG"/>
              </w:rPr>
              <w:t>X.ibc-iot</w:t>
            </w:r>
            <w:proofErr w:type="spellEnd"/>
            <w:r w:rsidRPr="00A34C2D">
              <w:rPr>
                <w:b/>
                <w:bCs/>
                <w:lang w:val="en-GB" w:bidi="ar-EG"/>
              </w:rPr>
              <w:t>)</w:t>
            </w:r>
            <w:r w:rsidR="006F7888">
              <w:rPr>
                <w:rFonts w:hint="cs"/>
                <w:b/>
                <w:bCs/>
                <w:rtl/>
                <w:lang w:val="en-GB" w:bidi="ar-EG"/>
              </w:rPr>
              <w:t>و</w:t>
            </w:r>
            <w:r w:rsidRPr="00A34C2D">
              <w:rPr>
                <w:b/>
                <w:bCs/>
                <w:lang w:val="en-GB" w:bidi="ar-EG"/>
              </w:rPr>
              <w:t xml:space="preserve"> X.1372 (X.itssec-2)</w:t>
            </w:r>
            <w:r w:rsidRPr="00A34C2D">
              <w:rPr>
                <w:rFonts w:hint="cs"/>
                <w:b/>
                <w:bCs/>
                <w:rtl/>
                <w:lang w:val="en-GB" w:bidi="ar-EG"/>
              </w:rPr>
              <w:t xml:space="preserve"> و</w:t>
            </w:r>
            <w:r w:rsidRPr="00A34C2D">
              <w:rPr>
                <w:b/>
                <w:bCs/>
                <w:lang w:val="en-GB" w:bidi="ar-EG"/>
              </w:rPr>
              <w:t>X.1604 (</w:t>
            </w:r>
            <w:proofErr w:type="spellStart"/>
            <w:r w:rsidRPr="00A34C2D">
              <w:rPr>
                <w:b/>
                <w:bCs/>
                <w:lang w:val="en-GB" w:bidi="ar-EG"/>
              </w:rPr>
              <w:t>X.SRNaaS</w:t>
            </w:r>
            <w:proofErr w:type="spellEnd"/>
            <w:r w:rsidRPr="00A34C2D">
              <w:rPr>
                <w:b/>
                <w:bCs/>
                <w:lang w:val="en-GB" w:bidi="ar-EG"/>
              </w:rPr>
              <w:t>)</w:t>
            </w:r>
            <w:r w:rsidRPr="00A34C2D">
              <w:rPr>
                <w:rFonts w:hint="cs"/>
                <w:b/>
                <w:bCs/>
                <w:rtl/>
                <w:lang w:val="en-GB" w:bidi="ar-EG"/>
              </w:rPr>
              <w:t xml:space="preserve"> و</w:t>
            </w:r>
            <w:r w:rsidRPr="00A34C2D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 xml:space="preserve"> </w:t>
            </w:r>
            <w:r w:rsidRPr="00A34C2D">
              <w:rPr>
                <w:b/>
                <w:bCs/>
                <w:lang w:val="en-GB" w:bidi="ar-EG"/>
              </w:rPr>
              <w:t>X.1605 (</w:t>
            </w:r>
            <w:proofErr w:type="spellStart"/>
            <w:r w:rsidRPr="00A34C2D">
              <w:rPr>
                <w:b/>
                <w:bCs/>
                <w:lang w:val="en-GB" w:bidi="ar-EG"/>
              </w:rPr>
              <w:t>X.SRIaaS</w:t>
            </w:r>
            <w:proofErr w:type="spellEnd"/>
            <w:r w:rsidRPr="00A34C2D">
              <w:rPr>
                <w:b/>
                <w:bCs/>
                <w:lang w:val="en-GB" w:bidi="ar-EG"/>
              </w:rPr>
              <w:t>)</w:t>
            </w:r>
            <w:r w:rsidRPr="00A34C2D">
              <w:rPr>
                <w:rFonts w:hint="cs"/>
                <w:b/>
                <w:bCs/>
                <w:rtl/>
                <w:lang w:bidi="ar-EG"/>
              </w:rPr>
              <w:t>و</w:t>
            </w:r>
            <w:r w:rsidRPr="00A34C2D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 xml:space="preserve"> </w:t>
            </w:r>
            <w:r w:rsidRPr="00A34C2D">
              <w:rPr>
                <w:b/>
                <w:bCs/>
                <w:lang w:val="en-GB" w:bidi="ar-EG"/>
              </w:rPr>
              <w:t>X.1363 (X.iotsec-3)</w:t>
            </w:r>
            <w:r w:rsidRPr="00A34C2D">
              <w:rPr>
                <w:rFonts w:hint="cs"/>
                <w:b/>
                <w:bCs/>
                <w:rtl/>
                <w:lang w:val="en-GB" w:bidi="ar-EG"/>
              </w:rPr>
              <w:t>و</w:t>
            </w:r>
            <w:r w:rsidRPr="00A34C2D">
              <w:rPr>
                <w:rFonts w:asciiTheme="minorHAnsi" w:eastAsiaTheme="minorHAnsi" w:hAnsiTheme="minorHAnsi" w:cstheme="minorBidi"/>
                <w:b/>
                <w:bCs/>
                <w:lang w:val="en-GB" w:eastAsia="en-US"/>
              </w:rPr>
              <w:t xml:space="preserve"> </w:t>
            </w:r>
            <w:r w:rsidRPr="00A34C2D">
              <w:rPr>
                <w:b/>
                <w:bCs/>
                <w:lang w:val="en-GB" w:bidi="ar-EG"/>
              </w:rPr>
              <w:t>X.1364 (</w:t>
            </w:r>
            <w:proofErr w:type="spellStart"/>
            <w:r w:rsidRPr="00A34C2D">
              <w:rPr>
                <w:b/>
                <w:bCs/>
                <w:lang w:val="en-GB" w:bidi="ar-EG"/>
              </w:rPr>
              <w:t>X.nb</w:t>
            </w:r>
            <w:r w:rsidRPr="00A34C2D">
              <w:rPr>
                <w:b/>
                <w:bCs/>
                <w:lang w:val="en-GB" w:bidi="ar-EG"/>
              </w:rPr>
              <w:noBreakHyphen/>
              <w:t>iot</w:t>
            </w:r>
            <w:proofErr w:type="spellEnd"/>
            <w:r w:rsidRPr="00A34C2D">
              <w:rPr>
                <w:b/>
                <w:bCs/>
                <w:lang w:val="en-GB" w:bidi="ar-EG"/>
              </w:rPr>
              <w:t>)</w:t>
            </w:r>
            <w:r w:rsidR="00A34C2D" w:rsidRPr="00A34C2D">
              <w:rPr>
                <w:rFonts w:hint="cs"/>
                <w:b/>
                <w:bCs/>
                <w:rtl/>
                <w:lang w:val="en-GB" w:bidi="ar-EG"/>
              </w:rPr>
              <w:t xml:space="preserve"> </w:t>
            </w:r>
            <w:r w:rsidRPr="00A34C2D">
              <w:rPr>
                <w:rFonts w:hint="cs"/>
                <w:b/>
                <w:bCs/>
                <w:rtl/>
                <w:lang w:val="en-GB" w:bidi="ar-EG"/>
              </w:rPr>
              <w:t>و</w:t>
            </w:r>
            <w:r w:rsidRPr="00A34C2D">
              <w:rPr>
                <w:b/>
                <w:bCs/>
                <w:lang w:val="en-GB" w:bidi="ar-EG"/>
              </w:rPr>
              <w:t>X.1371 (</w:t>
            </w:r>
            <w:proofErr w:type="spellStart"/>
            <w:r w:rsidRPr="00A34C2D">
              <w:rPr>
                <w:b/>
                <w:bCs/>
                <w:lang w:val="en-GB" w:bidi="ar-EG"/>
              </w:rPr>
              <w:t>X.stcv</w:t>
            </w:r>
            <w:proofErr w:type="spellEnd"/>
            <w:r w:rsidRPr="00A34C2D">
              <w:rPr>
                <w:b/>
                <w:bCs/>
                <w:lang w:val="en-GB" w:bidi="ar-EG"/>
              </w:rPr>
              <w:t>)</w:t>
            </w:r>
            <w:r w:rsidRPr="00A34C2D">
              <w:rPr>
                <w:rFonts w:hint="cs"/>
                <w:b/>
                <w:bCs/>
                <w:rtl/>
                <w:lang w:bidi="ar-EG"/>
              </w:rPr>
              <w:t xml:space="preserve"> بعد اجتماع لجنة الدراسات </w:t>
            </w:r>
            <w:r w:rsidRPr="00A34C2D">
              <w:rPr>
                <w:b/>
                <w:bCs/>
                <w:lang w:bidi="ar-EG"/>
              </w:rPr>
              <w:t>17</w:t>
            </w:r>
            <w:r w:rsidRPr="00A34C2D">
              <w:rPr>
                <w:rFonts w:hint="cs"/>
                <w:b/>
                <w:bCs/>
                <w:rtl/>
                <w:lang w:bidi="ar-EG"/>
              </w:rPr>
              <w:t xml:space="preserve"> لقطاع تقييس الاتصالات (اجتماع افتراضي، </w:t>
            </w:r>
            <w:r w:rsidRPr="00A34C2D">
              <w:rPr>
                <w:b/>
                <w:bCs/>
                <w:lang w:bidi="ar-EG"/>
              </w:rPr>
              <w:t>26</w:t>
            </w:r>
            <w:r w:rsidR="00A34C2D" w:rsidRPr="00A34C2D">
              <w:rPr>
                <w:b/>
                <w:bCs/>
                <w:lang w:bidi="ar-EG"/>
              </w:rPr>
              <w:noBreakHyphen/>
            </w:r>
            <w:r w:rsidRPr="00A34C2D">
              <w:rPr>
                <w:b/>
                <w:bCs/>
                <w:lang w:bidi="ar-EG"/>
              </w:rPr>
              <w:t>17</w:t>
            </w:r>
            <w:r w:rsidRPr="00A34C2D">
              <w:rPr>
                <w:rFonts w:hint="eastAsia"/>
                <w:b/>
                <w:bCs/>
                <w:rtl/>
                <w:lang w:bidi="ar-EG"/>
              </w:rPr>
              <w:t> </w:t>
            </w:r>
            <w:r w:rsidRPr="00A34C2D">
              <w:rPr>
                <w:rFonts w:hint="cs"/>
                <w:b/>
                <w:bCs/>
                <w:rtl/>
                <w:lang w:bidi="ar-EG"/>
              </w:rPr>
              <w:t xml:space="preserve">مارس </w:t>
            </w:r>
            <w:r w:rsidRPr="00A34C2D">
              <w:rPr>
                <w:b/>
                <w:bCs/>
                <w:lang w:bidi="ar-EG"/>
              </w:rPr>
              <w:t>2020</w:t>
            </w:r>
            <w:r w:rsidRPr="00A34C2D">
              <w:rPr>
                <w:rFonts w:hint="cs"/>
                <w:b/>
                <w:bCs/>
                <w:rtl/>
                <w:lang w:bidi="ar-EG"/>
              </w:rPr>
              <w:t>)</w:t>
            </w:r>
          </w:p>
        </w:tc>
      </w:tr>
    </w:tbl>
    <w:p w14:paraId="1D70C06C" w14:textId="77777777" w:rsidR="00D517B2" w:rsidRPr="00D517B2" w:rsidRDefault="00D517B2" w:rsidP="00A34C2D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0992BD03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5D69E465" w14:textId="607A9DC7" w:rsidR="00D517B2" w:rsidRDefault="00E26443" w:rsidP="00E26443">
      <w:pPr>
        <w:spacing w:after="120"/>
        <w:rPr>
          <w:rtl/>
          <w:lang w:bidi="ar-EG"/>
        </w:rPr>
      </w:pPr>
      <w:r>
        <w:t>1</w:t>
      </w:r>
      <w:r>
        <w:rPr>
          <w:rtl/>
          <w:lang w:bidi="ar-EG"/>
        </w:rPr>
        <w:tab/>
      </w:r>
      <w:r w:rsidR="000C7A32" w:rsidRPr="00403BCD">
        <w:rPr>
          <w:rFonts w:hint="cs"/>
          <w:rtl/>
        </w:rPr>
        <w:t xml:space="preserve">إلحاقاً </w:t>
      </w:r>
      <w:hyperlink r:id="rId10" w:history="1">
        <w:r w:rsidR="000C7A32" w:rsidRPr="00403BCD">
          <w:rPr>
            <w:rStyle w:val="Hyperlink"/>
            <w:rFonts w:hint="cs"/>
            <w:rtl/>
            <w:lang w:bidi="ar-SY"/>
          </w:rPr>
          <w:t>بالرسالة المعممة</w:t>
        </w:r>
        <w:r w:rsidR="000C7A32" w:rsidRPr="00403BCD">
          <w:rPr>
            <w:rStyle w:val="Hyperlink"/>
            <w:rFonts w:hint="cs"/>
            <w:rtl/>
            <w:lang w:bidi="ar-EG"/>
          </w:rPr>
          <w:t xml:space="preserve"> </w:t>
        </w:r>
        <w:r w:rsidR="000C7A32" w:rsidRPr="00403BCD">
          <w:rPr>
            <w:rStyle w:val="Hyperlink"/>
            <w:lang w:bidi="ar-EG"/>
          </w:rPr>
          <w:t>195</w:t>
        </w:r>
        <w:r w:rsidR="000C7A32" w:rsidRPr="00403BCD">
          <w:rPr>
            <w:rStyle w:val="Hyperlink"/>
            <w:rFonts w:hint="cs"/>
            <w:rtl/>
          </w:rPr>
          <w:t xml:space="preserve"> لمكتب تقييس الاتصالات</w:t>
        </w:r>
      </w:hyperlink>
      <w:r w:rsidR="000C7A32" w:rsidRPr="00403BCD">
        <w:rPr>
          <w:rFonts w:hint="cs"/>
          <w:rtl/>
        </w:rPr>
        <w:t xml:space="preserve"> المؤرخة </w:t>
      </w:r>
      <w:r w:rsidR="000C7A32" w:rsidRPr="00403BCD">
        <w:rPr>
          <w:lang w:bidi="ar-EG"/>
        </w:rPr>
        <w:t>29</w:t>
      </w:r>
      <w:r w:rsidR="000C7A32" w:rsidRPr="00403BCD">
        <w:rPr>
          <w:rFonts w:hint="eastAsia"/>
          <w:rtl/>
        </w:rPr>
        <w:t> </w:t>
      </w:r>
      <w:r w:rsidR="000C7A32" w:rsidRPr="00403BCD">
        <w:rPr>
          <w:rFonts w:hint="cs"/>
          <w:rtl/>
        </w:rPr>
        <w:t>نوفمبر</w:t>
      </w:r>
      <w:r w:rsidR="000C7A32" w:rsidRPr="00403BCD">
        <w:rPr>
          <w:rFonts w:hint="eastAsia"/>
          <w:rtl/>
          <w:lang w:bidi="ar-EG"/>
        </w:rPr>
        <w:t> </w:t>
      </w:r>
      <w:r w:rsidR="000C7A32" w:rsidRPr="00403BCD">
        <w:rPr>
          <w:lang w:bidi="ar-EG"/>
        </w:rPr>
        <w:t>2019</w:t>
      </w:r>
      <w:r w:rsidR="000C7A32" w:rsidRPr="00403BCD">
        <w:rPr>
          <w:rFonts w:hint="cs"/>
          <w:rtl/>
          <w:lang w:bidi="ar-EG"/>
        </w:rPr>
        <w:t xml:space="preserve"> و</w:t>
      </w:r>
      <w:hyperlink r:id="rId11" w:history="1">
        <w:r w:rsidR="000C7A32" w:rsidRPr="00403BCD">
          <w:rPr>
            <w:rStyle w:val="Hyperlink"/>
            <w:rFonts w:hint="cs"/>
            <w:rtl/>
            <w:lang w:bidi="ar-EG"/>
          </w:rPr>
          <w:t xml:space="preserve">الرسالة المعممة </w:t>
        </w:r>
        <w:r w:rsidR="000C7A32" w:rsidRPr="00403BCD">
          <w:rPr>
            <w:rStyle w:val="Hyperlink"/>
            <w:lang w:bidi="ar-EG"/>
          </w:rPr>
          <w:t>219</w:t>
        </w:r>
        <w:r w:rsidR="000C7A32" w:rsidRPr="00403BCD">
          <w:rPr>
            <w:rStyle w:val="Hyperlink"/>
            <w:rFonts w:hint="cs"/>
            <w:rtl/>
            <w:lang w:bidi="ar-EG"/>
          </w:rPr>
          <w:t xml:space="preserve"> لمكتب تقييس الاتصالات</w:t>
        </w:r>
      </w:hyperlink>
      <w:r w:rsidR="005D788D">
        <w:rPr>
          <w:rFonts w:hint="cs"/>
          <w:rtl/>
          <w:lang w:bidi="ar-EG"/>
        </w:rPr>
        <w:t xml:space="preserve"> بتاريخ </w:t>
      </w:r>
      <w:r w:rsidR="005D788D">
        <w:rPr>
          <w:lang w:bidi="ar-EG"/>
        </w:rPr>
        <w:t>18</w:t>
      </w:r>
      <w:r w:rsidR="005D788D">
        <w:rPr>
          <w:rFonts w:hint="cs"/>
          <w:rtl/>
          <w:lang w:bidi="ar-EG"/>
        </w:rPr>
        <w:t xml:space="preserve"> ديسمبر </w:t>
      </w:r>
      <w:r w:rsidR="005D788D">
        <w:rPr>
          <w:lang w:bidi="ar-EG"/>
        </w:rPr>
        <w:t>2019</w:t>
      </w:r>
      <w:r w:rsidR="000C7A32" w:rsidRPr="00AA4C73">
        <w:rPr>
          <w:rFonts w:hint="cs"/>
          <w:rtl/>
          <w:lang w:bidi="ar-EG"/>
        </w:rPr>
        <w:t>، وعملاً بالفقرة</w:t>
      </w:r>
      <w:r w:rsidR="000C7A32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5.9</w:t>
      </w:r>
      <w:r w:rsidR="000C7A32" w:rsidRPr="00AA4C73">
        <w:rPr>
          <w:rFonts w:hint="cs"/>
          <w:rtl/>
          <w:lang w:bidi="ar-EG"/>
        </w:rPr>
        <w:t xml:space="preserve"> من القرار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1</w:t>
      </w:r>
      <w:r w:rsidR="000C7A32" w:rsidRPr="00AA4C73">
        <w:rPr>
          <w:rFonts w:hint="cs"/>
          <w:rtl/>
          <w:lang w:bidi="ar-EG"/>
        </w:rPr>
        <w:t xml:space="preserve"> (المراجَع في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rFonts w:hint="cs"/>
          <w:rtl/>
          <w:lang w:bidi="ar-EG"/>
        </w:rPr>
        <w:t>الحمامات،</w:t>
      </w:r>
      <w:r w:rsidR="000C7A32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2016</w:t>
      </w:r>
      <w:r w:rsidR="000C7A32" w:rsidRPr="00AA4C73">
        <w:rPr>
          <w:rFonts w:hint="cs"/>
          <w:rtl/>
          <w:lang w:bidi="ar-EG"/>
        </w:rPr>
        <w:t>)، أود إفادتكم بأن لجنة الدراسات</w:t>
      </w:r>
      <w:r w:rsidR="000C7A32">
        <w:rPr>
          <w:rFonts w:hint="eastAsia"/>
          <w:rtl/>
          <w:lang w:bidi="ar-EG"/>
        </w:rPr>
        <w:t> </w:t>
      </w:r>
      <w:r w:rsidR="000C7A32" w:rsidRPr="00AA4C73">
        <w:rPr>
          <w:lang w:bidi="ar-EG"/>
        </w:rPr>
        <w:t>17</w:t>
      </w:r>
      <w:r w:rsidR="000C7A32" w:rsidRPr="00AA4C73">
        <w:rPr>
          <w:rFonts w:hint="cs"/>
          <w:rtl/>
          <w:lang w:bidi="ar-EG"/>
        </w:rPr>
        <w:t xml:space="preserve"> لقطاع تقييس الاتصالات قد توصلت إلى القرارات التالية في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rFonts w:hint="cs"/>
          <w:rtl/>
          <w:lang w:bidi="ar-EG"/>
        </w:rPr>
        <w:t>جلستها العامة التي عُقدت في</w:t>
      </w:r>
      <w:r w:rsidR="000C7A32" w:rsidRPr="00AA4C73">
        <w:rPr>
          <w:rFonts w:hint="eastAsia"/>
          <w:rtl/>
          <w:lang w:bidi="ar-EG"/>
        </w:rPr>
        <w:t> </w:t>
      </w:r>
      <w:r w:rsidR="005D788D">
        <w:rPr>
          <w:lang w:bidi="ar-EG"/>
        </w:rPr>
        <w:t>26</w:t>
      </w:r>
      <w:r w:rsidR="000C7A32" w:rsidRPr="00AA4C73">
        <w:rPr>
          <w:rFonts w:hint="eastAsia"/>
          <w:rtl/>
          <w:lang w:bidi="ar-EG"/>
        </w:rPr>
        <w:t> </w:t>
      </w:r>
      <w:r w:rsidR="005D788D">
        <w:rPr>
          <w:rFonts w:hint="cs"/>
          <w:rtl/>
          <w:lang w:bidi="ar-EG"/>
        </w:rPr>
        <w:t>مارس</w:t>
      </w:r>
      <w:r w:rsidR="000C7A32" w:rsidRPr="00AA4C73">
        <w:rPr>
          <w:rFonts w:hint="eastAsia"/>
          <w:rtl/>
          <w:lang w:bidi="ar-EG"/>
        </w:rPr>
        <w:t> </w:t>
      </w:r>
      <w:r w:rsidR="005D788D">
        <w:rPr>
          <w:lang w:bidi="ar-EG"/>
        </w:rPr>
        <w:t>2020</w:t>
      </w:r>
      <w:r w:rsidR="000C7A32" w:rsidRPr="00AA4C73">
        <w:rPr>
          <w:rFonts w:hint="cs"/>
          <w:rtl/>
          <w:lang w:bidi="ar-EG"/>
        </w:rPr>
        <w:t xml:space="preserve"> فيما</w:t>
      </w:r>
      <w:r w:rsidR="000C7A32" w:rsidRPr="00AA4C73">
        <w:rPr>
          <w:rFonts w:hint="eastAsia"/>
          <w:rtl/>
          <w:lang w:bidi="ar-EG"/>
        </w:rPr>
        <w:t> </w:t>
      </w:r>
      <w:r w:rsidR="000C7A32" w:rsidRPr="00AA4C73">
        <w:rPr>
          <w:rFonts w:hint="cs"/>
          <w:rtl/>
          <w:lang w:bidi="ar-EG"/>
        </w:rPr>
        <w:t xml:space="preserve">يتعلق بمشاريع </w:t>
      </w:r>
      <w:r w:rsidR="000C7A32" w:rsidRPr="00AA4C73">
        <w:rPr>
          <w:rFonts w:hint="cs"/>
          <w:rtl/>
        </w:rPr>
        <w:t xml:space="preserve">نصوص </w:t>
      </w:r>
      <w:r w:rsidR="000C7A32" w:rsidRPr="00AA4C73">
        <w:rPr>
          <w:rFonts w:hint="cs"/>
          <w:rtl/>
          <w:lang w:bidi="ar-EG"/>
        </w:rPr>
        <w:t>توصيات قطاع تقييس الاتصالات المبينة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6173"/>
        <w:gridCol w:w="1801"/>
      </w:tblGrid>
      <w:tr w:rsidR="00E26443" w:rsidRPr="002672F4" w14:paraId="72DE4150" w14:textId="77777777" w:rsidTr="002672F4">
        <w:trPr>
          <w:cantSplit/>
          <w:tblHeader/>
          <w:jc w:val="center"/>
        </w:trPr>
        <w:tc>
          <w:tcPr>
            <w:tcW w:w="1689" w:type="dxa"/>
            <w:vAlign w:val="center"/>
          </w:tcPr>
          <w:p w14:paraId="59BA85E3" w14:textId="4381639F" w:rsidR="00E26443" w:rsidRPr="002672F4" w:rsidRDefault="002672F4" w:rsidP="000E1965">
            <w:pPr>
              <w:pStyle w:val="Tablehead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2672F4">
              <w:rPr>
                <w:rFonts w:ascii="Dubai" w:hAnsi="Dubai" w:cs="Dubai" w:hint="cs"/>
                <w:b w:val="0"/>
                <w:bCs/>
                <w:sz w:val="22"/>
                <w:szCs w:val="22"/>
                <w:rtl/>
              </w:rPr>
              <w:t>الرقم</w:t>
            </w:r>
          </w:p>
        </w:tc>
        <w:tc>
          <w:tcPr>
            <w:tcW w:w="6626" w:type="dxa"/>
            <w:vAlign w:val="center"/>
          </w:tcPr>
          <w:p w14:paraId="63AF29AF" w14:textId="726083AE" w:rsidR="00E26443" w:rsidRPr="002672F4" w:rsidRDefault="002672F4" w:rsidP="00050CD5">
            <w:pPr>
              <w:pStyle w:val="Tablehead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2672F4">
              <w:rPr>
                <w:rFonts w:ascii="Dubai" w:hAnsi="Dubai" w:cs="Dubai" w:hint="cs"/>
                <w:b w:val="0"/>
                <w:bCs/>
                <w:sz w:val="22"/>
                <w:szCs w:val="22"/>
                <w:rtl/>
              </w:rPr>
              <w:t>العنوان</w:t>
            </w:r>
          </w:p>
        </w:tc>
        <w:tc>
          <w:tcPr>
            <w:tcW w:w="1884" w:type="dxa"/>
            <w:vAlign w:val="center"/>
          </w:tcPr>
          <w:p w14:paraId="51DEFEB5" w14:textId="36A6B169" w:rsidR="00E26443" w:rsidRPr="002672F4" w:rsidRDefault="002672F4" w:rsidP="000E1965">
            <w:pPr>
              <w:pStyle w:val="Tablehead0"/>
              <w:bidi/>
              <w:spacing w:before="60" w:after="60" w:line="300" w:lineRule="exact"/>
              <w:rPr>
                <w:rFonts w:ascii="Dubai" w:hAnsi="Dubai" w:cs="Dubai"/>
                <w:b w:val="0"/>
                <w:bCs/>
                <w:sz w:val="22"/>
                <w:szCs w:val="22"/>
              </w:rPr>
            </w:pPr>
            <w:r w:rsidRPr="002672F4">
              <w:rPr>
                <w:rFonts w:ascii="Dubai" w:hAnsi="Dubai" w:cs="Dubai" w:hint="cs"/>
                <w:b w:val="0"/>
                <w:bCs/>
                <w:sz w:val="22"/>
                <w:szCs w:val="22"/>
                <w:rtl/>
              </w:rPr>
              <w:t>القرار</w:t>
            </w:r>
          </w:p>
        </w:tc>
      </w:tr>
      <w:tr w:rsidR="00E26443" w:rsidRPr="00DD40C5" w14:paraId="5916252B" w14:textId="77777777" w:rsidTr="002672F4">
        <w:trPr>
          <w:cantSplit/>
          <w:jc w:val="center"/>
        </w:trPr>
        <w:tc>
          <w:tcPr>
            <w:tcW w:w="1689" w:type="dxa"/>
            <w:vAlign w:val="center"/>
          </w:tcPr>
          <w:p w14:paraId="537C98EA" w14:textId="77777777" w:rsidR="00E26443" w:rsidRPr="002672F4" w:rsidRDefault="00E26443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ITU-T X.1332</w:t>
            </w: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br/>
              <w:t>(X.sgsec-3)</w:t>
            </w:r>
          </w:p>
        </w:tc>
        <w:tc>
          <w:tcPr>
            <w:tcW w:w="6626" w:type="dxa"/>
            <w:vAlign w:val="center"/>
          </w:tcPr>
          <w:p w14:paraId="6E0336C6" w14:textId="4930A8CF" w:rsidR="00AC4915" w:rsidRPr="00DD40C5" w:rsidRDefault="003840CF" w:rsidP="00AC4915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spacing w:val="-4"/>
                <w:sz w:val="22"/>
                <w:szCs w:val="22"/>
                <w:lang w:val="fr-CH"/>
              </w:rPr>
            </w:pPr>
            <w:r w:rsidRPr="003840CF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>مبادئ توجيهية</w:t>
            </w:r>
            <w:r w:rsidR="00870BE5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 xml:space="preserve"> بشأن الأمن من أجل</w:t>
            </w:r>
            <w:r w:rsidRPr="003840CF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 xml:space="preserve"> خدمات القياس الذكية في الشبكات الذكية</w:t>
            </w:r>
          </w:p>
        </w:tc>
        <w:tc>
          <w:tcPr>
            <w:tcW w:w="1884" w:type="dxa"/>
            <w:vAlign w:val="center"/>
          </w:tcPr>
          <w:p w14:paraId="5344C394" w14:textId="77777777" w:rsidR="00E26443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عليها،</w:t>
            </w:r>
          </w:p>
          <w:p w14:paraId="0C594E1B" w14:textId="170708C3" w:rsidR="002672F4" w:rsidRP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rtl/>
                <w:lang w:val="en-US" w:bidi="ar-EG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EG"/>
              </w:rPr>
              <w:t>صيغة سابقة للنشر</w:t>
            </w:r>
          </w:p>
        </w:tc>
      </w:tr>
      <w:tr w:rsidR="00E26443" w:rsidRPr="002672F4" w14:paraId="60BE6885" w14:textId="77777777" w:rsidTr="002672F4">
        <w:trPr>
          <w:cantSplit/>
          <w:jc w:val="center"/>
        </w:trPr>
        <w:tc>
          <w:tcPr>
            <w:tcW w:w="1689" w:type="dxa"/>
            <w:vAlign w:val="center"/>
          </w:tcPr>
          <w:p w14:paraId="419CC7C6" w14:textId="77777777" w:rsidR="00E26443" w:rsidRPr="002672F4" w:rsidRDefault="00E26443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ITU-T X.1365</w:t>
            </w: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br/>
              <w:t>(</w:t>
            </w:r>
            <w:proofErr w:type="spellStart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X.ibc-iot</w:t>
            </w:r>
            <w:proofErr w:type="spellEnd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)</w:t>
            </w:r>
          </w:p>
        </w:tc>
        <w:tc>
          <w:tcPr>
            <w:tcW w:w="6626" w:type="dxa"/>
            <w:vAlign w:val="center"/>
          </w:tcPr>
          <w:p w14:paraId="36A8D903" w14:textId="6BF61E5F" w:rsidR="00AC4915" w:rsidRPr="00AC4915" w:rsidRDefault="003840CF" w:rsidP="00AC4915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spacing w:val="-4"/>
                <w:sz w:val="22"/>
                <w:szCs w:val="22"/>
                <w:rtl/>
                <w:lang w:val="en-US"/>
              </w:rPr>
            </w:pPr>
            <w:r w:rsidRPr="003840CF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 xml:space="preserve">منهجية </w:t>
            </w:r>
            <w:r w:rsidR="00870BE5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>بشأن الأمن</w:t>
            </w:r>
            <w:r w:rsidRPr="003840CF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 xml:space="preserve"> لاستخدام التجفير القائم على الهوية دعماً لخدمات إنترنت الأشياء المقدمة عبر شبكات الاتصالات</w:t>
            </w:r>
          </w:p>
        </w:tc>
        <w:tc>
          <w:tcPr>
            <w:tcW w:w="1884" w:type="dxa"/>
            <w:vAlign w:val="center"/>
          </w:tcPr>
          <w:p w14:paraId="53A5EB4E" w14:textId="77777777" w:rsid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عليها،</w:t>
            </w:r>
          </w:p>
          <w:p w14:paraId="069A1904" w14:textId="1F40EB20" w:rsidR="00E26443" w:rsidRP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bidi="ar-EG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EG"/>
              </w:rPr>
              <w:t>صيغة سابقة للنشر</w:t>
            </w:r>
          </w:p>
        </w:tc>
      </w:tr>
      <w:tr w:rsidR="00E26443" w:rsidRPr="002672F4" w14:paraId="01330C7A" w14:textId="77777777" w:rsidTr="002672F4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ADC2" w14:textId="77777777" w:rsidR="00E26443" w:rsidRPr="002672F4" w:rsidRDefault="00E26443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ITU-T X.1372</w:t>
            </w: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br/>
              <w:t>(X.itssec-2)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8D1E" w14:textId="5BF82423" w:rsidR="00AC4915" w:rsidRPr="00AC4915" w:rsidRDefault="003840CF" w:rsidP="00AC4915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spacing w:val="-4"/>
                <w:sz w:val="22"/>
                <w:szCs w:val="22"/>
                <w:rtl/>
                <w:lang w:val="en-US"/>
              </w:rPr>
            </w:pPr>
            <w:r w:rsidRPr="003840CF">
              <w:rPr>
                <w:rFonts w:ascii="Dubai" w:hAnsi="Dubai" w:cs="Dubai" w:hint="cs"/>
                <w:b/>
                <w:sz w:val="22"/>
                <w:szCs w:val="22"/>
                <w:rtl/>
              </w:rPr>
              <w:t xml:space="preserve">مبادئ توجيهية بشأن أمن الاتصالات من مركبة إلى كل شيء </w:t>
            </w:r>
            <w:r w:rsidRPr="00DD40C5">
              <w:rPr>
                <w:rFonts w:ascii="Dubai" w:hAnsi="Dubai" w:cs="Dubai"/>
                <w:bCs/>
                <w:sz w:val="22"/>
                <w:szCs w:val="22"/>
                <w:lang w:val="fr-CH"/>
              </w:rPr>
              <w:t>(V2X)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B9B5D" w14:textId="77777777" w:rsid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عليها،</w:t>
            </w:r>
          </w:p>
          <w:p w14:paraId="77CCA717" w14:textId="4A7416C0" w:rsidR="00E26443" w:rsidRP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EG"/>
              </w:rPr>
              <w:t>صيغة سابقة للنشر</w:t>
            </w:r>
          </w:p>
        </w:tc>
      </w:tr>
      <w:tr w:rsidR="00E26443" w:rsidRPr="00DD40C5" w14:paraId="2B19B5AA" w14:textId="77777777" w:rsidTr="002672F4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662F" w14:textId="77777777" w:rsidR="00E26443" w:rsidRPr="002672F4" w:rsidRDefault="00E26443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ITU-T X.1604</w:t>
            </w: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br/>
              <w:t>(</w:t>
            </w:r>
            <w:proofErr w:type="spellStart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X.SRNaaS</w:t>
            </w:r>
            <w:proofErr w:type="spellEnd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E5F4" w14:textId="598F35D8" w:rsidR="00AC4915" w:rsidRPr="00DD40C5" w:rsidRDefault="0016532E" w:rsidP="00AC4915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spacing w:val="-4"/>
                <w:sz w:val="22"/>
                <w:szCs w:val="22"/>
                <w:lang w:val="fr-CH"/>
              </w:rPr>
            </w:pPr>
            <w:r w:rsidRPr="0016532E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 xml:space="preserve">المتطلبات الأمنية للشبكة كخدمة </w:t>
            </w:r>
            <w:r w:rsidRPr="00DD40C5">
              <w:rPr>
                <w:rFonts w:ascii="Dubai" w:hAnsi="Dubai" w:cs="Dubai"/>
                <w:sz w:val="22"/>
                <w:szCs w:val="22"/>
                <w:lang w:val="fr-CH"/>
              </w:rPr>
              <w:t>(</w:t>
            </w:r>
            <w:proofErr w:type="spellStart"/>
            <w:r w:rsidRPr="00DD40C5">
              <w:rPr>
                <w:rFonts w:ascii="Dubai" w:hAnsi="Dubai" w:cs="Dubai"/>
                <w:sz w:val="22"/>
                <w:szCs w:val="22"/>
                <w:lang w:val="fr-CH"/>
              </w:rPr>
              <w:t>NaaS</w:t>
            </w:r>
            <w:proofErr w:type="spellEnd"/>
            <w:r w:rsidRPr="00DD40C5">
              <w:rPr>
                <w:rFonts w:ascii="Dubai" w:hAnsi="Dubai" w:cs="Dubai"/>
                <w:sz w:val="22"/>
                <w:szCs w:val="22"/>
                <w:lang w:val="fr-CH"/>
              </w:rPr>
              <w:t>)</w:t>
            </w:r>
            <w:r w:rsidRPr="0016532E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 xml:space="preserve"> في الحوسبة السحابية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B3C" w14:textId="77777777" w:rsid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عليها،</w:t>
            </w:r>
          </w:p>
          <w:p w14:paraId="5A708E8E" w14:textId="771AE1A7" w:rsidR="00E26443" w:rsidRPr="00DD40C5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EG"/>
              </w:rPr>
              <w:t>صيغة سابقة للنشر</w:t>
            </w:r>
          </w:p>
        </w:tc>
      </w:tr>
      <w:tr w:rsidR="00E26443" w:rsidRPr="00DD40C5" w14:paraId="27D5FC6A" w14:textId="77777777" w:rsidTr="002672F4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B1546" w14:textId="77777777" w:rsidR="00E26443" w:rsidRPr="002672F4" w:rsidRDefault="00E26443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ITU-T X.1605</w:t>
            </w: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X.SRIaaS</w:t>
            </w:r>
            <w:proofErr w:type="spellEnd"/>
            <w:proofErr w:type="gramEnd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E218" w14:textId="66118538" w:rsidR="00AC4915" w:rsidRPr="00DD40C5" w:rsidRDefault="0016532E" w:rsidP="00AC4915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spacing w:val="-4"/>
                <w:sz w:val="22"/>
                <w:szCs w:val="22"/>
                <w:lang w:val="fr-CH"/>
              </w:rPr>
            </w:pPr>
            <w:r w:rsidRPr="005457B7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US"/>
              </w:rPr>
              <w:t xml:space="preserve">المتطلبات الأمنية للبنية التحتية العمومية كخدمة </w:t>
            </w:r>
            <w:r w:rsidRPr="00DD40C5">
              <w:rPr>
                <w:rFonts w:ascii="Dubai" w:hAnsi="Dubai" w:cs="Dubai"/>
                <w:spacing w:val="-4"/>
                <w:sz w:val="22"/>
                <w:szCs w:val="22"/>
                <w:lang w:val="fr-CH"/>
              </w:rPr>
              <w:t>(IaaS)</w:t>
            </w:r>
            <w:r w:rsidRPr="005457B7">
              <w:rPr>
                <w:rFonts w:ascii="Dubai" w:hAnsi="Dubai" w:cs="Dubai" w:hint="cs"/>
                <w:spacing w:val="-4"/>
                <w:sz w:val="22"/>
                <w:szCs w:val="22"/>
                <w:rtl/>
                <w:lang w:val="en-US"/>
              </w:rPr>
              <w:t xml:space="preserve"> في الحوسبة السحابية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B89E" w14:textId="77777777" w:rsid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عليها،</w:t>
            </w:r>
          </w:p>
          <w:p w14:paraId="4B2D6705" w14:textId="0B4A6BC1" w:rsidR="00E26443" w:rsidRP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rtl/>
                <w:lang w:bidi="ar-EG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EG"/>
              </w:rPr>
              <w:t>صيغة سابقة للنشر</w:t>
            </w:r>
          </w:p>
        </w:tc>
      </w:tr>
      <w:tr w:rsidR="00E26443" w:rsidRPr="00DD40C5" w14:paraId="11D1296B" w14:textId="77777777" w:rsidTr="002672F4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40EE" w14:textId="77777777" w:rsidR="00E26443" w:rsidRPr="002672F4" w:rsidRDefault="00E26443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lastRenderedPageBreak/>
              <w:t>ITU-T X.1363</w:t>
            </w: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br/>
              <w:t>(</w:t>
            </w:r>
            <w:proofErr w:type="gramStart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X.iotsec</w:t>
            </w:r>
            <w:proofErr w:type="gramEnd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-3)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BCCE" w14:textId="4F7D883F" w:rsidR="00E26443" w:rsidRPr="00DD40C5" w:rsidRDefault="007E0A05" w:rsidP="00050CD5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b/>
                <w:sz w:val="22"/>
                <w:szCs w:val="22"/>
                <w:lang w:val="fr-CH"/>
              </w:rPr>
            </w:pPr>
            <w:r w:rsidRPr="005D23A8">
              <w:rPr>
                <w:rFonts w:ascii="Dubai" w:hAnsi="Dubai" w:cs="Dubai" w:hint="cs"/>
                <w:sz w:val="22"/>
                <w:szCs w:val="22"/>
                <w:rtl/>
              </w:rPr>
              <w:t>الإطار التقني لمعالجة ا</w:t>
            </w:r>
            <w:r w:rsidRPr="005D23A8">
              <w:rPr>
                <w:rFonts w:ascii="Dubai" w:hAnsi="Dubai" w:cs="Dubai"/>
                <w:sz w:val="22"/>
                <w:szCs w:val="22"/>
                <w:rtl/>
              </w:rPr>
              <w:t>لمعلومات القابلة للتعرف الشخصي</w:t>
            </w:r>
            <w:r w:rsidRPr="005D23A8">
              <w:rPr>
                <w:rFonts w:ascii="Dubai" w:hAnsi="Dubai" w:cs="Dubai" w:hint="cs"/>
                <w:sz w:val="22"/>
                <w:szCs w:val="22"/>
                <w:rtl/>
              </w:rPr>
              <w:t xml:space="preserve"> </w:t>
            </w:r>
            <w:r w:rsidRPr="00DD40C5">
              <w:rPr>
                <w:rFonts w:ascii="Dubai" w:hAnsi="Dubai" w:cs="Dubai"/>
                <w:sz w:val="22"/>
                <w:szCs w:val="22"/>
                <w:lang w:val="fr-CH"/>
              </w:rPr>
              <w:t>(PII)</w:t>
            </w:r>
            <w:r w:rsidRPr="005D23A8">
              <w:rPr>
                <w:rFonts w:ascii="Dubai" w:hAnsi="Dubai" w:cs="Dubai" w:hint="cs"/>
                <w:sz w:val="22"/>
                <w:szCs w:val="22"/>
                <w:rtl/>
              </w:rPr>
              <w:t xml:space="preserve"> في بيئة إنترنت الأشياء </w:t>
            </w:r>
            <w:r w:rsidRPr="00DD40C5">
              <w:rPr>
                <w:rFonts w:ascii="Dubai" w:hAnsi="Dubai" w:cs="Dubai"/>
                <w:sz w:val="22"/>
                <w:szCs w:val="22"/>
                <w:lang w:val="fr-CH"/>
              </w:rPr>
              <w:t>(IoT)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1C94" w14:textId="522FC4E4" w:rsidR="00E26443" w:rsidRPr="00DD40C5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pacing w:val="-14"/>
                <w:sz w:val="22"/>
                <w:szCs w:val="22"/>
                <w:lang w:val="fr-CH" w:bidi="ar-EG"/>
              </w:rPr>
            </w:pPr>
            <w:r w:rsidRPr="00BC50CB">
              <w:rPr>
                <w:rFonts w:ascii="Dubai" w:hAnsi="Dubai" w:cs="Dubai" w:hint="cs"/>
                <w:spacing w:val="-4"/>
                <w:sz w:val="22"/>
                <w:szCs w:val="22"/>
                <w:rtl/>
              </w:rPr>
              <w:t>تأجلت إلى الجلسة</w:t>
            </w:r>
            <w:r w:rsidRPr="002672F4">
              <w:rPr>
                <w:rFonts w:ascii="Dubai" w:hAnsi="Dubai" w:cs="Dubai" w:hint="cs"/>
                <w:spacing w:val="-14"/>
                <w:sz w:val="22"/>
                <w:szCs w:val="22"/>
                <w:rtl/>
              </w:rPr>
              <w:t xml:space="preserve"> العامة الإلكترونية في مايو</w:t>
            </w:r>
          </w:p>
        </w:tc>
      </w:tr>
      <w:tr w:rsidR="00E26443" w:rsidRPr="002672F4" w14:paraId="1B50630F" w14:textId="77777777" w:rsidTr="002672F4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A492" w14:textId="77777777" w:rsidR="00E26443" w:rsidRPr="002672F4" w:rsidRDefault="00E26443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ITU-T X.1364</w:t>
            </w: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br/>
              <w:t>(</w:t>
            </w:r>
            <w:proofErr w:type="spellStart"/>
            <w:proofErr w:type="gramStart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X.nb</w:t>
            </w:r>
            <w:proofErr w:type="gramEnd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-iot</w:t>
            </w:r>
            <w:proofErr w:type="spellEnd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3F72" w14:textId="5BAF5734" w:rsidR="00E26443" w:rsidRPr="007E0A05" w:rsidRDefault="007E0A05" w:rsidP="00050CD5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sz w:val="22"/>
                <w:szCs w:val="22"/>
                <w:rtl/>
              </w:rPr>
            </w:pPr>
            <w:r w:rsidRPr="007E0A05">
              <w:rPr>
                <w:rFonts w:ascii="Dubai" w:hAnsi="Dubai" w:cs="Dubai"/>
                <w:sz w:val="22"/>
                <w:szCs w:val="22"/>
                <w:rtl/>
                <w:lang w:val="en-US"/>
              </w:rPr>
              <w:t xml:space="preserve">المتطلبات الأمنية </w:t>
            </w:r>
            <w:r w:rsidRPr="007E0A05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>و</w:t>
            </w:r>
            <w:r w:rsidRPr="007E0A05">
              <w:rPr>
                <w:rFonts w:ascii="Dubai" w:hAnsi="Dubai" w:cs="Dubai"/>
                <w:sz w:val="22"/>
                <w:szCs w:val="22"/>
                <w:rtl/>
                <w:lang w:val="en-US"/>
              </w:rPr>
              <w:t xml:space="preserve">الإطار الأمني </w:t>
            </w:r>
            <w:r w:rsidRPr="007E0A05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>ل</w:t>
            </w:r>
            <w:r w:rsidRPr="007E0A05">
              <w:rPr>
                <w:rFonts w:ascii="Dubai" w:hAnsi="Dubai" w:cs="Dubai"/>
                <w:sz w:val="22"/>
                <w:szCs w:val="22"/>
                <w:rtl/>
                <w:lang w:val="en-US"/>
              </w:rPr>
              <w:t>إنترنت الأشياء</w:t>
            </w:r>
            <w:r w:rsidRPr="007E0A05">
              <w:rPr>
                <w:rFonts w:ascii="Dubai" w:hAnsi="Dubai" w:cs="Dubai" w:hint="cs"/>
                <w:sz w:val="22"/>
                <w:szCs w:val="22"/>
                <w:rtl/>
                <w:lang w:val="en-US"/>
              </w:rPr>
              <w:t xml:space="preserve"> ضيقة النطاق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84BF" w14:textId="77777777" w:rsid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rtl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</w:rPr>
              <w:t>تمت الموافقة عليها،</w:t>
            </w:r>
          </w:p>
          <w:p w14:paraId="2BCABA0E" w14:textId="60976761" w:rsidR="00E26443" w:rsidRPr="002672F4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</w:rPr>
            </w:pPr>
            <w:r>
              <w:rPr>
                <w:rFonts w:ascii="Dubai" w:hAnsi="Dubai" w:cs="Dubai" w:hint="cs"/>
                <w:sz w:val="22"/>
                <w:szCs w:val="22"/>
                <w:rtl/>
                <w:lang w:val="en-US" w:bidi="ar-EG"/>
              </w:rPr>
              <w:t>صيغة سابقة للنشر</w:t>
            </w:r>
          </w:p>
        </w:tc>
      </w:tr>
      <w:tr w:rsidR="00E26443" w:rsidRPr="00DD40C5" w14:paraId="6AB2CC45" w14:textId="77777777" w:rsidTr="002672F4">
        <w:trPr>
          <w:cantSplit/>
          <w:jc w:val="center"/>
        </w:trPr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439" w14:textId="77777777" w:rsidR="00E26443" w:rsidRPr="002672F4" w:rsidRDefault="00E26443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ITU-T X.1371</w:t>
            </w:r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br/>
              <w:t>(</w:t>
            </w:r>
            <w:proofErr w:type="spellStart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X.stcv</w:t>
            </w:r>
            <w:proofErr w:type="spellEnd"/>
            <w:r w:rsidRPr="002672F4">
              <w:rPr>
                <w:rFonts w:ascii="Dubai" w:hAnsi="Dubai" w:cs="Dubai"/>
                <w:sz w:val="22"/>
                <w:szCs w:val="22"/>
                <w:lang w:val="fr-CH"/>
              </w:rPr>
              <w:t>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FED60" w14:textId="6D668D81" w:rsidR="00E26443" w:rsidRPr="00DD40C5" w:rsidRDefault="007E0A05" w:rsidP="00050CD5">
            <w:pPr>
              <w:pStyle w:val="Tabletext"/>
              <w:bidi/>
              <w:spacing w:before="60" w:after="60" w:line="300" w:lineRule="exact"/>
              <w:jc w:val="both"/>
              <w:rPr>
                <w:rFonts w:ascii="Dubai" w:hAnsi="Dubai" w:cs="Dubai"/>
                <w:b/>
                <w:sz w:val="22"/>
                <w:szCs w:val="22"/>
                <w:lang w:val="fr-CH" w:bidi="ar-EG"/>
              </w:rPr>
            </w:pPr>
            <w:r w:rsidRPr="007E0A05">
              <w:rPr>
                <w:rFonts w:ascii="Dubai" w:hAnsi="Dubai" w:cs="Dubai" w:hint="cs"/>
                <w:b/>
                <w:sz w:val="22"/>
                <w:szCs w:val="22"/>
                <w:rtl/>
              </w:rPr>
              <w:t>التهديدات الأمنية التي تواجهها المركبات الموصولة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60A8" w14:textId="1825326C" w:rsidR="00E26443" w:rsidRPr="00DD40C5" w:rsidRDefault="002672F4" w:rsidP="000E1965">
            <w:pPr>
              <w:pStyle w:val="Tabletext"/>
              <w:bidi/>
              <w:spacing w:before="60" w:after="60" w:line="300" w:lineRule="exact"/>
              <w:jc w:val="center"/>
              <w:rPr>
                <w:rFonts w:ascii="Dubai" w:hAnsi="Dubai" w:cs="Dubai"/>
                <w:sz w:val="22"/>
                <w:szCs w:val="22"/>
                <w:lang w:val="fr-CH"/>
              </w:rPr>
            </w:pPr>
            <w:r w:rsidRPr="00BC50CB">
              <w:rPr>
                <w:rFonts w:ascii="Dubai" w:hAnsi="Dubai" w:cs="Dubai" w:hint="cs"/>
                <w:spacing w:val="-4"/>
                <w:sz w:val="22"/>
                <w:szCs w:val="22"/>
                <w:rtl/>
              </w:rPr>
              <w:t>تأجلت إلى الجلسة</w:t>
            </w:r>
            <w:r w:rsidRPr="002672F4">
              <w:rPr>
                <w:rFonts w:ascii="Dubai" w:hAnsi="Dubai" w:cs="Dubai" w:hint="cs"/>
                <w:spacing w:val="-14"/>
                <w:sz w:val="22"/>
                <w:szCs w:val="22"/>
                <w:rtl/>
              </w:rPr>
              <w:t xml:space="preserve"> العامة الإلكترونية في مايو</w:t>
            </w:r>
          </w:p>
        </w:tc>
      </w:tr>
    </w:tbl>
    <w:p w14:paraId="7BBB8FFB" w14:textId="77777777" w:rsidR="00E26443" w:rsidRPr="00DD40C5" w:rsidRDefault="00E26443" w:rsidP="00D517B2">
      <w:pPr>
        <w:rPr>
          <w:color w:val="000000"/>
          <w:lang w:val="fr-CH"/>
        </w:rPr>
      </w:pPr>
      <w:r w:rsidRPr="00DD40C5">
        <w:rPr>
          <w:lang w:val="fr-CH" w:bidi="ar-EG"/>
        </w:rPr>
        <w:t>2</w:t>
      </w:r>
      <w:r>
        <w:rPr>
          <w:rtl/>
          <w:lang w:bidi="ar-EG"/>
        </w:rPr>
        <w:tab/>
      </w:r>
      <w:r>
        <w:rPr>
          <w:color w:val="000000"/>
          <w:rtl/>
        </w:rPr>
        <w:t xml:space="preserve">ويمكن الاطلاع على المعلومات المتاحة بشأن براءات الاختراع بالرجوع إلى </w:t>
      </w:r>
      <w:hyperlink r:id="rId12" w:history="1">
        <w:r w:rsidRPr="00E26443">
          <w:rPr>
            <w:rStyle w:val="Hyperlink"/>
            <w:rtl/>
          </w:rPr>
          <w:t>الموقع الإلكتروني لقطاع تقييس الاتصالات</w:t>
        </w:r>
      </w:hyperlink>
    </w:p>
    <w:p w14:paraId="2FDA033A" w14:textId="449B9EE9" w:rsidR="00E26443" w:rsidRDefault="00E26443" w:rsidP="00D67FE4">
      <w:pPr>
        <w:rPr>
          <w:rtl/>
          <w:lang w:bidi="ar-EG"/>
        </w:rPr>
      </w:pPr>
      <w:r w:rsidRPr="00E26443">
        <w:rPr>
          <w:rFonts w:hint="cs"/>
          <w:color w:val="000000"/>
          <w:rtl/>
          <w:lang w:bidi="ar-EG"/>
        </w:rPr>
        <w:t>3</w:t>
      </w:r>
      <w:r w:rsidRPr="00DD40C5">
        <w:rPr>
          <w:color w:val="000000"/>
          <w:lang w:val="fr-CH" w:bidi="ar-EG"/>
        </w:rPr>
        <w:tab/>
      </w:r>
      <w:r w:rsidRPr="00E26443">
        <w:rPr>
          <w:color w:val="000000"/>
          <w:rtl/>
        </w:rPr>
        <w:t>وتتاح نصوص التوصيات بصيغتها السابقة للنشر في الموقع الإلكتروني التالي لقطاع تقييس الاتصالا</w:t>
      </w:r>
      <w:r w:rsidRPr="00E26443">
        <w:rPr>
          <w:rFonts w:hint="cs"/>
          <w:color w:val="000000"/>
          <w:rtl/>
        </w:rPr>
        <w:t>ت في العنوان</w:t>
      </w:r>
      <w:r w:rsidRPr="00DD40C5">
        <w:rPr>
          <w:color w:val="000000"/>
          <w:lang w:val="fr-CH"/>
        </w:rPr>
        <w:t xml:space="preserve"> </w:t>
      </w:r>
      <w:hyperlink r:id="rId13" w:history="1">
        <w:r w:rsidRPr="00DD40C5">
          <w:rPr>
            <w:rStyle w:val="Hyperlink"/>
            <w:lang w:val="fr-CH"/>
          </w:rPr>
          <w:t>http://itu.int/itu-t/recommendations/</w:t>
        </w:r>
      </w:hyperlink>
      <w:r w:rsidRPr="00E26443">
        <w:rPr>
          <w:rFonts w:hint="cs"/>
          <w:rtl/>
          <w:lang w:bidi="ar-EG"/>
        </w:rPr>
        <w:t>.</w:t>
      </w:r>
    </w:p>
    <w:p w14:paraId="212C368D" w14:textId="4DEB3120" w:rsidR="00E26443" w:rsidRPr="00E26443" w:rsidRDefault="00E26443" w:rsidP="00D517B2">
      <w:pPr>
        <w:rPr>
          <w:rtl/>
          <w:lang w:bidi="ar-EG"/>
        </w:rPr>
      </w:pPr>
      <w:r>
        <w:rPr>
          <w:lang w:bidi="ar-EG"/>
        </w:rPr>
        <w:t>4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>و</w:t>
      </w:r>
      <w:r>
        <w:rPr>
          <w:color w:val="000000"/>
          <w:rtl/>
        </w:rPr>
        <w:t xml:space="preserve">سوف ينشر الاتحاد </w:t>
      </w:r>
      <w:r>
        <w:rPr>
          <w:rFonts w:hint="cs"/>
          <w:color w:val="000000"/>
          <w:rtl/>
        </w:rPr>
        <w:t>نصوص</w:t>
      </w:r>
      <w:r>
        <w:rPr>
          <w:color w:val="000000"/>
          <w:rtl/>
        </w:rPr>
        <w:t xml:space="preserve"> </w:t>
      </w:r>
      <w:r>
        <w:rPr>
          <w:rFonts w:hint="cs"/>
          <w:color w:val="000000"/>
          <w:rtl/>
        </w:rPr>
        <w:t>التوصيات</w:t>
      </w:r>
      <w:r>
        <w:rPr>
          <w:color w:val="000000"/>
          <w:rtl/>
        </w:rPr>
        <w:t xml:space="preserve"> الموافَق عليها في أقرب وقت ممكن</w:t>
      </w:r>
      <w:r>
        <w:rPr>
          <w:color w:val="000000"/>
        </w:rPr>
        <w:t>.</w:t>
      </w:r>
    </w:p>
    <w:p w14:paraId="426BDB65" w14:textId="4CDCAEEC" w:rsidR="00E84438" w:rsidRPr="00D517B2" w:rsidRDefault="00186222" w:rsidP="00E84438">
      <w:pPr>
        <w:spacing w:before="240"/>
        <w:ind w:left="-57"/>
        <w:jc w:val="left"/>
        <w:rPr>
          <w:rtl/>
          <w:lang w:bidi="ar-EG"/>
        </w:rPr>
      </w:pPr>
      <w:r>
        <w:rPr>
          <w:rFonts w:hint="cs"/>
          <w:noProof/>
          <w:rtl/>
          <w:lang w:val="ar-EG" w:bidi="ar-EG"/>
        </w:rPr>
        <w:drawing>
          <wp:anchor distT="0" distB="0" distL="114300" distR="114300" simplePos="0" relativeHeight="251658240" behindDoc="1" locked="0" layoutInCell="1" allowOverlap="1" wp14:anchorId="492F693A" wp14:editId="6B5A52A9">
            <wp:simplePos x="0" y="0"/>
            <wp:positionH relativeFrom="column">
              <wp:posOffset>5309235</wp:posOffset>
            </wp:positionH>
            <wp:positionV relativeFrom="paragraph">
              <wp:posOffset>316328</wp:posOffset>
            </wp:positionV>
            <wp:extent cx="838200" cy="580292"/>
            <wp:effectExtent l="0" t="0" r="0" b="0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ignature ARAB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924" cy="58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4438" w:rsidRPr="00D517B2">
        <w:rPr>
          <w:rFonts w:hint="cs"/>
          <w:rtl/>
          <w:lang w:bidi="ar-EG"/>
        </w:rPr>
        <w:t>وتفضلوا بقبول فائق التقدير والاحترام.</w:t>
      </w:r>
    </w:p>
    <w:p w14:paraId="2F31BBED" w14:textId="51B4FD90" w:rsidR="00596808" w:rsidRPr="00D517B2" w:rsidRDefault="00E84438" w:rsidP="00DD40C5">
      <w:pPr>
        <w:spacing w:before="960"/>
        <w:jc w:val="left"/>
        <w:rPr>
          <w:rtl/>
          <w:lang w:bidi="ar-EG"/>
        </w:rPr>
      </w:pPr>
      <w:proofErr w:type="spellStart"/>
      <w:r w:rsidRPr="00D517B2">
        <w:rPr>
          <w:rFonts w:hint="cs"/>
          <w:rtl/>
          <w:lang w:bidi="ar-SY"/>
        </w:rPr>
        <w:t>تشيساب</w:t>
      </w:r>
      <w:proofErr w:type="spellEnd"/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لي</w:t>
      </w:r>
      <w:r w:rsidRPr="00D517B2">
        <w:rPr>
          <w:rtl/>
          <w:lang w:bidi="ar-SY"/>
        </w:rPr>
        <w:br/>
      </w:r>
      <w:r w:rsidRPr="00D517B2">
        <w:rPr>
          <w:rFonts w:hint="cs"/>
          <w:rtl/>
          <w:lang w:bidi="ar-SY"/>
        </w:rPr>
        <w:t>مدير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مكتب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تقييس</w:t>
      </w:r>
      <w:r w:rsidRPr="00D517B2">
        <w:rPr>
          <w:rtl/>
          <w:lang w:bidi="ar-SY"/>
        </w:rPr>
        <w:t xml:space="preserve"> </w:t>
      </w:r>
      <w:r w:rsidRPr="00D517B2">
        <w:rPr>
          <w:rFonts w:hint="cs"/>
          <w:rtl/>
          <w:lang w:bidi="ar-SY"/>
        </w:rPr>
        <w:t>الاتصالات</w:t>
      </w:r>
    </w:p>
    <w:sectPr w:rsidR="00596808" w:rsidRPr="00D517B2" w:rsidSect="006C3242">
      <w:headerReference w:type="default" r:id="rId15"/>
      <w:footerReference w:type="default" r:id="rId16"/>
      <w:footerReference w:type="first" r:id="rId17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32535" w14:textId="77777777" w:rsidR="00F6709E" w:rsidRDefault="00F6709E" w:rsidP="006C3242">
      <w:pPr>
        <w:spacing w:before="0" w:line="240" w:lineRule="auto"/>
      </w:pPr>
      <w:r>
        <w:separator/>
      </w:r>
    </w:p>
  </w:endnote>
  <w:endnote w:type="continuationSeparator" w:id="0">
    <w:p w14:paraId="026925D7" w14:textId="77777777" w:rsidR="00F6709E" w:rsidRDefault="00F6709E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4238C" w14:textId="432D4855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E27C8" w14:textId="77777777" w:rsidR="00596808" w:rsidRPr="000E327F" w:rsidRDefault="00596808" w:rsidP="000E327F">
    <w:pPr>
      <w:tabs>
        <w:tab w:val="clear" w:pos="794"/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Theme="minorHAnsi" w:eastAsia="Times New Roman" w:hAnsiTheme="minorHAnsi" w:cstheme="minorHAnsi"/>
        <w:sz w:val="18"/>
        <w:szCs w:val="18"/>
        <w:lang w:val="fr-CH" w:eastAsia="en-US"/>
      </w:rPr>
    </w:pP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International </w:t>
    </w:r>
    <w:proofErr w:type="spellStart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>Telecommunication</w:t>
    </w:r>
    <w:proofErr w:type="spellEnd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Union • Place des Nations • CH</w:t>
    </w: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noBreakHyphen/>
      <w:t xml:space="preserve">1211 Geneva 20 • </w:t>
    </w:r>
    <w:proofErr w:type="spellStart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>Switzerland</w:t>
    </w:r>
    <w:proofErr w:type="spellEnd"/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</w:t>
    </w:r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br/>
      <w:t xml:space="preserve">Tel: +41 22 730 5111 • Fax: +41 22 733 7256 • E-mail: </w:t>
    </w:r>
    <w:hyperlink r:id="rId1" w:history="1">
      <w:r w:rsidRPr="00AC4915">
        <w:rPr>
          <w:rStyle w:val="Hyperlink"/>
          <w:rFonts w:asciiTheme="minorHAnsi" w:eastAsia="Times New Roman" w:hAnsiTheme="minorHAnsi" w:cstheme="minorHAnsi"/>
          <w:color w:val="0070C0"/>
          <w:sz w:val="18"/>
          <w:szCs w:val="18"/>
          <w:lang w:val="fr-CH" w:eastAsia="en-US"/>
        </w:rPr>
        <w:t>itumail@itu.int</w:t>
      </w:r>
    </w:hyperlink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AC4915">
        <w:rPr>
          <w:rStyle w:val="Hyperlink"/>
          <w:rFonts w:asciiTheme="minorHAnsi" w:eastAsia="Times New Roman" w:hAnsiTheme="minorHAnsi" w:cstheme="minorHAnsi"/>
          <w:color w:val="0070C0"/>
          <w:sz w:val="18"/>
          <w:szCs w:val="18"/>
          <w:lang w:val="fr-CH" w:eastAsia="en-US"/>
        </w:rPr>
        <w:t>www.itu.int</w:t>
      </w:r>
    </w:hyperlink>
    <w:r w:rsidRPr="00AC4915">
      <w:rPr>
        <w:rFonts w:asciiTheme="minorHAnsi" w:eastAsia="Times New Roman" w:hAnsiTheme="minorHAnsi" w:cstheme="minorHAnsi"/>
        <w:color w:val="0070C0"/>
        <w:sz w:val="18"/>
        <w:szCs w:val="18"/>
        <w:lang w:val="fr-CH" w:eastAsia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EAB805" w14:textId="77777777" w:rsidR="00F6709E" w:rsidRDefault="00F6709E" w:rsidP="006C3242">
      <w:pPr>
        <w:spacing w:before="0" w:line="240" w:lineRule="auto"/>
      </w:pPr>
      <w:r>
        <w:separator/>
      </w:r>
    </w:p>
  </w:footnote>
  <w:footnote w:type="continuationSeparator" w:id="0">
    <w:p w14:paraId="2493BDE2" w14:textId="77777777" w:rsidR="00F6709E" w:rsidRDefault="00F6709E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44206" w14:textId="7ABEDB98" w:rsidR="00447F32" w:rsidRPr="00596808" w:rsidRDefault="00596808" w:rsidP="00E2118C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="00E26443">
      <w:rPr>
        <w:sz w:val="20"/>
        <w:szCs w:val="20"/>
        <w:lang w:val="en-GB"/>
      </w:rPr>
      <w:t>244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E"/>
    <w:rsid w:val="00002A63"/>
    <w:rsid w:val="00050CD5"/>
    <w:rsid w:val="0006468A"/>
    <w:rsid w:val="00090574"/>
    <w:rsid w:val="000C1C0E"/>
    <w:rsid w:val="000C548A"/>
    <w:rsid w:val="000C7A32"/>
    <w:rsid w:val="000E1965"/>
    <w:rsid w:val="000E327F"/>
    <w:rsid w:val="001200C5"/>
    <w:rsid w:val="00146FE2"/>
    <w:rsid w:val="0016532E"/>
    <w:rsid w:val="00186222"/>
    <w:rsid w:val="001C0169"/>
    <w:rsid w:val="001D1D50"/>
    <w:rsid w:val="001D6745"/>
    <w:rsid w:val="001E446E"/>
    <w:rsid w:val="002154EE"/>
    <w:rsid w:val="002276D2"/>
    <w:rsid w:val="0023283D"/>
    <w:rsid w:val="0026373E"/>
    <w:rsid w:val="002672F4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840CF"/>
    <w:rsid w:val="003A3046"/>
    <w:rsid w:val="003F4B29"/>
    <w:rsid w:val="00400EC6"/>
    <w:rsid w:val="00403BCD"/>
    <w:rsid w:val="00413014"/>
    <w:rsid w:val="00424BCC"/>
    <w:rsid w:val="0042686F"/>
    <w:rsid w:val="004317D8"/>
    <w:rsid w:val="00434183"/>
    <w:rsid w:val="00443869"/>
    <w:rsid w:val="00447F32"/>
    <w:rsid w:val="004E11DC"/>
    <w:rsid w:val="00516378"/>
    <w:rsid w:val="00525DDD"/>
    <w:rsid w:val="005409AC"/>
    <w:rsid w:val="005457B7"/>
    <w:rsid w:val="0055516A"/>
    <w:rsid w:val="0058491B"/>
    <w:rsid w:val="00592EA5"/>
    <w:rsid w:val="00595B52"/>
    <w:rsid w:val="00596808"/>
    <w:rsid w:val="005A300B"/>
    <w:rsid w:val="005A3170"/>
    <w:rsid w:val="005D23A8"/>
    <w:rsid w:val="005D788D"/>
    <w:rsid w:val="00646397"/>
    <w:rsid w:val="00652B46"/>
    <w:rsid w:val="00677396"/>
    <w:rsid w:val="0069200F"/>
    <w:rsid w:val="006A65CB"/>
    <w:rsid w:val="006C1530"/>
    <w:rsid w:val="006C3242"/>
    <w:rsid w:val="006C7CC0"/>
    <w:rsid w:val="006F63F7"/>
    <w:rsid w:val="006F7888"/>
    <w:rsid w:val="007025C7"/>
    <w:rsid w:val="00706D7A"/>
    <w:rsid w:val="00722F0D"/>
    <w:rsid w:val="0074420E"/>
    <w:rsid w:val="00783E26"/>
    <w:rsid w:val="007C3BC7"/>
    <w:rsid w:val="007C3BCD"/>
    <w:rsid w:val="007D4ACF"/>
    <w:rsid w:val="007E0A05"/>
    <w:rsid w:val="007F0787"/>
    <w:rsid w:val="00810B7B"/>
    <w:rsid w:val="0082358A"/>
    <w:rsid w:val="008235CD"/>
    <w:rsid w:val="008247DE"/>
    <w:rsid w:val="00840B10"/>
    <w:rsid w:val="008513CB"/>
    <w:rsid w:val="00863F83"/>
    <w:rsid w:val="00870BE5"/>
    <w:rsid w:val="00873469"/>
    <w:rsid w:val="008A7F84"/>
    <w:rsid w:val="0091702E"/>
    <w:rsid w:val="00923B0C"/>
    <w:rsid w:val="0094021C"/>
    <w:rsid w:val="0094432F"/>
    <w:rsid w:val="00952F86"/>
    <w:rsid w:val="0097291C"/>
    <w:rsid w:val="00982B28"/>
    <w:rsid w:val="009D313F"/>
    <w:rsid w:val="00A34C2D"/>
    <w:rsid w:val="00A47A5A"/>
    <w:rsid w:val="00A6683B"/>
    <w:rsid w:val="00A9156F"/>
    <w:rsid w:val="00A97F94"/>
    <w:rsid w:val="00AA7EA2"/>
    <w:rsid w:val="00AC4915"/>
    <w:rsid w:val="00AF6B5C"/>
    <w:rsid w:val="00B03099"/>
    <w:rsid w:val="00B05BC8"/>
    <w:rsid w:val="00B64B47"/>
    <w:rsid w:val="00BB0F08"/>
    <w:rsid w:val="00BC50CB"/>
    <w:rsid w:val="00BF12C7"/>
    <w:rsid w:val="00BF2054"/>
    <w:rsid w:val="00C002DE"/>
    <w:rsid w:val="00C53BF8"/>
    <w:rsid w:val="00C66157"/>
    <w:rsid w:val="00C674FE"/>
    <w:rsid w:val="00C67501"/>
    <w:rsid w:val="00C75633"/>
    <w:rsid w:val="00CD5E4F"/>
    <w:rsid w:val="00CE2EE1"/>
    <w:rsid w:val="00CE3349"/>
    <w:rsid w:val="00CE36E5"/>
    <w:rsid w:val="00CF27F5"/>
    <w:rsid w:val="00CF3FFD"/>
    <w:rsid w:val="00D10CCF"/>
    <w:rsid w:val="00D176D6"/>
    <w:rsid w:val="00D22846"/>
    <w:rsid w:val="00D517B2"/>
    <w:rsid w:val="00D67FE4"/>
    <w:rsid w:val="00D77D0F"/>
    <w:rsid w:val="00DA1CF0"/>
    <w:rsid w:val="00DC1E02"/>
    <w:rsid w:val="00DC24B4"/>
    <w:rsid w:val="00DC5FB0"/>
    <w:rsid w:val="00DD1EBB"/>
    <w:rsid w:val="00DD40C5"/>
    <w:rsid w:val="00DF16DC"/>
    <w:rsid w:val="00E2118C"/>
    <w:rsid w:val="00E26443"/>
    <w:rsid w:val="00E45211"/>
    <w:rsid w:val="00E473C5"/>
    <w:rsid w:val="00E84438"/>
    <w:rsid w:val="00E92863"/>
    <w:rsid w:val="00EB796D"/>
    <w:rsid w:val="00F058DC"/>
    <w:rsid w:val="00F24FC4"/>
    <w:rsid w:val="00F26191"/>
    <w:rsid w:val="00F2676C"/>
    <w:rsid w:val="00F52941"/>
    <w:rsid w:val="00F6709E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8DFD2D2"/>
  <w15:chartTrackingRefBased/>
  <w15:docId w15:val="{146858CB-FA92-4627-B21A-69AFBB10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  <w:style w:type="paragraph" w:customStyle="1" w:styleId="Tabletext">
    <w:name w:val="Table_text"/>
    <w:basedOn w:val="Normal"/>
    <w:rsid w:val="00E26443"/>
    <w:pPr>
      <w:tabs>
        <w:tab w:val="left" w:pos="284"/>
        <w:tab w:val="left" w:pos="567"/>
        <w:tab w:val="left" w:pos="851"/>
        <w:tab w:val="left" w:pos="1191"/>
        <w:tab w:val="left" w:pos="1418"/>
        <w:tab w:val="left" w:pos="158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="Calibri" w:eastAsia="Times New Roman" w:hAnsi="Calibri" w:cs="Times New Roman"/>
      <w:sz w:val="24"/>
      <w:szCs w:val="20"/>
      <w:lang w:val="en-GB" w:eastAsia="en-US"/>
    </w:rPr>
  </w:style>
  <w:style w:type="paragraph" w:customStyle="1" w:styleId="Tablehead0">
    <w:name w:val="Table_head"/>
    <w:basedOn w:val="Tabletext"/>
    <w:next w:val="Tabletext"/>
    <w:rsid w:val="00E26443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TSB-CIR-0219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md/T17-TSB-CIR-019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6AC1-BC9B-4278-AC75-70BDAB2D3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</dc:creator>
  <cp:keywords/>
  <dc:description/>
  <cp:lastModifiedBy>Braud, Olivia</cp:lastModifiedBy>
  <cp:revision>10</cp:revision>
  <cp:lastPrinted>2020-04-21T14:05:00Z</cp:lastPrinted>
  <dcterms:created xsi:type="dcterms:W3CDTF">2020-04-16T17:44:00Z</dcterms:created>
  <dcterms:modified xsi:type="dcterms:W3CDTF">2020-04-21T14:06:00Z</dcterms:modified>
</cp:coreProperties>
</file>