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0F153D" w14:paraId="678AEB97" w14:textId="77777777" w:rsidTr="002C6A3A">
        <w:trPr>
          <w:gridAfter w:val="1"/>
          <w:wAfter w:w="8" w:type="dxa"/>
          <w:cantSplit/>
          <w:jc w:val="center"/>
        </w:trPr>
        <w:tc>
          <w:tcPr>
            <w:tcW w:w="1418" w:type="dxa"/>
            <w:gridSpan w:val="3"/>
            <w:vAlign w:val="center"/>
          </w:tcPr>
          <w:p w14:paraId="2CC248A1" w14:textId="2F0BAA3A" w:rsidR="00036F4F" w:rsidRPr="000F153D" w:rsidRDefault="002C6A3A" w:rsidP="00D14F31">
            <w:pPr>
              <w:tabs>
                <w:tab w:val="right" w:pos="8732"/>
              </w:tabs>
              <w:spacing w:before="0"/>
              <w:rPr>
                <w:b/>
                <w:bCs/>
                <w:iCs/>
                <w:color w:val="FFFFFF"/>
                <w:sz w:val="30"/>
                <w:szCs w:val="30"/>
              </w:rPr>
            </w:pPr>
            <w:r>
              <w:rPr>
                <w:b/>
                <w:bCs/>
                <w:iCs/>
                <w:color w:val="FFFFFF"/>
                <w:sz w:val="30"/>
                <w:szCs w:val="30"/>
              </w:rPr>
              <w:t>469511</w:t>
            </w:r>
            <w:r w:rsidR="00036F4F" w:rsidRPr="000F153D">
              <w:rPr>
                <w:noProof/>
                <w:lang w:val="en-US"/>
              </w:rPr>
              <w:drawing>
                <wp:inline distT="0" distB="0" distL="0" distR="0" wp14:anchorId="2247D005" wp14:editId="38040AB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4690076" w14:textId="77777777" w:rsidR="00036F4F" w:rsidRPr="000F153D" w:rsidRDefault="00036F4F" w:rsidP="00D14F31">
            <w:pPr>
              <w:spacing w:before="0"/>
              <w:rPr>
                <w:rFonts w:cs="Times New Roman Bold"/>
                <w:b/>
                <w:bCs/>
                <w:iCs/>
                <w:smallCaps/>
                <w:sz w:val="34"/>
                <w:szCs w:val="34"/>
              </w:rPr>
            </w:pPr>
            <w:r w:rsidRPr="000F153D">
              <w:rPr>
                <w:rFonts w:cs="Times New Roman Bold"/>
                <w:b/>
                <w:bCs/>
                <w:iCs/>
                <w:smallCaps/>
                <w:sz w:val="34"/>
                <w:szCs w:val="34"/>
              </w:rPr>
              <w:t>Union internationale des télécommunications</w:t>
            </w:r>
          </w:p>
          <w:p w14:paraId="3B437CA5" w14:textId="77777777" w:rsidR="00036F4F" w:rsidRPr="000F153D" w:rsidRDefault="00036F4F" w:rsidP="00D14F31">
            <w:pPr>
              <w:tabs>
                <w:tab w:val="right" w:pos="8732"/>
              </w:tabs>
              <w:spacing w:before="0"/>
              <w:rPr>
                <w:b/>
                <w:bCs/>
                <w:iCs/>
                <w:color w:val="FFFFFF"/>
                <w:sz w:val="30"/>
                <w:szCs w:val="30"/>
              </w:rPr>
            </w:pPr>
            <w:r w:rsidRPr="000F153D">
              <w:rPr>
                <w:rFonts w:cs="Times New Roman Bold"/>
                <w:b/>
                <w:bCs/>
                <w:iCs/>
                <w:smallCaps/>
                <w:sz w:val="28"/>
                <w:szCs w:val="28"/>
              </w:rPr>
              <w:t>B</w:t>
            </w:r>
            <w:r w:rsidRPr="000F153D">
              <w:rPr>
                <w:b/>
                <w:bCs/>
                <w:iCs/>
                <w:smallCaps/>
                <w:sz w:val="28"/>
                <w:szCs w:val="28"/>
              </w:rPr>
              <w:t>ureau de la Normalisation des Télécommunications</w:t>
            </w:r>
          </w:p>
        </w:tc>
        <w:tc>
          <w:tcPr>
            <w:tcW w:w="2126" w:type="dxa"/>
            <w:vAlign w:val="center"/>
          </w:tcPr>
          <w:p w14:paraId="27118E40" w14:textId="77777777" w:rsidR="00036F4F" w:rsidRPr="000F153D" w:rsidRDefault="00036F4F" w:rsidP="00D14F31">
            <w:pPr>
              <w:spacing w:before="0"/>
              <w:jc w:val="right"/>
              <w:rPr>
                <w:color w:val="FFFFFF"/>
                <w:sz w:val="26"/>
                <w:szCs w:val="26"/>
              </w:rPr>
            </w:pPr>
          </w:p>
        </w:tc>
      </w:tr>
      <w:tr w:rsidR="00036F4F" w:rsidRPr="000F153D" w14:paraId="2E7A9921" w14:textId="77777777" w:rsidTr="002C6A3A">
        <w:trPr>
          <w:gridBefore w:val="1"/>
          <w:wBefore w:w="8" w:type="dxa"/>
          <w:cantSplit/>
          <w:jc w:val="center"/>
        </w:trPr>
        <w:tc>
          <w:tcPr>
            <w:tcW w:w="1977" w:type="dxa"/>
            <w:gridSpan w:val="3"/>
          </w:tcPr>
          <w:p w14:paraId="577CDE7D" w14:textId="77777777" w:rsidR="00036F4F" w:rsidRPr="000F153D" w:rsidRDefault="00036F4F" w:rsidP="00A5280F">
            <w:pPr>
              <w:tabs>
                <w:tab w:val="left" w:pos="4111"/>
              </w:tabs>
              <w:spacing w:before="10"/>
              <w:ind w:left="57"/>
            </w:pPr>
          </w:p>
        </w:tc>
        <w:tc>
          <w:tcPr>
            <w:tcW w:w="2900" w:type="dxa"/>
          </w:tcPr>
          <w:p w14:paraId="6C704B0F" w14:textId="77777777" w:rsidR="00036F4F" w:rsidRPr="000F153D" w:rsidRDefault="00036F4F" w:rsidP="00A5280F">
            <w:pPr>
              <w:tabs>
                <w:tab w:val="left" w:pos="4111"/>
              </w:tabs>
              <w:spacing w:before="10"/>
              <w:ind w:left="57"/>
              <w:rPr>
                <w:b/>
              </w:rPr>
            </w:pPr>
          </w:p>
        </w:tc>
        <w:tc>
          <w:tcPr>
            <w:tcW w:w="5046" w:type="dxa"/>
            <w:gridSpan w:val="3"/>
          </w:tcPr>
          <w:p w14:paraId="2AFC5CA3" w14:textId="6EA7A3FD" w:rsidR="00036F4F" w:rsidRPr="000F153D" w:rsidRDefault="00036F4F" w:rsidP="00A5645A">
            <w:pPr>
              <w:tabs>
                <w:tab w:val="clear" w:pos="794"/>
                <w:tab w:val="clear" w:pos="1191"/>
                <w:tab w:val="clear" w:pos="1588"/>
                <w:tab w:val="clear" w:pos="1985"/>
                <w:tab w:val="left" w:pos="284"/>
              </w:tabs>
              <w:spacing w:after="120"/>
              <w:ind w:left="284" w:hanging="227"/>
            </w:pPr>
            <w:r w:rsidRPr="000F153D">
              <w:t>Genève, le</w:t>
            </w:r>
            <w:r w:rsidR="008E539E" w:rsidRPr="000F153D">
              <w:t xml:space="preserve"> 13 mars 2020</w:t>
            </w:r>
          </w:p>
        </w:tc>
      </w:tr>
      <w:tr w:rsidR="00036F4F" w:rsidRPr="000F153D" w14:paraId="59127829" w14:textId="77777777" w:rsidTr="002C6A3A">
        <w:trPr>
          <w:gridBefore w:val="1"/>
          <w:wBefore w:w="8" w:type="dxa"/>
          <w:cantSplit/>
          <w:trHeight w:val="340"/>
          <w:jc w:val="center"/>
        </w:trPr>
        <w:tc>
          <w:tcPr>
            <w:tcW w:w="1126" w:type="dxa"/>
          </w:tcPr>
          <w:p w14:paraId="3CA35AB2" w14:textId="75AC9A5B" w:rsidR="00036F4F" w:rsidRPr="000F153D" w:rsidRDefault="00036F4F" w:rsidP="00036F4F">
            <w:pPr>
              <w:tabs>
                <w:tab w:val="left" w:pos="4111"/>
              </w:tabs>
              <w:spacing w:before="10"/>
              <w:ind w:left="57"/>
              <w:rPr>
                <w:b/>
                <w:bCs/>
              </w:rPr>
            </w:pPr>
            <w:proofErr w:type="gramStart"/>
            <w:r w:rsidRPr="000F153D">
              <w:rPr>
                <w:b/>
                <w:bCs/>
              </w:rPr>
              <w:t>Réf.:</w:t>
            </w:r>
            <w:proofErr w:type="gramEnd"/>
          </w:p>
        </w:tc>
        <w:tc>
          <w:tcPr>
            <w:tcW w:w="3751" w:type="dxa"/>
            <w:gridSpan w:val="3"/>
          </w:tcPr>
          <w:p w14:paraId="33E80975" w14:textId="1E09B68A" w:rsidR="00036F4F" w:rsidRPr="000F153D" w:rsidRDefault="00036F4F" w:rsidP="00036F4F">
            <w:pPr>
              <w:tabs>
                <w:tab w:val="left" w:pos="4111"/>
              </w:tabs>
              <w:spacing w:before="10"/>
              <w:ind w:left="57"/>
              <w:rPr>
                <w:b/>
              </w:rPr>
            </w:pPr>
            <w:r w:rsidRPr="000F153D">
              <w:rPr>
                <w:b/>
              </w:rPr>
              <w:t>Circulaire TSB</w:t>
            </w:r>
            <w:r w:rsidR="008E539E" w:rsidRPr="000F153D">
              <w:rPr>
                <w:b/>
              </w:rPr>
              <w:t xml:space="preserve"> 237</w:t>
            </w:r>
          </w:p>
        </w:tc>
        <w:tc>
          <w:tcPr>
            <w:tcW w:w="5046" w:type="dxa"/>
            <w:gridSpan w:val="3"/>
            <w:vMerge w:val="restart"/>
          </w:tcPr>
          <w:p w14:paraId="67BF9356" w14:textId="4CC49C95" w:rsidR="00036F4F" w:rsidRPr="000F153D" w:rsidRDefault="002C6A3A" w:rsidP="00094639">
            <w:pPr>
              <w:tabs>
                <w:tab w:val="clear" w:pos="794"/>
                <w:tab w:val="clear" w:pos="1191"/>
                <w:tab w:val="clear" w:pos="1588"/>
                <w:tab w:val="clear" w:pos="1985"/>
              </w:tabs>
              <w:spacing w:before="0"/>
              <w:ind w:left="213" w:hanging="227"/>
            </w:pPr>
            <w:bookmarkStart w:id="0" w:name="Addressee_F"/>
            <w:bookmarkEnd w:id="0"/>
            <w:r>
              <w:t>-</w:t>
            </w:r>
            <w:r>
              <w:tab/>
              <w:t>Aux A</w:t>
            </w:r>
            <w:r w:rsidR="00036F4F" w:rsidRPr="000F153D">
              <w:t xml:space="preserve">dministrations des </w:t>
            </w:r>
            <w:r w:rsidR="008E539E" w:rsidRPr="000F153D">
              <w:t>États</w:t>
            </w:r>
            <w:r w:rsidR="00036F4F" w:rsidRPr="000F153D">
              <w:t xml:space="preserve"> Membres de </w:t>
            </w:r>
            <w:proofErr w:type="gramStart"/>
            <w:r w:rsidR="00036F4F" w:rsidRPr="000F153D">
              <w:t>l'Union</w:t>
            </w:r>
            <w:r w:rsidR="009F5F8D" w:rsidRPr="000F153D">
              <w:t>;</w:t>
            </w:r>
            <w:proofErr w:type="gramEnd"/>
          </w:p>
          <w:p w14:paraId="7EE6C7E7" w14:textId="77777777" w:rsidR="00036F4F" w:rsidRPr="000F153D" w:rsidRDefault="008E539E" w:rsidP="00094639">
            <w:pPr>
              <w:tabs>
                <w:tab w:val="clear" w:pos="794"/>
                <w:tab w:val="clear" w:pos="1191"/>
                <w:tab w:val="clear" w:pos="1588"/>
                <w:tab w:val="clear" w:pos="1985"/>
              </w:tabs>
              <w:spacing w:before="0"/>
              <w:ind w:left="213" w:hanging="227"/>
            </w:pPr>
            <w:r w:rsidRPr="000F153D">
              <w:t>-</w:t>
            </w:r>
            <w:r w:rsidRPr="000F153D">
              <w:tab/>
              <w:t>aux Membres du Secteur UIT-</w:t>
            </w:r>
            <w:proofErr w:type="gramStart"/>
            <w:r w:rsidRPr="000F153D">
              <w:t>T;</w:t>
            </w:r>
            <w:proofErr w:type="gramEnd"/>
          </w:p>
          <w:p w14:paraId="17C2DBC2" w14:textId="77777777" w:rsidR="008E539E" w:rsidRPr="000F153D" w:rsidRDefault="008E539E" w:rsidP="00094639">
            <w:pPr>
              <w:tabs>
                <w:tab w:val="clear" w:pos="794"/>
                <w:tab w:val="clear" w:pos="1191"/>
                <w:tab w:val="clear" w:pos="1588"/>
                <w:tab w:val="clear" w:pos="1985"/>
              </w:tabs>
              <w:spacing w:before="0"/>
              <w:ind w:left="213" w:hanging="227"/>
            </w:pPr>
            <w:r w:rsidRPr="000F153D">
              <w:t>-</w:t>
            </w:r>
            <w:r w:rsidRPr="000F153D">
              <w:tab/>
              <w:t>aux Associés de l'UIT-</w:t>
            </w:r>
            <w:proofErr w:type="gramStart"/>
            <w:r w:rsidRPr="000F153D">
              <w:t>T;</w:t>
            </w:r>
            <w:proofErr w:type="gramEnd"/>
          </w:p>
          <w:p w14:paraId="3B842F2C" w14:textId="537AD72F" w:rsidR="008E539E" w:rsidRPr="000F153D" w:rsidRDefault="008E539E" w:rsidP="00094639">
            <w:pPr>
              <w:tabs>
                <w:tab w:val="clear" w:pos="794"/>
                <w:tab w:val="clear" w:pos="1191"/>
                <w:tab w:val="clear" w:pos="1588"/>
                <w:tab w:val="clear" w:pos="1985"/>
              </w:tabs>
              <w:spacing w:before="0"/>
              <w:ind w:left="213" w:hanging="227"/>
            </w:pPr>
            <w:r w:rsidRPr="000F153D">
              <w:t>-</w:t>
            </w:r>
            <w:r w:rsidRPr="000F153D">
              <w:tab/>
              <w:t>aux établissements universitaires participant aux travaux de l'UIT</w:t>
            </w:r>
          </w:p>
        </w:tc>
      </w:tr>
      <w:tr w:rsidR="008E539E" w:rsidRPr="000F153D" w14:paraId="3795769A" w14:textId="77777777" w:rsidTr="002C6A3A">
        <w:trPr>
          <w:gridBefore w:val="1"/>
          <w:wBefore w:w="8" w:type="dxa"/>
          <w:cantSplit/>
          <w:jc w:val="center"/>
        </w:trPr>
        <w:tc>
          <w:tcPr>
            <w:tcW w:w="1126" w:type="dxa"/>
          </w:tcPr>
          <w:p w14:paraId="34989A2E" w14:textId="77777777" w:rsidR="008E539E" w:rsidRPr="000F153D" w:rsidRDefault="008E539E" w:rsidP="008E539E">
            <w:pPr>
              <w:tabs>
                <w:tab w:val="left" w:pos="4111"/>
              </w:tabs>
              <w:spacing w:before="10"/>
              <w:ind w:left="57"/>
              <w:rPr>
                <w:b/>
                <w:bCs/>
                <w:sz w:val="20"/>
              </w:rPr>
            </w:pPr>
            <w:proofErr w:type="gramStart"/>
            <w:r w:rsidRPr="000F153D">
              <w:rPr>
                <w:b/>
                <w:bCs/>
              </w:rPr>
              <w:t>Tél.:</w:t>
            </w:r>
            <w:proofErr w:type="gramEnd"/>
          </w:p>
        </w:tc>
        <w:tc>
          <w:tcPr>
            <w:tcW w:w="3751" w:type="dxa"/>
            <w:gridSpan w:val="3"/>
          </w:tcPr>
          <w:p w14:paraId="5D5FB605" w14:textId="4BD200FE" w:rsidR="008E539E" w:rsidRPr="000F153D" w:rsidRDefault="008E539E" w:rsidP="008E539E">
            <w:pPr>
              <w:tabs>
                <w:tab w:val="left" w:pos="4111"/>
              </w:tabs>
              <w:spacing w:before="0"/>
              <w:ind w:left="57"/>
            </w:pPr>
            <w:r w:rsidRPr="000F153D">
              <w:t>+41 22 730 5860</w:t>
            </w:r>
          </w:p>
        </w:tc>
        <w:tc>
          <w:tcPr>
            <w:tcW w:w="5046" w:type="dxa"/>
            <w:gridSpan w:val="3"/>
            <w:vMerge/>
          </w:tcPr>
          <w:p w14:paraId="3BD6B974" w14:textId="77777777" w:rsidR="008E539E" w:rsidRPr="000F153D" w:rsidRDefault="008E539E" w:rsidP="008E539E">
            <w:pPr>
              <w:tabs>
                <w:tab w:val="left" w:pos="4111"/>
              </w:tabs>
              <w:spacing w:before="0"/>
              <w:rPr>
                <w:b/>
              </w:rPr>
            </w:pPr>
          </w:p>
        </w:tc>
      </w:tr>
      <w:tr w:rsidR="008E539E" w:rsidRPr="000F153D" w14:paraId="37C9A14B" w14:textId="77777777" w:rsidTr="002C6A3A">
        <w:trPr>
          <w:gridBefore w:val="1"/>
          <w:wBefore w:w="8" w:type="dxa"/>
          <w:cantSplit/>
          <w:jc w:val="center"/>
        </w:trPr>
        <w:tc>
          <w:tcPr>
            <w:tcW w:w="1126" w:type="dxa"/>
          </w:tcPr>
          <w:p w14:paraId="7BF3B527" w14:textId="77777777" w:rsidR="008E539E" w:rsidRPr="000F153D" w:rsidRDefault="008E539E" w:rsidP="008E539E">
            <w:pPr>
              <w:tabs>
                <w:tab w:val="left" w:pos="4111"/>
              </w:tabs>
              <w:spacing w:before="10"/>
              <w:ind w:left="57"/>
              <w:rPr>
                <w:b/>
                <w:bCs/>
                <w:sz w:val="20"/>
              </w:rPr>
            </w:pPr>
            <w:proofErr w:type="gramStart"/>
            <w:r w:rsidRPr="000F153D">
              <w:rPr>
                <w:b/>
                <w:bCs/>
              </w:rPr>
              <w:t>Fax:</w:t>
            </w:r>
            <w:proofErr w:type="gramEnd"/>
          </w:p>
        </w:tc>
        <w:tc>
          <w:tcPr>
            <w:tcW w:w="3751" w:type="dxa"/>
            <w:gridSpan w:val="3"/>
          </w:tcPr>
          <w:p w14:paraId="4F7996BF" w14:textId="461785EB" w:rsidR="008E539E" w:rsidRPr="000F153D" w:rsidRDefault="008E539E" w:rsidP="008E539E">
            <w:pPr>
              <w:tabs>
                <w:tab w:val="left" w:pos="4111"/>
              </w:tabs>
              <w:spacing w:before="0"/>
              <w:ind w:left="57"/>
            </w:pPr>
            <w:r w:rsidRPr="000F153D">
              <w:t>+41 22 730 5853</w:t>
            </w:r>
          </w:p>
        </w:tc>
        <w:tc>
          <w:tcPr>
            <w:tcW w:w="5046" w:type="dxa"/>
            <w:gridSpan w:val="3"/>
            <w:vMerge/>
          </w:tcPr>
          <w:p w14:paraId="069907B7" w14:textId="77777777" w:rsidR="008E539E" w:rsidRPr="000F153D" w:rsidRDefault="008E539E" w:rsidP="008E539E">
            <w:pPr>
              <w:tabs>
                <w:tab w:val="left" w:pos="4111"/>
              </w:tabs>
              <w:spacing w:before="0"/>
              <w:rPr>
                <w:b/>
              </w:rPr>
            </w:pPr>
          </w:p>
        </w:tc>
      </w:tr>
      <w:tr w:rsidR="008E539E" w:rsidRPr="000F153D" w14:paraId="10F25ACC" w14:textId="77777777" w:rsidTr="002C6A3A">
        <w:trPr>
          <w:gridBefore w:val="1"/>
          <w:wBefore w:w="8" w:type="dxa"/>
          <w:cantSplit/>
          <w:jc w:val="center"/>
        </w:trPr>
        <w:tc>
          <w:tcPr>
            <w:tcW w:w="1126" w:type="dxa"/>
          </w:tcPr>
          <w:p w14:paraId="4D3D7B5C" w14:textId="2A188C1B" w:rsidR="008E539E" w:rsidRPr="000F153D" w:rsidRDefault="008E539E" w:rsidP="008E539E">
            <w:pPr>
              <w:tabs>
                <w:tab w:val="left" w:pos="4111"/>
              </w:tabs>
              <w:spacing w:before="10"/>
              <w:ind w:left="57"/>
              <w:rPr>
                <w:b/>
                <w:bCs/>
                <w:sz w:val="20"/>
              </w:rPr>
            </w:pPr>
            <w:proofErr w:type="gramStart"/>
            <w:r w:rsidRPr="000F153D">
              <w:rPr>
                <w:b/>
                <w:bCs/>
              </w:rPr>
              <w:t>Courriel:</w:t>
            </w:r>
            <w:proofErr w:type="gramEnd"/>
          </w:p>
        </w:tc>
        <w:tc>
          <w:tcPr>
            <w:tcW w:w="3751" w:type="dxa"/>
            <w:gridSpan w:val="3"/>
          </w:tcPr>
          <w:p w14:paraId="4AB24C57" w14:textId="39994976" w:rsidR="008E539E" w:rsidRPr="000F153D" w:rsidRDefault="00D75A8F" w:rsidP="008E539E">
            <w:pPr>
              <w:tabs>
                <w:tab w:val="left" w:pos="4111"/>
              </w:tabs>
              <w:spacing w:before="0"/>
              <w:ind w:left="57"/>
            </w:pPr>
            <w:hyperlink r:id="rId9" w:history="1">
              <w:r w:rsidR="008E539E" w:rsidRPr="000F153D">
                <w:rPr>
                  <w:rStyle w:val="Hyperlink"/>
                </w:rPr>
                <w:t>ai5gchallenge@itu.int</w:t>
              </w:r>
            </w:hyperlink>
          </w:p>
        </w:tc>
        <w:tc>
          <w:tcPr>
            <w:tcW w:w="5046" w:type="dxa"/>
            <w:gridSpan w:val="3"/>
          </w:tcPr>
          <w:p w14:paraId="3527903B" w14:textId="77777777" w:rsidR="008E539E" w:rsidRPr="000F153D" w:rsidRDefault="008E539E" w:rsidP="008E539E">
            <w:pPr>
              <w:tabs>
                <w:tab w:val="left" w:pos="4111"/>
              </w:tabs>
              <w:spacing w:before="0"/>
            </w:pPr>
            <w:proofErr w:type="gramStart"/>
            <w:r w:rsidRPr="000F153D">
              <w:rPr>
                <w:b/>
              </w:rPr>
              <w:t>Copie</w:t>
            </w:r>
            <w:r w:rsidRPr="000F153D">
              <w:t>:</w:t>
            </w:r>
            <w:proofErr w:type="gramEnd"/>
          </w:p>
          <w:p w14:paraId="49D4ED1E" w14:textId="3A73F897" w:rsidR="008E539E" w:rsidRPr="000F153D" w:rsidRDefault="008E539E" w:rsidP="00094639">
            <w:pPr>
              <w:tabs>
                <w:tab w:val="clear" w:pos="794"/>
                <w:tab w:val="left" w:pos="4111"/>
              </w:tabs>
              <w:spacing w:before="0"/>
              <w:ind w:left="226" w:hanging="226"/>
            </w:pPr>
            <w:r w:rsidRPr="000F153D">
              <w:t>-</w:t>
            </w:r>
            <w:r w:rsidRPr="000F153D">
              <w:tab/>
              <w:t xml:space="preserve">Aux Présidents et Vice-Présidents des commissions d'études et des groupes </w:t>
            </w:r>
            <w:proofErr w:type="gramStart"/>
            <w:r w:rsidRPr="000F153D">
              <w:t>spécialisés;</w:t>
            </w:r>
            <w:proofErr w:type="gramEnd"/>
          </w:p>
          <w:p w14:paraId="08996EE5" w14:textId="792B6847" w:rsidR="008E539E" w:rsidRPr="000F153D" w:rsidRDefault="008E539E" w:rsidP="000C265C">
            <w:pPr>
              <w:tabs>
                <w:tab w:val="clear" w:pos="794"/>
                <w:tab w:val="left" w:pos="226"/>
                <w:tab w:val="left" w:pos="4111"/>
              </w:tabs>
              <w:spacing w:before="0"/>
              <w:ind w:left="226" w:hanging="226"/>
            </w:pPr>
            <w:r w:rsidRPr="000F153D">
              <w:t>-</w:t>
            </w:r>
            <w:r w:rsidRPr="000F153D">
              <w:tab/>
              <w:t xml:space="preserve">au Directeur du Bureau de développement des </w:t>
            </w:r>
            <w:proofErr w:type="gramStart"/>
            <w:r w:rsidRPr="000F153D">
              <w:t>télécommunications;</w:t>
            </w:r>
            <w:proofErr w:type="gramEnd"/>
          </w:p>
          <w:p w14:paraId="349D487B" w14:textId="16482604" w:rsidR="008E539E" w:rsidRPr="000F153D" w:rsidRDefault="008E539E" w:rsidP="008E539E">
            <w:pPr>
              <w:tabs>
                <w:tab w:val="clear" w:pos="794"/>
                <w:tab w:val="left" w:pos="226"/>
                <w:tab w:val="left" w:pos="4111"/>
              </w:tabs>
              <w:spacing w:before="0"/>
              <w:ind w:left="226" w:hanging="226"/>
            </w:pPr>
            <w:r w:rsidRPr="000F153D">
              <w:t>-</w:t>
            </w:r>
            <w:r w:rsidRPr="000F153D">
              <w:tab/>
              <w:t>au Directeur du Bureau des radiocommunications</w:t>
            </w:r>
          </w:p>
        </w:tc>
      </w:tr>
      <w:tr w:rsidR="008E539E" w:rsidRPr="000F153D" w14:paraId="5CD1436A" w14:textId="77777777" w:rsidTr="002C6A3A">
        <w:trPr>
          <w:gridBefore w:val="1"/>
          <w:gridAfter w:val="1"/>
          <w:wBefore w:w="8" w:type="dxa"/>
          <w:wAfter w:w="8" w:type="dxa"/>
          <w:cantSplit/>
          <w:trHeight w:val="680"/>
          <w:jc w:val="center"/>
        </w:trPr>
        <w:tc>
          <w:tcPr>
            <w:tcW w:w="1126" w:type="dxa"/>
          </w:tcPr>
          <w:p w14:paraId="3C91FBDB" w14:textId="77777777" w:rsidR="008E539E" w:rsidRPr="000F153D" w:rsidRDefault="008E539E" w:rsidP="009F5F8D">
            <w:pPr>
              <w:tabs>
                <w:tab w:val="left" w:pos="4111"/>
              </w:tabs>
              <w:ind w:left="57"/>
              <w:rPr>
                <w:b/>
                <w:bCs/>
                <w:szCs w:val="22"/>
              </w:rPr>
            </w:pPr>
            <w:proofErr w:type="gramStart"/>
            <w:r w:rsidRPr="000F153D">
              <w:rPr>
                <w:b/>
                <w:bCs/>
                <w:szCs w:val="22"/>
              </w:rPr>
              <w:t>Objet:</w:t>
            </w:r>
            <w:proofErr w:type="gramEnd"/>
          </w:p>
        </w:tc>
        <w:tc>
          <w:tcPr>
            <w:tcW w:w="8789" w:type="dxa"/>
            <w:gridSpan w:val="5"/>
          </w:tcPr>
          <w:p w14:paraId="4777DFCB" w14:textId="762CEDEA" w:rsidR="008E539E" w:rsidRPr="000F153D" w:rsidRDefault="008E539E" w:rsidP="009F5F8D">
            <w:pPr>
              <w:tabs>
                <w:tab w:val="left" w:pos="4111"/>
              </w:tabs>
              <w:spacing w:after="120"/>
              <w:ind w:left="57"/>
              <w:rPr>
                <w:b/>
                <w:bCs/>
                <w:szCs w:val="22"/>
              </w:rPr>
            </w:pPr>
            <w:r w:rsidRPr="000F153D">
              <w:rPr>
                <w:b/>
                <w:bCs/>
                <w:szCs w:val="22"/>
              </w:rPr>
              <w:t>Concours de l'UIT sur l'intelligence artificielle/l'apprentissage automatique (AI/ML) dans la 5G</w:t>
            </w:r>
          </w:p>
        </w:tc>
      </w:tr>
    </w:tbl>
    <w:p w14:paraId="63141D16" w14:textId="77777777" w:rsidR="00517A03" w:rsidRPr="000F153D" w:rsidRDefault="00517A03" w:rsidP="00A5280F">
      <w:bookmarkStart w:id="1" w:name="StartTyping_F"/>
      <w:bookmarkEnd w:id="1"/>
      <w:r w:rsidRPr="000F153D">
        <w:t>Madame, Monsieur,</w:t>
      </w:r>
    </w:p>
    <w:p w14:paraId="1091312B" w14:textId="77777777" w:rsidR="008E539E" w:rsidRPr="008E539E" w:rsidRDefault="008E539E" w:rsidP="008E539E">
      <w:pPr>
        <w:rPr>
          <w:bCs/>
        </w:rPr>
      </w:pPr>
      <w:r w:rsidRPr="008E539E">
        <w:rPr>
          <w:bCs/>
        </w:rPr>
        <w:t>1</w:t>
      </w:r>
      <w:r w:rsidRPr="008E539E">
        <w:rPr>
          <w:bCs/>
        </w:rPr>
        <w:tab/>
        <w:t>J'ai l'honneur de vous inviter à participer au Concours de l'UIT sur l'intelligence artificielle/l'apprentissage automatique dans la 5G, qui commence dès à présent et se terminera à la fin de l'année.</w:t>
      </w:r>
    </w:p>
    <w:p w14:paraId="2D17F4F2" w14:textId="77777777" w:rsidR="008E539E" w:rsidRPr="008E539E" w:rsidRDefault="008E539E" w:rsidP="008E539E">
      <w:pPr>
        <w:rPr>
          <w:bCs/>
        </w:rPr>
      </w:pPr>
      <w:r w:rsidRPr="008E539E">
        <w:rPr>
          <w:bCs/>
        </w:rPr>
        <w:t>2</w:t>
      </w:r>
      <w:r w:rsidRPr="008E539E">
        <w:rPr>
          <w:bCs/>
        </w:rPr>
        <w:tab/>
        <w:t>L'intelligence artificielle (AI) sera la principale technologie de demain et aura une influence sur tous les aspects de notre société. En particulier, l'AI et l'apprentissage automatique détermineront comment les réseaux de communication, outils indispensables à notre société, seront exploités. De nombreuses entreprises du secteur des TIC cherchent actuellement comment les utiliser au mieux.</w:t>
      </w:r>
    </w:p>
    <w:p w14:paraId="0B1CB5D8" w14:textId="77777777" w:rsidR="008E539E" w:rsidRPr="000F153D" w:rsidRDefault="008E539E" w:rsidP="009F5F8D">
      <w:r w:rsidRPr="000F153D">
        <w:t>3</w:t>
      </w:r>
      <w:r w:rsidRPr="000F153D">
        <w:tab/>
        <w:t>L'UIT est à l'avant-garde de ces efforts visant à chercher comment appliquer au mieux l'AI et l'apprentissage automatique dans les réseaux futurs, y compris les réseaux 5G, et a déjà approuvé quatre spécifications, qui font partie d'un kit pratique visant à mettre en œuvre l'apprentissage automatique dans les réseaux de communication</w:t>
      </w:r>
      <w:r w:rsidRPr="000F153D">
        <w:rPr>
          <w:vertAlign w:val="superscript"/>
        </w:rPr>
        <w:footnoteReference w:id="1"/>
      </w:r>
      <w:r w:rsidRPr="000F153D">
        <w:t>. Par ailleurs, d'autres normes sont en cours d'élaboration</w:t>
      </w:r>
      <w:r w:rsidRPr="000F153D">
        <w:rPr>
          <w:vertAlign w:val="superscript"/>
        </w:rPr>
        <w:footnoteReference w:id="2"/>
      </w:r>
      <w:r w:rsidRPr="000F153D">
        <w:t>.</w:t>
      </w:r>
    </w:p>
    <w:p w14:paraId="6778CF59" w14:textId="6015441C" w:rsidR="008E539E" w:rsidRPr="008E539E" w:rsidRDefault="008E539E" w:rsidP="008E539E">
      <w:pPr>
        <w:rPr>
          <w:bCs/>
        </w:rPr>
      </w:pPr>
      <w:r w:rsidRPr="008E539E">
        <w:rPr>
          <w:bCs/>
        </w:rPr>
        <w:lastRenderedPageBreak/>
        <w:t>4</w:t>
      </w:r>
      <w:r w:rsidRPr="008E539E">
        <w:rPr>
          <w:bCs/>
        </w:rPr>
        <w:tab/>
        <w:t xml:space="preserve">Ce concours devrait mettre à profit les activités de normalisation de l'UIT grâce à l'adoption du kit pratique de l'UIT sur l'AI/ML dans les réseaux 5G pour élaborer des solutions de bout en bout qui permettront la mise en </w:t>
      </w:r>
      <w:r w:rsidR="009F5F8D" w:rsidRPr="000F153D">
        <w:rPr>
          <w:bCs/>
        </w:rPr>
        <w:t>œuvre</w:t>
      </w:r>
      <w:r w:rsidRPr="008E539E">
        <w:rPr>
          <w:bCs/>
        </w:rPr>
        <w:t xml:space="preserve"> de toutes les capacités des modèles d'AI/ML dans un réseau 5G.</w:t>
      </w:r>
    </w:p>
    <w:p w14:paraId="20B765CC" w14:textId="77777777" w:rsidR="008E539E" w:rsidRPr="008E539E" w:rsidRDefault="008E539E" w:rsidP="008E539E">
      <w:pPr>
        <w:rPr>
          <w:bCs/>
        </w:rPr>
      </w:pPr>
      <w:r w:rsidRPr="008E539E">
        <w:rPr>
          <w:bCs/>
        </w:rPr>
        <w:t>5</w:t>
      </w:r>
      <w:r w:rsidRPr="008E539E">
        <w:rPr>
          <w:bCs/>
        </w:rPr>
        <w:tab/>
        <w:t>Les participants seront capables de résoudre des problèmes du monde réel, au moyen de technologies normalisées, élaborées pour l'apprentissage automatique dans les réseaux 5G. Les équipes devront imaginer, créer, entraîner et déployer des modèles ML, ce qui permettra aux participants d'acquérir une expérience pratique en matière d'AI/ML dans des domaines présentant un intérêt pour la 5G.</w:t>
      </w:r>
    </w:p>
    <w:p w14:paraId="36C8FC21" w14:textId="3FFE074B" w:rsidR="008E539E" w:rsidRPr="008E539E" w:rsidRDefault="008E539E" w:rsidP="00662BDF">
      <w:pPr>
        <w:spacing w:after="240"/>
        <w:rPr>
          <w:bCs/>
        </w:rPr>
      </w:pPr>
      <w:r w:rsidRPr="008E539E">
        <w:rPr>
          <w:bCs/>
        </w:rPr>
        <w:t>6</w:t>
      </w:r>
      <w:r w:rsidRPr="008E539E">
        <w:rPr>
          <w:bCs/>
        </w:rPr>
        <w:tab/>
        <w:t>Les énoncés des problèmes qui seront soumis aux participants seront divisés en quatre</w:t>
      </w:r>
      <w:r w:rsidR="00662BDF" w:rsidRPr="000F153D">
        <w:rPr>
          <w:bCs/>
        </w:rPr>
        <w:t> </w:t>
      </w:r>
      <w:r w:rsidRPr="008E539E">
        <w:rPr>
          <w:bCs/>
        </w:rPr>
        <w:t xml:space="preserve">axes techniques, associés à quatre scénarios de </w:t>
      </w:r>
      <w:proofErr w:type="gramStart"/>
      <w:r w:rsidRPr="008E539E">
        <w:rPr>
          <w:bCs/>
        </w:rPr>
        <w:t>données:</w:t>
      </w:r>
      <w:proofErr w:type="gramEnd"/>
    </w:p>
    <w:tbl>
      <w:tblPr>
        <w:tblStyle w:val="TableGrid"/>
        <w:tblW w:w="8980" w:type="dxa"/>
        <w:jc w:val="center"/>
        <w:tblLook w:val="04A0" w:firstRow="1" w:lastRow="0" w:firstColumn="1" w:lastColumn="0" w:noHBand="0" w:noVBand="1"/>
      </w:tblPr>
      <w:tblGrid>
        <w:gridCol w:w="2271"/>
        <w:gridCol w:w="1788"/>
        <w:gridCol w:w="1951"/>
        <w:gridCol w:w="1626"/>
        <w:gridCol w:w="1344"/>
      </w:tblGrid>
      <w:tr w:rsidR="008E539E" w:rsidRPr="008E539E" w14:paraId="66A54E6C" w14:textId="77777777" w:rsidTr="002C6A3A">
        <w:trPr>
          <w:trHeight w:val="690"/>
          <w:jc w:val="center"/>
        </w:trPr>
        <w:tc>
          <w:tcPr>
            <w:tcW w:w="2271" w:type="dxa"/>
          </w:tcPr>
          <w:p w14:paraId="577D6098" w14:textId="77777777" w:rsidR="008E539E" w:rsidRPr="000F153D" w:rsidRDefault="008E539E" w:rsidP="00662BDF">
            <w:pPr>
              <w:pStyle w:val="TableHead"/>
            </w:pPr>
            <w:r w:rsidRPr="000F153D">
              <w:t>Axes techniques</w:t>
            </w:r>
          </w:p>
        </w:tc>
        <w:tc>
          <w:tcPr>
            <w:tcW w:w="1788" w:type="dxa"/>
          </w:tcPr>
          <w:p w14:paraId="22706B89" w14:textId="08D8F7AB" w:rsidR="008E539E" w:rsidRPr="000F153D" w:rsidRDefault="008E539E" w:rsidP="00662BDF">
            <w:pPr>
              <w:pStyle w:val="TableHead"/>
            </w:pPr>
            <w:r w:rsidRPr="000F153D">
              <w:t>Données réelles</w:t>
            </w:r>
            <w:r w:rsidR="00662BDF" w:rsidRPr="000F153D">
              <w:br/>
            </w:r>
            <w:r w:rsidRPr="000F153D">
              <w:t>(axe "sécurité")</w:t>
            </w:r>
          </w:p>
        </w:tc>
        <w:tc>
          <w:tcPr>
            <w:tcW w:w="1951" w:type="dxa"/>
          </w:tcPr>
          <w:p w14:paraId="4DDA3A9D" w14:textId="77777777" w:rsidR="008E539E" w:rsidRPr="000F153D" w:rsidRDefault="008E539E" w:rsidP="00662BDF">
            <w:pPr>
              <w:pStyle w:val="TableHead"/>
            </w:pPr>
            <w:r w:rsidRPr="000F153D">
              <w:t>Données ouvertes</w:t>
            </w:r>
          </w:p>
        </w:tc>
        <w:tc>
          <w:tcPr>
            <w:tcW w:w="1626" w:type="dxa"/>
          </w:tcPr>
          <w:p w14:paraId="48077CB1" w14:textId="77777777" w:rsidR="008E539E" w:rsidRPr="000F153D" w:rsidRDefault="008E539E" w:rsidP="00662BDF">
            <w:pPr>
              <w:pStyle w:val="TableHead"/>
            </w:pPr>
            <w:r w:rsidRPr="000F153D">
              <w:t>Données synthétisées</w:t>
            </w:r>
          </w:p>
        </w:tc>
        <w:tc>
          <w:tcPr>
            <w:tcW w:w="1344" w:type="dxa"/>
          </w:tcPr>
          <w:p w14:paraId="62475C1A" w14:textId="77777777" w:rsidR="008E539E" w:rsidRPr="000F153D" w:rsidRDefault="008E539E" w:rsidP="00662BDF">
            <w:pPr>
              <w:pStyle w:val="TableHead"/>
            </w:pPr>
            <w:r w:rsidRPr="000F153D">
              <w:t>Aucune donnée</w:t>
            </w:r>
          </w:p>
        </w:tc>
      </w:tr>
      <w:tr w:rsidR="008E539E" w:rsidRPr="008E539E" w14:paraId="11A93B4C" w14:textId="77777777" w:rsidTr="00662BDF">
        <w:trPr>
          <w:trHeight w:val="411"/>
          <w:jc w:val="center"/>
        </w:trPr>
        <w:tc>
          <w:tcPr>
            <w:tcW w:w="2271" w:type="dxa"/>
            <w:vAlign w:val="center"/>
          </w:tcPr>
          <w:p w14:paraId="6EBE8489" w14:textId="77777777" w:rsidR="008E539E" w:rsidRPr="000F153D" w:rsidRDefault="008E539E" w:rsidP="00662BDF">
            <w:pPr>
              <w:pStyle w:val="TableText"/>
              <w:jc w:val="center"/>
            </w:pPr>
            <w:r w:rsidRPr="000F153D">
              <w:t>Réseau</w:t>
            </w:r>
          </w:p>
        </w:tc>
        <w:tc>
          <w:tcPr>
            <w:tcW w:w="1788" w:type="dxa"/>
            <w:vAlign w:val="center"/>
          </w:tcPr>
          <w:p w14:paraId="1DEF6CEA" w14:textId="77777777" w:rsidR="008E539E" w:rsidRPr="000F153D" w:rsidRDefault="008E539E" w:rsidP="00662BDF">
            <w:pPr>
              <w:pStyle w:val="TableText"/>
              <w:jc w:val="center"/>
            </w:pPr>
            <w:r w:rsidRPr="000F153D">
              <w:sym w:font="Wingdings" w:char="F0FC"/>
            </w:r>
          </w:p>
        </w:tc>
        <w:tc>
          <w:tcPr>
            <w:tcW w:w="1951" w:type="dxa"/>
            <w:vAlign w:val="center"/>
          </w:tcPr>
          <w:p w14:paraId="05320B47" w14:textId="77777777" w:rsidR="008E539E" w:rsidRPr="000F153D" w:rsidRDefault="008E539E" w:rsidP="00662BDF">
            <w:pPr>
              <w:pStyle w:val="TableText"/>
              <w:jc w:val="center"/>
            </w:pPr>
            <w:r w:rsidRPr="000F153D">
              <w:sym w:font="Wingdings" w:char="F0FC"/>
            </w:r>
          </w:p>
        </w:tc>
        <w:tc>
          <w:tcPr>
            <w:tcW w:w="1626" w:type="dxa"/>
            <w:vAlign w:val="center"/>
          </w:tcPr>
          <w:p w14:paraId="6BE75418" w14:textId="77777777" w:rsidR="008E539E" w:rsidRPr="000F153D" w:rsidRDefault="008E539E" w:rsidP="00662BDF">
            <w:pPr>
              <w:pStyle w:val="TableText"/>
              <w:jc w:val="center"/>
            </w:pPr>
            <w:r w:rsidRPr="000F153D">
              <w:sym w:font="Wingdings" w:char="F0FC"/>
            </w:r>
          </w:p>
        </w:tc>
        <w:tc>
          <w:tcPr>
            <w:tcW w:w="1344" w:type="dxa"/>
            <w:vAlign w:val="center"/>
          </w:tcPr>
          <w:p w14:paraId="24920A7E" w14:textId="77777777" w:rsidR="008E539E" w:rsidRPr="000F153D" w:rsidRDefault="008E539E" w:rsidP="00662BDF">
            <w:pPr>
              <w:pStyle w:val="TableText"/>
              <w:jc w:val="center"/>
            </w:pPr>
          </w:p>
        </w:tc>
      </w:tr>
      <w:tr w:rsidR="008E539E" w:rsidRPr="008E539E" w14:paraId="0CDDF5D7" w14:textId="77777777" w:rsidTr="00662BDF">
        <w:trPr>
          <w:trHeight w:val="416"/>
          <w:jc w:val="center"/>
        </w:trPr>
        <w:tc>
          <w:tcPr>
            <w:tcW w:w="2271" w:type="dxa"/>
            <w:vAlign w:val="center"/>
          </w:tcPr>
          <w:p w14:paraId="24549CF1" w14:textId="77777777" w:rsidR="008E539E" w:rsidRPr="000F153D" w:rsidRDefault="008E539E" w:rsidP="00662BDF">
            <w:pPr>
              <w:pStyle w:val="TableText"/>
              <w:jc w:val="center"/>
            </w:pPr>
            <w:r w:rsidRPr="000F153D">
              <w:t>Processus verticaux</w:t>
            </w:r>
          </w:p>
        </w:tc>
        <w:tc>
          <w:tcPr>
            <w:tcW w:w="1788" w:type="dxa"/>
            <w:vAlign w:val="center"/>
          </w:tcPr>
          <w:p w14:paraId="5D158438" w14:textId="77777777" w:rsidR="008E539E" w:rsidRPr="000F153D" w:rsidRDefault="008E539E" w:rsidP="00662BDF">
            <w:pPr>
              <w:pStyle w:val="TableText"/>
              <w:jc w:val="center"/>
            </w:pPr>
            <w:r w:rsidRPr="000F153D">
              <w:sym w:font="Wingdings" w:char="F0FC"/>
            </w:r>
          </w:p>
        </w:tc>
        <w:tc>
          <w:tcPr>
            <w:tcW w:w="1951" w:type="dxa"/>
            <w:vAlign w:val="center"/>
          </w:tcPr>
          <w:p w14:paraId="1D7E3ACD" w14:textId="77777777" w:rsidR="008E539E" w:rsidRPr="000F153D" w:rsidRDefault="008E539E" w:rsidP="00662BDF">
            <w:pPr>
              <w:pStyle w:val="TableText"/>
              <w:jc w:val="center"/>
            </w:pPr>
            <w:r w:rsidRPr="000F153D">
              <w:sym w:font="Wingdings" w:char="F0FC"/>
            </w:r>
          </w:p>
        </w:tc>
        <w:tc>
          <w:tcPr>
            <w:tcW w:w="1626" w:type="dxa"/>
            <w:vAlign w:val="center"/>
          </w:tcPr>
          <w:p w14:paraId="0EA297E0" w14:textId="77777777" w:rsidR="008E539E" w:rsidRPr="000F153D" w:rsidRDefault="008E539E" w:rsidP="00662BDF">
            <w:pPr>
              <w:pStyle w:val="TableText"/>
              <w:jc w:val="center"/>
            </w:pPr>
            <w:r w:rsidRPr="000F153D">
              <w:sym w:font="Wingdings" w:char="F0FC"/>
            </w:r>
          </w:p>
        </w:tc>
        <w:tc>
          <w:tcPr>
            <w:tcW w:w="1344" w:type="dxa"/>
            <w:vAlign w:val="center"/>
          </w:tcPr>
          <w:p w14:paraId="0EA93835" w14:textId="77777777" w:rsidR="008E539E" w:rsidRPr="000F153D" w:rsidRDefault="008E539E" w:rsidP="00662BDF">
            <w:pPr>
              <w:pStyle w:val="TableText"/>
              <w:jc w:val="center"/>
            </w:pPr>
          </w:p>
        </w:tc>
      </w:tr>
      <w:tr w:rsidR="008E539E" w:rsidRPr="008E539E" w14:paraId="608A984C" w14:textId="77777777" w:rsidTr="00662BDF">
        <w:trPr>
          <w:trHeight w:val="422"/>
          <w:jc w:val="center"/>
        </w:trPr>
        <w:tc>
          <w:tcPr>
            <w:tcW w:w="2271" w:type="dxa"/>
            <w:vAlign w:val="center"/>
          </w:tcPr>
          <w:p w14:paraId="3A2CEF81" w14:textId="77777777" w:rsidR="008E539E" w:rsidRPr="000F153D" w:rsidRDefault="008E539E" w:rsidP="00662BDF">
            <w:pPr>
              <w:pStyle w:val="TableText"/>
              <w:jc w:val="center"/>
            </w:pPr>
            <w:r w:rsidRPr="000F153D">
              <w:t>Catalyseurs</w:t>
            </w:r>
          </w:p>
        </w:tc>
        <w:tc>
          <w:tcPr>
            <w:tcW w:w="1788" w:type="dxa"/>
            <w:vAlign w:val="center"/>
          </w:tcPr>
          <w:p w14:paraId="68ECFCC1" w14:textId="77777777" w:rsidR="008E539E" w:rsidRPr="000F153D" w:rsidRDefault="008E539E" w:rsidP="00662BDF">
            <w:pPr>
              <w:pStyle w:val="TableText"/>
              <w:jc w:val="center"/>
            </w:pPr>
          </w:p>
        </w:tc>
        <w:tc>
          <w:tcPr>
            <w:tcW w:w="1951" w:type="dxa"/>
            <w:vAlign w:val="center"/>
          </w:tcPr>
          <w:p w14:paraId="66A97099" w14:textId="77777777" w:rsidR="008E539E" w:rsidRPr="000F153D" w:rsidRDefault="008E539E" w:rsidP="00662BDF">
            <w:pPr>
              <w:pStyle w:val="TableText"/>
              <w:jc w:val="center"/>
            </w:pPr>
          </w:p>
        </w:tc>
        <w:tc>
          <w:tcPr>
            <w:tcW w:w="1626" w:type="dxa"/>
            <w:vAlign w:val="center"/>
          </w:tcPr>
          <w:p w14:paraId="0D517A6C" w14:textId="77777777" w:rsidR="008E539E" w:rsidRPr="000F153D" w:rsidRDefault="008E539E" w:rsidP="00662BDF">
            <w:pPr>
              <w:pStyle w:val="TableText"/>
              <w:jc w:val="center"/>
            </w:pPr>
          </w:p>
        </w:tc>
        <w:tc>
          <w:tcPr>
            <w:tcW w:w="1344" w:type="dxa"/>
            <w:vAlign w:val="center"/>
          </w:tcPr>
          <w:p w14:paraId="09D236BD" w14:textId="77777777" w:rsidR="008E539E" w:rsidRPr="000F153D" w:rsidRDefault="008E539E" w:rsidP="00662BDF">
            <w:pPr>
              <w:pStyle w:val="TableText"/>
              <w:jc w:val="center"/>
            </w:pPr>
            <w:r w:rsidRPr="000F153D">
              <w:sym w:font="Wingdings" w:char="F0FC"/>
            </w:r>
          </w:p>
        </w:tc>
      </w:tr>
      <w:tr w:rsidR="008E539E" w:rsidRPr="008E539E" w14:paraId="721CC721" w14:textId="77777777" w:rsidTr="00662BDF">
        <w:trPr>
          <w:trHeight w:val="415"/>
          <w:jc w:val="center"/>
        </w:trPr>
        <w:tc>
          <w:tcPr>
            <w:tcW w:w="2271" w:type="dxa"/>
            <w:vAlign w:val="center"/>
          </w:tcPr>
          <w:p w14:paraId="400178D2" w14:textId="77777777" w:rsidR="008E539E" w:rsidRPr="000F153D" w:rsidRDefault="008E539E" w:rsidP="00662BDF">
            <w:pPr>
              <w:pStyle w:val="TableText"/>
              <w:jc w:val="center"/>
            </w:pPr>
            <w:r w:rsidRPr="000F153D">
              <w:t>Bien social</w:t>
            </w:r>
          </w:p>
        </w:tc>
        <w:tc>
          <w:tcPr>
            <w:tcW w:w="1788" w:type="dxa"/>
            <w:vAlign w:val="center"/>
          </w:tcPr>
          <w:p w14:paraId="1384E8A2" w14:textId="77777777" w:rsidR="008E539E" w:rsidRPr="000F153D" w:rsidRDefault="008E539E" w:rsidP="00662BDF">
            <w:pPr>
              <w:pStyle w:val="TableText"/>
              <w:jc w:val="center"/>
            </w:pPr>
            <w:r w:rsidRPr="000F153D">
              <w:sym w:font="Wingdings" w:char="F0FC"/>
            </w:r>
          </w:p>
        </w:tc>
        <w:tc>
          <w:tcPr>
            <w:tcW w:w="1951" w:type="dxa"/>
            <w:vAlign w:val="center"/>
          </w:tcPr>
          <w:p w14:paraId="6CDD483F" w14:textId="77777777" w:rsidR="008E539E" w:rsidRPr="000F153D" w:rsidRDefault="008E539E" w:rsidP="00662BDF">
            <w:pPr>
              <w:pStyle w:val="TableText"/>
              <w:jc w:val="center"/>
            </w:pPr>
            <w:r w:rsidRPr="000F153D">
              <w:sym w:font="Wingdings" w:char="F0FC"/>
            </w:r>
          </w:p>
        </w:tc>
        <w:tc>
          <w:tcPr>
            <w:tcW w:w="1626" w:type="dxa"/>
            <w:vAlign w:val="center"/>
          </w:tcPr>
          <w:p w14:paraId="002977FA" w14:textId="77777777" w:rsidR="008E539E" w:rsidRPr="000F153D" w:rsidRDefault="008E539E" w:rsidP="00662BDF">
            <w:pPr>
              <w:pStyle w:val="TableText"/>
              <w:jc w:val="center"/>
            </w:pPr>
            <w:r w:rsidRPr="000F153D">
              <w:sym w:font="Wingdings" w:char="F0FC"/>
            </w:r>
          </w:p>
        </w:tc>
        <w:tc>
          <w:tcPr>
            <w:tcW w:w="1344" w:type="dxa"/>
            <w:vAlign w:val="center"/>
          </w:tcPr>
          <w:p w14:paraId="51EC5243" w14:textId="77777777" w:rsidR="008E539E" w:rsidRPr="000F153D" w:rsidRDefault="008E539E" w:rsidP="00662BDF">
            <w:pPr>
              <w:pStyle w:val="TableText"/>
              <w:jc w:val="center"/>
            </w:pPr>
            <w:r w:rsidRPr="000F153D">
              <w:sym w:font="Wingdings" w:char="F0FC"/>
            </w:r>
          </w:p>
        </w:tc>
      </w:tr>
    </w:tbl>
    <w:p w14:paraId="55102FB4" w14:textId="77777777" w:rsidR="008E539E" w:rsidRPr="008E539E" w:rsidRDefault="008E539E" w:rsidP="00662BDF">
      <w:pPr>
        <w:spacing w:before="240"/>
        <w:rPr>
          <w:bCs/>
        </w:rPr>
      </w:pPr>
      <w:r w:rsidRPr="008E539E">
        <w:rPr>
          <w:bCs/>
        </w:rPr>
        <w:t>7</w:t>
      </w:r>
      <w:r w:rsidRPr="008E539E">
        <w:rPr>
          <w:bCs/>
        </w:rPr>
        <w:tab/>
        <w:t xml:space="preserve">Le concours se déroulera en trois </w:t>
      </w:r>
      <w:proofErr w:type="gramStart"/>
      <w:r w:rsidRPr="008E539E">
        <w:rPr>
          <w:bCs/>
        </w:rPr>
        <w:t>phases:</w:t>
      </w:r>
      <w:proofErr w:type="gramEnd"/>
    </w:p>
    <w:p w14:paraId="6902E9D3" w14:textId="7910180A" w:rsidR="008E539E" w:rsidRPr="008E539E" w:rsidRDefault="008E539E" w:rsidP="008E539E">
      <w:pPr>
        <w:rPr>
          <w:b/>
          <w:bCs/>
        </w:rPr>
      </w:pPr>
      <w:r w:rsidRPr="008E539E">
        <w:rPr>
          <w:b/>
          <w:bCs/>
        </w:rPr>
        <w:t xml:space="preserve">1ère phase – Manche </w:t>
      </w:r>
      <w:proofErr w:type="gramStart"/>
      <w:r w:rsidRPr="008E539E">
        <w:rPr>
          <w:b/>
          <w:bCs/>
        </w:rPr>
        <w:t>régionale</w:t>
      </w:r>
      <w:r w:rsidRPr="002C6A3A">
        <w:rPr>
          <w:bCs/>
        </w:rPr>
        <w:t>:</w:t>
      </w:r>
      <w:proofErr w:type="gramEnd"/>
      <w:r w:rsidRPr="008E539E">
        <w:rPr>
          <w:b/>
          <w:bCs/>
        </w:rPr>
        <w:t xml:space="preserve"> </w:t>
      </w:r>
      <w:r w:rsidRPr="008E539E">
        <w:rPr>
          <w:bCs/>
        </w:rPr>
        <w:t xml:space="preserve">Elle se déroulera dans les régions/pays. Les meilleurs projets de chaque région seront sélectionnés pour la manche internationale. La première manche aura lieu </w:t>
      </w:r>
      <w:r w:rsidR="00662BDF" w:rsidRPr="000F153D">
        <w:rPr>
          <w:bCs/>
        </w:rPr>
        <w:t xml:space="preserve">de </w:t>
      </w:r>
      <w:r w:rsidRPr="008E539E">
        <w:rPr>
          <w:bCs/>
        </w:rPr>
        <w:t>mai à juillet 2020.</w:t>
      </w:r>
    </w:p>
    <w:p w14:paraId="2FD130E6" w14:textId="77777777" w:rsidR="008E539E" w:rsidRPr="008E539E" w:rsidRDefault="008E539E" w:rsidP="008E539E">
      <w:pPr>
        <w:rPr>
          <w:bCs/>
        </w:rPr>
      </w:pPr>
      <w:r w:rsidRPr="008E539E">
        <w:rPr>
          <w:b/>
          <w:bCs/>
        </w:rPr>
        <w:t xml:space="preserve">2ème phase – Manche </w:t>
      </w:r>
      <w:proofErr w:type="gramStart"/>
      <w:r w:rsidRPr="008E539E">
        <w:rPr>
          <w:b/>
          <w:bCs/>
        </w:rPr>
        <w:t>internationale</w:t>
      </w:r>
      <w:r w:rsidRPr="002C6A3A">
        <w:rPr>
          <w:bCs/>
        </w:rPr>
        <w:t>:</w:t>
      </w:r>
      <w:proofErr w:type="gramEnd"/>
      <w:r w:rsidRPr="008E539E">
        <w:rPr>
          <w:b/>
          <w:bCs/>
        </w:rPr>
        <w:t xml:space="preserve"> </w:t>
      </w:r>
      <w:r w:rsidRPr="008E539E">
        <w:rPr>
          <w:bCs/>
        </w:rPr>
        <w:t>Les meilleurs projets de la manche internationale seront en lice pour le premier prix lors de la troisième manche. La deuxième manche aura lieu d'août à octobre 2020.</w:t>
      </w:r>
    </w:p>
    <w:p w14:paraId="074DBAF4" w14:textId="77777777" w:rsidR="008E539E" w:rsidRPr="008E539E" w:rsidRDefault="008E539E" w:rsidP="008E539E">
      <w:pPr>
        <w:rPr>
          <w:bCs/>
        </w:rPr>
      </w:pPr>
      <w:r w:rsidRPr="008E539E">
        <w:rPr>
          <w:b/>
          <w:bCs/>
        </w:rPr>
        <w:t xml:space="preserve">3ème phase – </w:t>
      </w:r>
      <w:proofErr w:type="gramStart"/>
      <w:r w:rsidRPr="008E539E">
        <w:rPr>
          <w:b/>
          <w:bCs/>
        </w:rPr>
        <w:t>Finale</w:t>
      </w:r>
      <w:r w:rsidRPr="002C6A3A">
        <w:rPr>
          <w:bCs/>
        </w:rPr>
        <w:t>:</w:t>
      </w:r>
      <w:proofErr w:type="gramEnd"/>
      <w:r w:rsidRPr="008E539E">
        <w:rPr>
          <w:b/>
          <w:bCs/>
        </w:rPr>
        <w:t xml:space="preserve"> </w:t>
      </w:r>
      <w:r w:rsidRPr="008E539E">
        <w:rPr>
          <w:bCs/>
        </w:rPr>
        <w:t>Cette manche comprendra des démonstrations et des présentations qui auront lieu lors de la finale. Les lauréats du concours seront choisis parmi les meilleures équipes lors de la phase finale. Cette phase – qui constitue la troisième manche du concours – est prévue pour la fin de l'année.</w:t>
      </w:r>
    </w:p>
    <w:p w14:paraId="4C09DC7C" w14:textId="23195BFD" w:rsidR="008E539E" w:rsidRPr="008E539E" w:rsidRDefault="008E539E" w:rsidP="008E539E">
      <w:pPr>
        <w:rPr>
          <w:bCs/>
        </w:rPr>
      </w:pPr>
      <w:r w:rsidRPr="008E539E">
        <w:rPr>
          <w:bCs/>
        </w:rPr>
        <w:t xml:space="preserve">Jusqu'à la fin du mois d'avril 2020, nous procédons à la promotion du concours et à la mise en place de son infrastructure. Nous sommes heureux d'annoncer que la </w:t>
      </w:r>
      <w:hyperlink r:id="rId10" w:history="1">
        <w:r w:rsidRPr="008E539E">
          <w:rPr>
            <w:rStyle w:val="Hyperlink"/>
            <w:bCs/>
            <w:i/>
            <w:iCs/>
          </w:rPr>
          <w:t>LF AI</w:t>
        </w:r>
        <w:r w:rsidRPr="002C6A3A">
          <w:rPr>
            <w:rStyle w:val="Hyperlink"/>
            <w:bCs/>
            <w:i/>
            <w:iCs/>
            <w:u w:val="none"/>
          </w:rPr>
          <w:t xml:space="preserve"> </w:t>
        </w:r>
      </w:hyperlink>
      <w:r w:rsidRPr="008E539E">
        <w:rPr>
          <w:bCs/>
          <w:i/>
          <w:iCs/>
        </w:rPr>
        <w:t xml:space="preserve">Foundation </w:t>
      </w:r>
      <w:r w:rsidRPr="008E539E">
        <w:rPr>
          <w:bCs/>
        </w:rPr>
        <w:t>est un partenaire pour la promotion du Concours de l'UIT sur l'AI/ML dans la 5G.</w:t>
      </w:r>
    </w:p>
    <w:p w14:paraId="315C6394" w14:textId="77777777" w:rsidR="008E539E" w:rsidRPr="008E539E" w:rsidRDefault="008E539E" w:rsidP="008E539E">
      <w:pPr>
        <w:rPr>
          <w:bCs/>
        </w:rPr>
      </w:pPr>
      <w:r w:rsidRPr="008E539E">
        <w:rPr>
          <w:bCs/>
        </w:rPr>
        <w:t>8</w:t>
      </w:r>
      <w:r w:rsidRPr="008E539E">
        <w:rPr>
          <w:bCs/>
        </w:rPr>
        <w:tab/>
        <w:t>La participation au concours est gratuite et ouverte à toutes les parties intéressées issues de pays membres de l'UIT. Si l'une des questions ci-après vous intéresse, veuillez nous le faire savoir en remplissant le formulaire figurant sur le site web [</w:t>
      </w:r>
      <w:hyperlink r:id="rId11" w:history="1">
        <w:r w:rsidRPr="008E539E">
          <w:rPr>
            <w:rStyle w:val="Hyperlink"/>
            <w:bCs/>
          </w:rPr>
          <w:t>lien</w:t>
        </w:r>
      </w:hyperlink>
      <w:r w:rsidRPr="008E539E">
        <w:rPr>
          <w:bCs/>
        </w:rPr>
        <w:t xml:space="preserve">]. Nous conviendrons alors avec vous d'un entretien téléphonique, afin d'en discuter en </w:t>
      </w:r>
      <w:proofErr w:type="gramStart"/>
      <w:r w:rsidRPr="008E539E">
        <w:rPr>
          <w:bCs/>
        </w:rPr>
        <w:t>détail:</w:t>
      </w:r>
      <w:proofErr w:type="gramEnd"/>
    </w:p>
    <w:p w14:paraId="4064F923" w14:textId="7C50ED78" w:rsidR="008E539E" w:rsidRPr="000F153D" w:rsidRDefault="00662BDF" w:rsidP="00662BDF">
      <w:pPr>
        <w:pStyle w:val="enumlev1"/>
      </w:pPr>
      <w:r w:rsidRPr="000F153D">
        <w:t>–</w:t>
      </w:r>
      <w:r w:rsidRPr="000F153D">
        <w:tab/>
      </w:r>
      <w:r w:rsidR="008E539E" w:rsidRPr="000F153D">
        <w:t xml:space="preserve">Qui désigneriez-vous pour faire partie du Comité de gestion du </w:t>
      </w:r>
      <w:proofErr w:type="gramStart"/>
      <w:r w:rsidR="008E539E" w:rsidRPr="000F153D">
        <w:t>concours?</w:t>
      </w:r>
      <w:proofErr w:type="gramEnd"/>
    </w:p>
    <w:p w14:paraId="7CB67B6B" w14:textId="3C2BE81E" w:rsidR="008E539E" w:rsidRPr="000F153D" w:rsidRDefault="00662BDF" w:rsidP="00662BDF">
      <w:pPr>
        <w:pStyle w:val="enumlev1"/>
      </w:pPr>
      <w:r w:rsidRPr="000F153D">
        <w:t>–</w:t>
      </w:r>
      <w:r w:rsidRPr="000F153D">
        <w:tab/>
      </w:r>
      <w:r w:rsidR="008E539E" w:rsidRPr="000F153D">
        <w:t xml:space="preserve">Avez-vous des propositions à ajouter à la liste des énoncés des problèmes et des </w:t>
      </w:r>
      <w:proofErr w:type="gramStart"/>
      <w:r w:rsidR="008E539E" w:rsidRPr="000F153D">
        <w:t>ressources?</w:t>
      </w:r>
      <w:proofErr w:type="gramEnd"/>
      <w:r w:rsidR="008E539E" w:rsidRPr="000F153D">
        <w:t xml:space="preserve"> La liste actuelle des énoncés des problèmes et des ressources figure dans le document "</w:t>
      </w:r>
      <w:hyperlink r:id="rId12" w:history="1">
        <w:r w:rsidR="008E539E" w:rsidRPr="000F153D">
          <w:rPr>
            <w:rStyle w:val="Hyperlink"/>
            <w:bCs/>
          </w:rPr>
          <w:t>Énoncés des problèmes et ressources de données</w:t>
        </w:r>
      </w:hyperlink>
      <w:r w:rsidR="008E539E" w:rsidRPr="000F153D">
        <w:t>", disponible sur le site web du concours.</w:t>
      </w:r>
    </w:p>
    <w:p w14:paraId="01E3086C" w14:textId="77777777" w:rsidR="00662BDF" w:rsidRPr="000F153D" w:rsidRDefault="00662BDF" w:rsidP="00662BDF">
      <w:pPr>
        <w:pStyle w:val="enumlev1"/>
      </w:pPr>
      <w:r w:rsidRPr="000F153D">
        <w:br w:type="page"/>
      </w:r>
    </w:p>
    <w:p w14:paraId="7FA9B18D" w14:textId="6B8C5698" w:rsidR="008E539E" w:rsidRPr="000F153D" w:rsidRDefault="00662BDF" w:rsidP="00662BDF">
      <w:pPr>
        <w:pStyle w:val="enumlev1"/>
      </w:pPr>
      <w:r w:rsidRPr="000F153D">
        <w:lastRenderedPageBreak/>
        <w:t>–</w:t>
      </w:r>
      <w:r w:rsidRPr="000F153D">
        <w:tab/>
      </w:r>
      <w:r w:rsidR="008E539E" w:rsidRPr="000F153D">
        <w:t xml:space="preserve">Souhaiteriez-vous fournir des données, étant entendu que des normes de traitement sécurisé des données sont </w:t>
      </w:r>
      <w:proofErr w:type="gramStart"/>
      <w:r w:rsidR="008E539E" w:rsidRPr="000F153D">
        <w:t>appliquées?</w:t>
      </w:r>
      <w:proofErr w:type="gramEnd"/>
    </w:p>
    <w:p w14:paraId="2C0D6DD4" w14:textId="25EB374B" w:rsidR="008E539E" w:rsidRPr="000F153D" w:rsidRDefault="00662BDF" w:rsidP="00662BDF">
      <w:pPr>
        <w:pStyle w:val="enumlev1"/>
      </w:pPr>
      <w:r w:rsidRPr="000F153D">
        <w:t>–</w:t>
      </w:r>
      <w:r w:rsidRPr="000F153D">
        <w:tab/>
      </w:r>
      <w:r w:rsidR="008E539E" w:rsidRPr="000F153D">
        <w:t xml:space="preserve">Qui désigneriez-vous pour faire partie du </w:t>
      </w:r>
      <w:proofErr w:type="gramStart"/>
      <w:r w:rsidR="008E539E" w:rsidRPr="000F153D">
        <w:t>jury?</w:t>
      </w:r>
      <w:proofErr w:type="gramEnd"/>
    </w:p>
    <w:p w14:paraId="1A3B1E62" w14:textId="794D8CA6" w:rsidR="008E539E" w:rsidRPr="000F153D" w:rsidRDefault="00662BDF" w:rsidP="00662BDF">
      <w:pPr>
        <w:pStyle w:val="enumlev1"/>
      </w:pPr>
      <w:r w:rsidRPr="000F153D">
        <w:t>–</w:t>
      </w:r>
      <w:r w:rsidRPr="000F153D">
        <w:tab/>
      </w:r>
      <w:r w:rsidR="008E539E" w:rsidRPr="000F153D">
        <w:t xml:space="preserve">Qui désigneriez-vous pour faire partie des mentors du </w:t>
      </w:r>
      <w:proofErr w:type="gramStart"/>
      <w:r w:rsidR="008E539E" w:rsidRPr="000F153D">
        <w:t>concours?</w:t>
      </w:r>
      <w:proofErr w:type="gramEnd"/>
    </w:p>
    <w:p w14:paraId="69094A33" w14:textId="07B82C1E" w:rsidR="008E539E" w:rsidRPr="000F153D" w:rsidRDefault="00662BDF" w:rsidP="00662BDF">
      <w:pPr>
        <w:pStyle w:val="enumlev1"/>
      </w:pPr>
      <w:r w:rsidRPr="000F153D">
        <w:t>–</w:t>
      </w:r>
      <w:r w:rsidRPr="000F153D">
        <w:tab/>
      </w:r>
      <w:r w:rsidR="008E539E" w:rsidRPr="000F153D">
        <w:t xml:space="preserve">Quels ensembles d'outils et quelles interfaces API voudriez-vous mettre à la disposition des participants au </w:t>
      </w:r>
      <w:proofErr w:type="gramStart"/>
      <w:r w:rsidR="008E539E" w:rsidRPr="000F153D">
        <w:t>concours?</w:t>
      </w:r>
      <w:proofErr w:type="gramEnd"/>
    </w:p>
    <w:p w14:paraId="24707400" w14:textId="5A418605" w:rsidR="008E539E" w:rsidRPr="000F153D" w:rsidRDefault="00662BDF" w:rsidP="00662BDF">
      <w:pPr>
        <w:pStyle w:val="enumlev1"/>
      </w:pPr>
      <w:r w:rsidRPr="000F153D">
        <w:t>–</w:t>
      </w:r>
      <w:r w:rsidRPr="000F153D">
        <w:tab/>
      </w:r>
      <w:r w:rsidR="008E539E" w:rsidRPr="000F153D">
        <w:t xml:space="preserve">Seriez-vous intéressé (à titre individuel ou en tant que membre d'une équipe) par une participation au </w:t>
      </w:r>
      <w:proofErr w:type="gramStart"/>
      <w:r w:rsidR="008E539E" w:rsidRPr="000F153D">
        <w:t>concours?</w:t>
      </w:r>
      <w:proofErr w:type="gramEnd"/>
    </w:p>
    <w:p w14:paraId="091EE5F1" w14:textId="77777777" w:rsidR="008E539E" w:rsidRPr="008E539E" w:rsidRDefault="008E539E" w:rsidP="008E539E">
      <w:pPr>
        <w:rPr>
          <w:bCs/>
        </w:rPr>
      </w:pPr>
      <w:r w:rsidRPr="008E539E">
        <w:rPr>
          <w:bCs/>
        </w:rPr>
        <w:t>Des informations détaillées sur le rôle du Comité de gestion du concours, des mentors et du mentorat, du jury et des fournisseurs de données sont disponibles dans le document "</w:t>
      </w:r>
      <w:hyperlink r:id="rId13" w:history="1">
        <w:r w:rsidRPr="008E539E">
          <w:rPr>
            <w:rStyle w:val="Hyperlink"/>
            <w:bCs/>
          </w:rPr>
          <w:t>Concours de l'UIT sur l'AI/ML – Application de l'AI/ML dans les réseaux 5G. Présentation</w:t>
        </w:r>
      </w:hyperlink>
      <w:r w:rsidRPr="008E539E">
        <w:rPr>
          <w:bCs/>
        </w:rPr>
        <w:t>", accessible sur le site web du concours.</w:t>
      </w:r>
    </w:p>
    <w:p w14:paraId="0167FC09" w14:textId="77777777" w:rsidR="008E539E" w:rsidRPr="008E539E" w:rsidRDefault="008E539E" w:rsidP="008E539E">
      <w:pPr>
        <w:rPr>
          <w:bCs/>
        </w:rPr>
      </w:pPr>
      <w:r w:rsidRPr="008E539E">
        <w:rPr>
          <w:bCs/>
        </w:rPr>
        <w:t>9</w:t>
      </w:r>
      <w:r w:rsidRPr="008E539E">
        <w:rPr>
          <w:bCs/>
        </w:rPr>
        <w:tab/>
        <w:t>Nous encourageons les parrainages pour ce concours, qui représentent une excellente occasion de mettre votre pays, votre organisation ou votre entreprise en avant sur la scène internationale en tant que figure de proue dans le domaine de l'AI/ML pour la 5G. Les différentes offres de parrainage sont présentées sur le site web du concours.</w:t>
      </w:r>
    </w:p>
    <w:p w14:paraId="0D3CA290" w14:textId="77777777" w:rsidR="008E539E" w:rsidRPr="008E539E" w:rsidRDefault="008E539E" w:rsidP="008E539E">
      <w:pPr>
        <w:rPr>
          <w:bCs/>
        </w:rPr>
      </w:pPr>
      <w:r w:rsidRPr="008E539E">
        <w:rPr>
          <w:bCs/>
        </w:rPr>
        <w:t>10</w:t>
      </w:r>
      <w:r w:rsidRPr="008E539E">
        <w:rPr>
          <w:bCs/>
        </w:rPr>
        <w:tab/>
        <w:t xml:space="preserve">Des informations relatives au concours, y compris un lien vers le formulaire permettant de faire part de votre intérêt, se trouvent à l'adresse </w:t>
      </w:r>
      <w:hyperlink r:id="rId14" w:history="1">
        <w:r w:rsidRPr="008E539E">
          <w:rPr>
            <w:rStyle w:val="Hyperlink"/>
            <w:bCs/>
          </w:rPr>
          <w:t>https://www.itu.int/en/ITU-T/AI/challenge/2020</w:t>
        </w:r>
      </w:hyperlink>
      <w:r w:rsidRPr="008E539E">
        <w:rPr>
          <w:bCs/>
        </w:rPr>
        <w:t>. Veuillez consulter régulièrement la page d'accueil du concours pour prendre connaissance des dernières informations.</w:t>
      </w:r>
    </w:p>
    <w:p w14:paraId="15ACBE32" w14:textId="6A35381E" w:rsidR="00036F4F" w:rsidRPr="000F153D" w:rsidRDefault="008E539E" w:rsidP="008E539E">
      <w:pPr>
        <w:rPr>
          <w:bCs/>
        </w:rPr>
      </w:pPr>
      <w:r w:rsidRPr="000F153D">
        <w:rPr>
          <w:bCs/>
        </w:rPr>
        <w:t>11</w:t>
      </w:r>
      <w:r w:rsidRPr="000F153D">
        <w:rPr>
          <w:bCs/>
        </w:rPr>
        <w:tab/>
        <w:t xml:space="preserve">Pour toute information complémentaire ou question concernant le concours, veuillez </w:t>
      </w:r>
      <w:proofErr w:type="gramStart"/>
      <w:r w:rsidRPr="000F153D">
        <w:rPr>
          <w:bCs/>
        </w:rPr>
        <w:t>contacter:</w:t>
      </w:r>
      <w:proofErr w:type="gramEnd"/>
      <w:r w:rsidRPr="000F153D">
        <w:rPr>
          <w:bCs/>
        </w:rPr>
        <w:t xml:space="preserve"> </w:t>
      </w:r>
      <w:hyperlink r:id="rId15" w:history="1">
        <w:r w:rsidRPr="000F153D">
          <w:rPr>
            <w:rStyle w:val="Hyperlink"/>
            <w:bCs/>
          </w:rPr>
          <w:t>ai5gchallenge@itu.int</w:t>
        </w:r>
      </w:hyperlink>
      <w:r w:rsidRPr="000F153D">
        <w:rPr>
          <w:bCs/>
        </w:rPr>
        <w:t>.</w:t>
      </w:r>
    </w:p>
    <w:p w14:paraId="3FCADEB3" w14:textId="6B3D08BF" w:rsidR="00BD6ECF" w:rsidRPr="000F153D" w:rsidRDefault="008E539E" w:rsidP="00662BDF">
      <w:pPr>
        <w:spacing w:before="360"/>
      </w:pPr>
      <w:r w:rsidRPr="000F153D">
        <w:t>Veuillez agréer, Madame, Monsieur, l'assurance de ma considération distinguée.</w:t>
      </w:r>
    </w:p>
    <w:p w14:paraId="5893343C" w14:textId="1F857A1B" w:rsidR="00517A03" w:rsidRPr="000F153D" w:rsidRDefault="00D75A8F" w:rsidP="005C5D49">
      <w:pPr>
        <w:keepNext/>
        <w:keepLines/>
        <w:spacing w:before="960"/>
        <w:ind w:right="-288"/>
      </w:pPr>
      <w:r>
        <w:rPr>
          <w:noProof/>
        </w:rPr>
        <w:drawing>
          <wp:anchor distT="0" distB="0" distL="114300" distR="114300" simplePos="0" relativeHeight="251658240" behindDoc="1" locked="0" layoutInCell="1" allowOverlap="1" wp14:anchorId="2C623AB0" wp14:editId="3E8689D8">
            <wp:simplePos x="0" y="0"/>
            <wp:positionH relativeFrom="column">
              <wp:posOffset>3810</wp:posOffset>
            </wp:positionH>
            <wp:positionV relativeFrom="paragraph">
              <wp:posOffset>132080</wp:posOffset>
            </wp:positionV>
            <wp:extent cx="647699" cy="485775"/>
            <wp:effectExtent l="0" t="0" r="635"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6">
                      <a:extLst>
                        <a:ext uri="{28A0092B-C50C-407E-A947-70E740481C1C}">
                          <a14:useLocalDpi xmlns:a14="http://schemas.microsoft.com/office/drawing/2010/main" val="0"/>
                        </a:ext>
                      </a:extLst>
                    </a:blip>
                    <a:stretch>
                      <a:fillRect/>
                    </a:stretch>
                  </pic:blipFill>
                  <pic:spPr>
                    <a:xfrm>
                      <a:off x="0" y="0"/>
                      <a:ext cx="647699" cy="485775"/>
                    </a:xfrm>
                    <a:prstGeom prst="rect">
                      <a:avLst/>
                    </a:prstGeom>
                  </pic:spPr>
                </pic:pic>
              </a:graphicData>
            </a:graphic>
            <wp14:sizeRelH relativeFrom="margin">
              <wp14:pctWidth>0</wp14:pctWidth>
            </wp14:sizeRelH>
            <wp14:sizeRelV relativeFrom="margin">
              <wp14:pctHeight>0</wp14:pctHeight>
            </wp14:sizeRelV>
          </wp:anchor>
        </w:drawing>
      </w:r>
      <w:r w:rsidR="00036F4F" w:rsidRPr="000F153D">
        <w:t>Chaesub Lee</w:t>
      </w:r>
      <w:r w:rsidR="00036F4F" w:rsidRPr="000F153D">
        <w:br/>
        <w:t xml:space="preserve">Directeur du Bureau de la normalisation </w:t>
      </w:r>
      <w:bookmarkStart w:id="2" w:name="_GoBack"/>
      <w:bookmarkEnd w:id="2"/>
      <w:r w:rsidR="00036F4F" w:rsidRPr="000F153D">
        <w:br/>
        <w:t>des télécommunications</w:t>
      </w:r>
    </w:p>
    <w:sectPr w:rsidR="00517A03" w:rsidRPr="000F153D"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3F52C" w14:textId="77777777" w:rsidR="008E539E" w:rsidRDefault="008E539E">
      <w:r>
        <w:separator/>
      </w:r>
    </w:p>
  </w:endnote>
  <w:endnote w:type="continuationSeparator" w:id="0">
    <w:p w14:paraId="5ED876F2" w14:textId="77777777" w:rsidR="008E539E" w:rsidRDefault="008E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490D"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sidR="00085F5A">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BB91E" w14:textId="77777777" w:rsidR="008E539E" w:rsidRDefault="008E539E">
      <w:r>
        <w:t>____________________</w:t>
      </w:r>
    </w:p>
  </w:footnote>
  <w:footnote w:type="continuationSeparator" w:id="0">
    <w:p w14:paraId="1227E824" w14:textId="77777777" w:rsidR="008E539E" w:rsidRDefault="008E539E">
      <w:r>
        <w:continuationSeparator/>
      </w:r>
    </w:p>
  </w:footnote>
  <w:footnote w:id="1">
    <w:p w14:paraId="16B6B905" w14:textId="2BF71755" w:rsidR="008E539E" w:rsidRPr="000F153D" w:rsidRDefault="008E539E" w:rsidP="009F5F8D">
      <w:pPr>
        <w:pStyle w:val="Footnotetexte"/>
        <w:rPr>
          <w:rFonts w:eastAsiaTheme="minorEastAsia"/>
        </w:rPr>
      </w:pPr>
      <w:r w:rsidRPr="000F153D">
        <w:rPr>
          <w:rStyle w:val="FootnoteReference"/>
          <w:sz w:val="18"/>
        </w:rPr>
        <w:footnoteRef/>
      </w:r>
      <w:r w:rsidR="009F5F8D" w:rsidRPr="000F153D">
        <w:tab/>
      </w:r>
      <w:r w:rsidRPr="000F153D">
        <w:t>Supplément 55 aux Recommandations UIT-T de la série Y.3170</w:t>
      </w:r>
      <w:r w:rsidR="000F153D" w:rsidRPr="000F153D">
        <w:t>:</w:t>
      </w:r>
      <w:r w:rsidRPr="000F153D">
        <w:t xml:space="preserve"> </w:t>
      </w:r>
      <w:r w:rsidRPr="000F153D">
        <w:rPr>
          <w:rFonts w:eastAsiaTheme="minorEastAsia"/>
        </w:rPr>
        <w:t xml:space="preserve">"Apprentissage automatique dans les réseaux futurs, y compris les IMT-2020: cas d'utilisation"; Recommandation UIT-T Y.3172: "Cadre architectural pour l'apprentissage automatique dans les réseaux futurs, y compris les IMT-2020"; Recommandation UIT-T Y.3173: "Cadre pour l'évaluation des niveaux d'intelligence des réseaux futurs, y compris les IMT-2020"; Recommandation UIT-T Y.3174: "Cadre pour le traitement des données en vue de permettre la mise en œuvre de l'apprentissage automatique dans les réseaux futurs, y compris les IMT-2020". Ces spécifications sont disponibles gratuitement à l'adresse </w:t>
      </w:r>
      <w:hyperlink r:id="rId1" w:history="1">
        <w:r w:rsidRPr="000F153D">
          <w:rPr>
            <w:rStyle w:val="Hyperlink"/>
          </w:rPr>
          <w:t>https://www.itu.int/itu-t/recommendations/index.aspx?ser=Y</w:t>
        </w:r>
      </w:hyperlink>
      <w:r w:rsidRPr="000F153D">
        <w:rPr>
          <w:rFonts w:eastAsiaTheme="minorEastAsia"/>
        </w:rPr>
        <w:t>.</w:t>
      </w:r>
    </w:p>
  </w:footnote>
  <w:footnote w:id="2">
    <w:p w14:paraId="7AE4B600" w14:textId="56713CFD" w:rsidR="008E539E" w:rsidRPr="00986063" w:rsidRDefault="008E539E" w:rsidP="00662BDF">
      <w:pPr>
        <w:pStyle w:val="Footnotetexte"/>
      </w:pPr>
      <w:r w:rsidRPr="000F153D">
        <w:rPr>
          <w:rStyle w:val="FootnoteReference"/>
        </w:rPr>
        <w:footnoteRef/>
      </w:r>
      <w:r w:rsidR="009F5F8D" w:rsidRPr="000F153D">
        <w:tab/>
      </w:r>
      <w:r w:rsidRPr="000F153D">
        <w:t>"Intégration du marché de l'apprentissage automatique dans les réseaux futurs, y compris les IMT-2020</w:t>
      </w:r>
      <w:proofErr w:type="gramStart"/>
      <w:r w:rsidRPr="000F153D">
        <w:t>";</w:t>
      </w:r>
      <w:proofErr w:type="gramEnd"/>
      <w:r w:rsidRPr="000F153D">
        <w:t xml:space="preserve"> "Orchestration des fonctions de l'apprentissage automatique: exigences, architecture et conception"; "Bac à sable pour l'apprentissage automatique"; "Cadre de service pour les modèles d'apprentissage automatique dans les réseaux futurs, y compris les IMT</w:t>
      </w:r>
      <w:r w:rsidR="00662BDF" w:rsidRPr="000F153D">
        <w:noBreakHyphen/>
      </w:r>
      <w:r w:rsidRPr="000F153D">
        <w:t>2020"</w:t>
      </w:r>
      <w:r w:rsidR="00662BDF" w:rsidRPr="000F15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AB0CE" w14:textId="0FC579D5" w:rsidR="00697BC1" w:rsidRPr="00697BC1" w:rsidRDefault="00D75A8F"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486DE3">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9F5F8D">
      <w:rPr>
        <w:noProof/>
        <w:sz w:val="18"/>
        <w:szCs w:val="16"/>
      </w:rPr>
      <w:br/>
    </w:r>
    <w:r w:rsidR="009F5F8D" w:rsidRPr="009F5F8D">
      <w:rPr>
        <w:noProof/>
        <w:sz w:val="18"/>
        <w:szCs w:val="16"/>
        <w:lang w:val="en-GB"/>
      </w:rPr>
      <w:t>Circulaire TSB 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731D67"/>
    <w:multiLevelType w:val="hybridMultilevel"/>
    <w:tmpl w:val="FB8E2A70"/>
    <w:lvl w:ilvl="0" w:tplc="EADCADD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9E"/>
    <w:rsid w:val="000039EE"/>
    <w:rsid w:val="00005622"/>
    <w:rsid w:val="0002519E"/>
    <w:rsid w:val="00035B43"/>
    <w:rsid w:val="00036F4F"/>
    <w:rsid w:val="000758B3"/>
    <w:rsid w:val="00085F5A"/>
    <w:rsid w:val="00094639"/>
    <w:rsid w:val="000B0D96"/>
    <w:rsid w:val="000B59D8"/>
    <w:rsid w:val="000C1F6B"/>
    <w:rsid w:val="000C25CC"/>
    <w:rsid w:val="000C265C"/>
    <w:rsid w:val="000C56BE"/>
    <w:rsid w:val="000F153D"/>
    <w:rsid w:val="001026FD"/>
    <w:rsid w:val="001077FD"/>
    <w:rsid w:val="00115DD7"/>
    <w:rsid w:val="00167472"/>
    <w:rsid w:val="00167F92"/>
    <w:rsid w:val="00173738"/>
    <w:rsid w:val="001B79A3"/>
    <w:rsid w:val="002152A3"/>
    <w:rsid w:val="002C6A3A"/>
    <w:rsid w:val="002E395D"/>
    <w:rsid w:val="003131F0"/>
    <w:rsid w:val="00333A80"/>
    <w:rsid w:val="00341117"/>
    <w:rsid w:val="00364E95"/>
    <w:rsid w:val="00372875"/>
    <w:rsid w:val="003B1E80"/>
    <w:rsid w:val="003B66E8"/>
    <w:rsid w:val="004033F1"/>
    <w:rsid w:val="00414B0C"/>
    <w:rsid w:val="00423C21"/>
    <w:rsid w:val="004257AC"/>
    <w:rsid w:val="0043711B"/>
    <w:rsid w:val="00486DE3"/>
    <w:rsid w:val="004977C9"/>
    <w:rsid w:val="004B732E"/>
    <w:rsid w:val="004D51F4"/>
    <w:rsid w:val="004D64E0"/>
    <w:rsid w:val="005120A2"/>
    <w:rsid w:val="0051210D"/>
    <w:rsid w:val="005136D2"/>
    <w:rsid w:val="00517A03"/>
    <w:rsid w:val="005A3DD9"/>
    <w:rsid w:val="005B1DFC"/>
    <w:rsid w:val="005C5D49"/>
    <w:rsid w:val="00601682"/>
    <w:rsid w:val="00603470"/>
    <w:rsid w:val="00625E79"/>
    <w:rsid w:val="006333F7"/>
    <w:rsid w:val="006427A1"/>
    <w:rsid w:val="00644741"/>
    <w:rsid w:val="00662BDF"/>
    <w:rsid w:val="00697BC1"/>
    <w:rsid w:val="006A6FFE"/>
    <w:rsid w:val="006C5A91"/>
    <w:rsid w:val="00716BBC"/>
    <w:rsid w:val="007321BC"/>
    <w:rsid w:val="00760063"/>
    <w:rsid w:val="00775E4B"/>
    <w:rsid w:val="0079553B"/>
    <w:rsid w:val="00795679"/>
    <w:rsid w:val="007A40FE"/>
    <w:rsid w:val="00810105"/>
    <w:rsid w:val="008157E0"/>
    <w:rsid w:val="00850477"/>
    <w:rsid w:val="0085214F"/>
    <w:rsid w:val="00854E1D"/>
    <w:rsid w:val="00887FA6"/>
    <w:rsid w:val="008C4397"/>
    <w:rsid w:val="008C465A"/>
    <w:rsid w:val="008E539E"/>
    <w:rsid w:val="008F2C9B"/>
    <w:rsid w:val="00923CD6"/>
    <w:rsid w:val="00935AA8"/>
    <w:rsid w:val="00971C9A"/>
    <w:rsid w:val="009D51FA"/>
    <w:rsid w:val="009F1E23"/>
    <w:rsid w:val="009F5F8D"/>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B6177"/>
    <w:rsid w:val="00BD6ECF"/>
    <w:rsid w:val="00C26F2E"/>
    <w:rsid w:val="00C302E3"/>
    <w:rsid w:val="00C45376"/>
    <w:rsid w:val="00C9028F"/>
    <w:rsid w:val="00CA0416"/>
    <w:rsid w:val="00CB1125"/>
    <w:rsid w:val="00CD042E"/>
    <w:rsid w:val="00CF2560"/>
    <w:rsid w:val="00CF5B46"/>
    <w:rsid w:val="00D46B68"/>
    <w:rsid w:val="00D542A5"/>
    <w:rsid w:val="00D75A8F"/>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16691A"/>
  <w15:docId w15:val="{56E7B3A6-8B88-44E7-A9A0-8750C738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超级链接,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8E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539E"/>
    <w:rPr>
      <w:color w:val="605E5C"/>
      <w:shd w:val="clear" w:color="auto" w:fill="E1DFDD"/>
    </w:rPr>
  </w:style>
  <w:style w:type="character" w:styleId="FollowedHyperlink">
    <w:name w:val="FollowedHyperlink"/>
    <w:basedOn w:val="DefaultParagraphFont"/>
    <w:semiHidden/>
    <w:unhideWhenUsed/>
    <w:rsid w:val="009F5F8D"/>
    <w:rPr>
      <w:color w:val="800080" w:themeColor="followedHyperlink"/>
      <w:u w:val="single"/>
    </w:rPr>
  </w:style>
  <w:style w:type="paragraph" w:customStyle="1" w:styleId="Footn">
    <w:name w:val="Footn"/>
    <w:basedOn w:val="Normal"/>
    <w:rsid w:val="009F5F8D"/>
    <w:rPr>
      <w:bCs/>
    </w:rPr>
  </w:style>
  <w:style w:type="paragraph" w:customStyle="1" w:styleId="Footnote">
    <w:name w:val="Footnote"/>
    <w:basedOn w:val="Footn"/>
    <w:rsid w:val="009F5F8D"/>
  </w:style>
  <w:style w:type="paragraph" w:customStyle="1" w:styleId="Footnotetexte">
    <w:name w:val="Footnote texte"/>
    <w:basedOn w:val="Footnote"/>
    <w:rsid w:val="009F5F8D"/>
    <w:pPr>
      <w:tabs>
        <w:tab w:val="clear" w:pos="794"/>
        <w:tab w:val="clear" w:pos="1191"/>
        <w:tab w:val="clear" w:pos="1588"/>
        <w:tab w:val="clear" w:pos="1985"/>
        <w:tab w:val="left" w:pos="284"/>
      </w:tabs>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AI/challenge/2020/Documents/ITU%20ML5G%20Global%20Challenge_proposal_v23.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AI/challenge/2020/Documents/ML5G-I-223-R1.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12TkI-YEh0uRPCS9iSGf0-yqkfLCoQ9IpTbc_XELf95UQUZaMlVDNTgyWVZERTBWODk1MDZRNkVTVS4u" TargetMode="External"/><Relationship Id="rId5" Type="http://schemas.openxmlformats.org/officeDocument/2006/relationships/webSettings" Target="webSettings.xml"/><Relationship Id="rId15" Type="http://schemas.openxmlformats.org/officeDocument/2006/relationships/hyperlink" Target="mailto:ai5gchallenge@itu.int" TargetMode="External"/><Relationship Id="rId10" Type="http://schemas.openxmlformats.org/officeDocument/2006/relationships/hyperlink" Target="https://lfai.found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5gchallenge@itu.int" TargetMode="External"/><Relationship Id="rId14" Type="http://schemas.openxmlformats.org/officeDocument/2006/relationships/hyperlink" Target="https://www.itu.int/en/ITU-T/AI/challenge/2020/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t/recommendations/index.aspx?s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AD880-D61C-4186-8611-6C898FA8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87</TotalTime>
  <Pages>3</Pages>
  <Words>928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6776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10</cp:revision>
  <cp:lastPrinted>2020-03-30T08:03:00Z</cp:lastPrinted>
  <dcterms:created xsi:type="dcterms:W3CDTF">2020-03-16T14:49:00Z</dcterms:created>
  <dcterms:modified xsi:type="dcterms:W3CDTF">2020-03-30T08:04:00Z</dcterms:modified>
</cp:coreProperties>
</file>