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74"/>
        <w:bidiVisual/>
        <w:tblW w:w="5058" w:type="pct"/>
        <w:tblLook w:val="0000" w:firstRow="0" w:lastRow="0" w:firstColumn="0" w:lastColumn="0" w:noHBand="0" w:noVBand="0"/>
      </w:tblPr>
      <w:tblGrid>
        <w:gridCol w:w="1555"/>
        <w:gridCol w:w="3896"/>
        <w:gridCol w:w="4300"/>
      </w:tblGrid>
      <w:tr w:rsidR="002C0596" w:rsidRPr="00D517B2" w14:paraId="3197A561" w14:textId="77777777" w:rsidTr="002C0596">
        <w:trPr>
          <w:cantSplit/>
          <w:trHeight w:val="1164"/>
        </w:trPr>
        <w:tc>
          <w:tcPr>
            <w:tcW w:w="797" w:type="pct"/>
          </w:tcPr>
          <w:p w14:paraId="38D9701F" w14:textId="77777777" w:rsidR="002C0596" w:rsidRPr="00D517B2" w:rsidRDefault="002C0596" w:rsidP="002C0596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0F7EFC99" wp14:editId="15AD33F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  <w:gridSpan w:val="2"/>
          </w:tcPr>
          <w:p w14:paraId="08AF24C4" w14:textId="77777777" w:rsidR="002C0596" w:rsidRPr="00D517B2" w:rsidRDefault="002C0596" w:rsidP="002C0596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2221BF7" w14:textId="77777777" w:rsidR="002C0596" w:rsidRPr="00D517B2" w:rsidRDefault="002C0596" w:rsidP="002C0596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  <w:tr w:rsidR="002C0596" w:rsidRPr="00D517B2" w14:paraId="32862C79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145"/>
        </w:trPr>
        <w:tc>
          <w:tcPr>
            <w:tcW w:w="797" w:type="pct"/>
          </w:tcPr>
          <w:p w14:paraId="21B03B21" w14:textId="77777777" w:rsidR="002C0596" w:rsidRPr="00D517B2" w:rsidRDefault="002C0596" w:rsidP="002C0596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0D92002" w14:textId="77777777" w:rsidR="002C0596" w:rsidRPr="00D517B2" w:rsidRDefault="002C0596" w:rsidP="002C0596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5" w:type="pct"/>
          </w:tcPr>
          <w:p w14:paraId="24AD96FD" w14:textId="77777777" w:rsidR="002C0596" w:rsidRPr="00873469" w:rsidRDefault="002C0596" w:rsidP="002C0596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2C0596" w:rsidRPr="00D517B2" w14:paraId="5C38D6B6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151"/>
        </w:trPr>
        <w:tc>
          <w:tcPr>
            <w:tcW w:w="797" w:type="pct"/>
          </w:tcPr>
          <w:p w14:paraId="6064E4A6" w14:textId="77777777" w:rsidR="002C0596" w:rsidRPr="00D517B2" w:rsidRDefault="002C0596" w:rsidP="002C0596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9A4AFD4" w14:textId="77777777" w:rsidR="002C0596" w:rsidRPr="00D517B2" w:rsidRDefault="002C0596" w:rsidP="002C0596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5" w:type="pct"/>
          </w:tcPr>
          <w:p w14:paraId="5DFA0904" w14:textId="77777777" w:rsidR="002C0596" w:rsidRPr="00D517B2" w:rsidRDefault="002C0596" w:rsidP="002C0596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13</w:t>
            </w:r>
            <w:r>
              <w:rPr>
                <w:rFonts w:hint="cs"/>
                <w:position w:val="2"/>
                <w:rtl/>
              </w:rPr>
              <w:t xml:space="preserve"> مارس </w:t>
            </w:r>
            <w:r>
              <w:rPr>
                <w:position w:val="2"/>
              </w:rPr>
              <w:t>2020</w:t>
            </w:r>
          </w:p>
        </w:tc>
      </w:tr>
      <w:tr w:rsidR="002C0596" w:rsidRPr="00D517B2" w14:paraId="02AF0A49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853"/>
        </w:trPr>
        <w:tc>
          <w:tcPr>
            <w:tcW w:w="797" w:type="pct"/>
          </w:tcPr>
          <w:p w14:paraId="0B91F26A" w14:textId="77777777" w:rsidR="002C0596" w:rsidRPr="00A9156F" w:rsidRDefault="002C0596" w:rsidP="002C0596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90D8E5E" w14:textId="77777777" w:rsidR="002C0596" w:rsidRPr="00D517B2" w:rsidRDefault="002C0596" w:rsidP="002C0596">
            <w:pPr>
              <w:spacing w:before="40" w:after="4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237</w:t>
            </w:r>
          </w:p>
        </w:tc>
        <w:tc>
          <w:tcPr>
            <w:tcW w:w="2205" w:type="pct"/>
            <w:vMerge w:val="restart"/>
          </w:tcPr>
          <w:p w14:paraId="181B9F64" w14:textId="77777777" w:rsidR="002C0596" w:rsidRPr="00043809" w:rsidRDefault="002C0596" w:rsidP="002C0596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4380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6BE80E3" w14:textId="77777777" w:rsidR="002C0596" w:rsidRPr="00232B68" w:rsidRDefault="002C0596" w:rsidP="002C0596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5638233" w14:textId="77777777" w:rsidR="002C0596" w:rsidRPr="00232B68" w:rsidRDefault="002C0596" w:rsidP="002C059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5868A36" w14:textId="77777777" w:rsidR="002C0596" w:rsidRPr="00232B68" w:rsidRDefault="002C0596" w:rsidP="002C059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25710F7D" w14:textId="77777777" w:rsidR="002C0596" w:rsidRPr="00232B68" w:rsidRDefault="002C0596" w:rsidP="002C0596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32B6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7D6BE807" w14:textId="77777777" w:rsidR="002C0596" w:rsidRPr="00043809" w:rsidRDefault="002C0596" w:rsidP="002C0596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4380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FB14889" w14:textId="77777777" w:rsidR="002C0596" w:rsidRPr="00232B68" w:rsidRDefault="002C0596" w:rsidP="002C059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232B68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F386A24" w14:textId="77777777" w:rsidR="002C0596" w:rsidRPr="00232B68" w:rsidRDefault="002C0596" w:rsidP="002C059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232B68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24CADA8" w14:textId="77777777" w:rsidR="002C0596" w:rsidRPr="00D517B2" w:rsidRDefault="002C0596" w:rsidP="002C059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2C0596" w:rsidRPr="00D517B2" w14:paraId="2EE6C01C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349"/>
        </w:trPr>
        <w:tc>
          <w:tcPr>
            <w:tcW w:w="797" w:type="pct"/>
          </w:tcPr>
          <w:p w14:paraId="102A3690" w14:textId="77777777" w:rsidR="002C0596" w:rsidRPr="00A9156F" w:rsidRDefault="002C0596" w:rsidP="002C0596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E7BF3F4" w14:textId="77777777" w:rsidR="002C0596" w:rsidRPr="00232B68" w:rsidRDefault="002C0596" w:rsidP="002C0596">
            <w:pPr>
              <w:spacing w:before="40" w:after="4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232B68">
              <w:rPr>
                <w:position w:val="2"/>
              </w:rPr>
              <w:t>+41 22 730 </w:t>
            </w:r>
            <w:r>
              <w:rPr>
                <w:position w:val="2"/>
                <w:lang w:val="en-GB"/>
              </w:rPr>
              <w:t>5860</w:t>
            </w:r>
          </w:p>
        </w:tc>
        <w:tc>
          <w:tcPr>
            <w:tcW w:w="2205" w:type="pct"/>
            <w:vMerge/>
          </w:tcPr>
          <w:p w14:paraId="344AA69E" w14:textId="77777777" w:rsidR="002C0596" w:rsidRPr="00D517B2" w:rsidRDefault="002C0596" w:rsidP="002C0596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2C0596" w:rsidRPr="00D517B2" w14:paraId="7B86B270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349"/>
        </w:trPr>
        <w:tc>
          <w:tcPr>
            <w:tcW w:w="797" w:type="pct"/>
          </w:tcPr>
          <w:p w14:paraId="6564BB4D" w14:textId="77777777" w:rsidR="002C0596" w:rsidRPr="00A9156F" w:rsidRDefault="002C0596" w:rsidP="002C0596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4725D99" w14:textId="77777777" w:rsidR="002C0596" w:rsidRPr="00232B68" w:rsidRDefault="002C0596" w:rsidP="002C0596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232B68">
              <w:rPr>
                <w:position w:val="2"/>
              </w:rPr>
              <w:t>+41 22 730 5853</w:t>
            </w:r>
          </w:p>
        </w:tc>
        <w:tc>
          <w:tcPr>
            <w:tcW w:w="2205" w:type="pct"/>
            <w:vMerge/>
          </w:tcPr>
          <w:p w14:paraId="127DB49D" w14:textId="77777777" w:rsidR="002C0596" w:rsidRPr="00D517B2" w:rsidRDefault="002C0596" w:rsidP="002C0596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2C0596" w:rsidRPr="00D517B2" w14:paraId="600514AB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1543"/>
        </w:trPr>
        <w:tc>
          <w:tcPr>
            <w:tcW w:w="797" w:type="pct"/>
          </w:tcPr>
          <w:p w14:paraId="797876DC" w14:textId="77777777" w:rsidR="002C0596" w:rsidRPr="00A9156F" w:rsidRDefault="002C0596" w:rsidP="002C0596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D74BFA6" w14:textId="77777777" w:rsidR="002C0596" w:rsidRPr="00D517B2" w:rsidRDefault="00E6176D" w:rsidP="002C0596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9" w:history="1">
              <w:r w:rsidR="002C0596" w:rsidRPr="00EC21D7">
                <w:rPr>
                  <w:rStyle w:val="Hyperlink"/>
                </w:rPr>
                <w:t>ai5gchallenge@itu.int</w:t>
              </w:r>
            </w:hyperlink>
          </w:p>
        </w:tc>
        <w:tc>
          <w:tcPr>
            <w:tcW w:w="2205" w:type="pct"/>
            <w:vMerge/>
          </w:tcPr>
          <w:p w14:paraId="22E9022C" w14:textId="77777777" w:rsidR="002C0596" w:rsidRPr="00D517B2" w:rsidRDefault="002C0596" w:rsidP="002C0596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2C0596" w:rsidRPr="00D517B2" w14:paraId="44EB05F1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797" w:type="pct"/>
          </w:tcPr>
          <w:p w14:paraId="3DF6D749" w14:textId="77777777" w:rsidR="002C0596" w:rsidRPr="00A9156F" w:rsidRDefault="002C0596" w:rsidP="002C0596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1ADEC54" w14:textId="77777777" w:rsidR="002C0596" w:rsidRPr="00D517B2" w:rsidRDefault="002C0596" w:rsidP="002C0596">
            <w:pPr>
              <w:spacing w:before="6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5" w:type="pct"/>
          </w:tcPr>
          <w:p w14:paraId="48502011" w14:textId="77777777" w:rsidR="002C0596" w:rsidRPr="00D517B2" w:rsidRDefault="002C0596" w:rsidP="002C0596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C0596" w:rsidRPr="00D517B2" w14:paraId="6D772979" w14:textId="77777777" w:rsidTr="002C0596">
        <w:tblPrEx>
          <w:tblCellMar>
            <w:left w:w="0" w:type="dxa"/>
            <w:right w:w="0" w:type="dxa"/>
          </w:tblCellMar>
        </w:tblPrEx>
        <w:trPr>
          <w:cantSplit/>
          <w:trHeight w:val="309"/>
        </w:trPr>
        <w:tc>
          <w:tcPr>
            <w:tcW w:w="797" w:type="pct"/>
          </w:tcPr>
          <w:p w14:paraId="074FB942" w14:textId="77777777" w:rsidR="002C0596" w:rsidRPr="00A9156F" w:rsidRDefault="002C0596" w:rsidP="002C0596">
            <w:pPr>
              <w:spacing w:before="0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3" w:type="pct"/>
            <w:gridSpan w:val="2"/>
          </w:tcPr>
          <w:p w14:paraId="1882D020" w14:textId="3B75377B" w:rsidR="002C0596" w:rsidRPr="00D517B2" w:rsidRDefault="002C0596" w:rsidP="002C0596">
            <w:pPr>
              <w:spacing w:before="0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مسابقة الاتحاد بشأن الذكاء الاصطناعي/التعلم الآلي </w:t>
            </w:r>
            <w:r>
              <w:rPr>
                <w:b/>
                <w:bCs/>
                <w:position w:val="2"/>
                <w:lang w:bidi="ar-EG"/>
              </w:rPr>
              <w:t>(AI/ML)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 تكنولوجيا الجيل الخامس</w:t>
            </w:r>
          </w:p>
        </w:tc>
      </w:tr>
    </w:tbl>
    <w:p w14:paraId="0ACA2009" w14:textId="5C0CCE72" w:rsidR="00D517B2" w:rsidRPr="00D517B2" w:rsidRDefault="00D517B2" w:rsidP="001D50FA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73BA9C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AD28783" w14:textId="77777777" w:rsidR="000653A3" w:rsidRDefault="000653A3" w:rsidP="00D517B2">
      <w:pPr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يسرني أن أدعوكم إلى المشاركة في مسابقة الاتحاد بشأن الذكاء الاصطناعي/التعلم الآلي في تكنولوجيا الجيل الخامس، وهي مسابقة من المقرر أن تبدأ من الآن حتى نهاية العام.</w:t>
      </w:r>
    </w:p>
    <w:p w14:paraId="01C4F978" w14:textId="5BC114CB" w:rsidR="00232B68" w:rsidRDefault="000653A3" w:rsidP="00D517B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سيكون الذكاء الاصطناعي</w:t>
      </w:r>
      <w:r w:rsidR="005360AE">
        <w:rPr>
          <w:rFonts w:hint="cs"/>
          <w:rtl/>
          <w:lang w:bidi="ar-EG"/>
        </w:rPr>
        <w:t xml:space="preserve"> </w:t>
      </w:r>
      <w:r w:rsidR="005360AE">
        <w:rPr>
          <w:lang w:bidi="ar-EG"/>
        </w:rPr>
        <w:t>(AI)</w:t>
      </w:r>
      <w:r>
        <w:rPr>
          <w:rFonts w:hint="cs"/>
          <w:rtl/>
          <w:lang w:bidi="ar-EG"/>
        </w:rPr>
        <w:t xml:space="preserve"> التكنولوجيا المهيمنة في المستقبل وسيؤثر على جميع أركان المجتمع. والذكاء الاصطناعي/التعلم</w:t>
      </w:r>
      <w:r w:rsidR="00BF448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الآلي </w:t>
      </w:r>
      <w:r>
        <w:rPr>
          <w:lang w:bidi="ar-SY"/>
        </w:rPr>
        <w:t>(M</w:t>
      </w:r>
      <w:r w:rsidR="004C0D20">
        <w:rPr>
          <w:lang w:bidi="ar-SY"/>
        </w:rPr>
        <w:t>L</w:t>
      </w:r>
      <w:r>
        <w:rPr>
          <w:lang w:bidi="ar-SY"/>
        </w:rPr>
        <w:t>)</w:t>
      </w:r>
      <w:r>
        <w:rPr>
          <w:rFonts w:hint="cs"/>
          <w:rtl/>
          <w:lang w:bidi="ar-EG"/>
        </w:rPr>
        <w:t>، على وجه الخصوص، سيحددان الكيفية التي ستعمل بها شبكات الاتصالات، خط الحياة في</w:t>
      </w:r>
      <w:r w:rsidR="002C059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مجتمعاتنا. وتستكشف شركات كثيرة في قطاع تكنولوجيا المعلومات والاتصالات كيفية الاستفادة القصوى من الذكاء الاصطناعي/التعلم الآلي.</w:t>
      </w:r>
    </w:p>
    <w:p w14:paraId="6FD2F667" w14:textId="50AB7689" w:rsidR="000653A3" w:rsidRDefault="000653A3" w:rsidP="00D517B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ويأتي الاتحاد في المقدمة في هذا المسعى باستكشاف أفضل سبل تطبيق الذكاء الاصطناعي/التعلم الآلي في شبكات المستقبل بما في ذلك شبكات الجيل الخامس وأقر بالفعل أربع مواصفات تشكل جزءاً من مجموعة أدوات لإدخال التعلم الآلي</w:t>
      </w:r>
      <w:r w:rsidR="000A45D2" w:rsidRPr="000A45D2">
        <w:rPr>
          <w:rStyle w:val="FootnoteReference"/>
          <w:rtl/>
          <w:lang w:bidi="ar-EG"/>
        </w:rPr>
        <w:footnoteReference w:id="1"/>
      </w:r>
      <w:r w:rsidRPr="000A45D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شبكات الاتصالات، وهناك معايير أخرى على الطريق</w:t>
      </w:r>
      <w:r w:rsidR="002C0596">
        <w:rPr>
          <w:rStyle w:val="FootnoteReference"/>
          <w:rtl/>
          <w:lang w:bidi="ar-EG"/>
        </w:rPr>
        <w:footnoteReference w:id="2"/>
      </w:r>
      <w:r>
        <w:rPr>
          <w:rFonts w:hint="cs"/>
          <w:rtl/>
          <w:lang w:bidi="ar-EG"/>
        </w:rPr>
        <w:t>.</w:t>
      </w:r>
    </w:p>
    <w:p w14:paraId="0BFB2A76" w14:textId="25FAAC0D" w:rsidR="004533B4" w:rsidRDefault="004533B4" w:rsidP="00D517B2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ويتوقع أن تقوم المسابقة على جهود الاتحاد في مجال تقييس الذكاء الاصطناعي/التعلم الآلي من خلال اعتماد مجموعة أدوات الذكاء الاصطناعي/التعلم الآلي الخاصة بالاتحاد في شبكات الجيل الخامس عند تطوير الحلول من طرف إلى طرف التي ستحقق القدرات الكاملة </w:t>
      </w:r>
      <w:r w:rsidR="00A10655">
        <w:rPr>
          <w:rFonts w:hint="cs"/>
          <w:rtl/>
          <w:lang w:bidi="ar-EG"/>
        </w:rPr>
        <w:t>لنماذج</w:t>
      </w:r>
      <w:r>
        <w:rPr>
          <w:rFonts w:hint="cs"/>
          <w:rtl/>
          <w:lang w:bidi="ar-EG"/>
        </w:rPr>
        <w:t xml:space="preserve"> الذكاء الاصطناعي/التعلم الآلي في أي شبكة من شبكات الجيل الخامس.</w:t>
      </w:r>
    </w:p>
    <w:p w14:paraId="340EC3FD" w14:textId="0C387DC3" w:rsidR="004533B4" w:rsidRDefault="004533B4" w:rsidP="00D517B2">
      <w:pPr>
        <w:rPr>
          <w:rtl/>
          <w:lang w:bidi="ar-EG"/>
        </w:rPr>
      </w:pPr>
      <w:bookmarkStart w:id="0" w:name="_Hlk36114784"/>
      <w:r w:rsidRPr="00DD1E60">
        <w:rPr>
          <w:lang w:bidi="ar-EG"/>
        </w:rPr>
        <w:lastRenderedPageBreak/>
        <w:t>5</w:t>
      </w:r>
      <w:r w:rsidRPr="00DD1E60">
        <w:rPr>
          <w:rtl/>
          <w:lang w:bidi="ar-EG"/>
        </w:rPr>
        <w:tab/>
      </w:r>
      <w:r w:rsidRPr="00DD1E60">
        <w:rPr>
          <w:rFonts w:hint="cs"/>
          <w:rtl/>
          <w:lang w:bidi="ar-EG"/>
        </w:rPr>
        <w:t xml:space="preserve">سيكون بمقدور المشاركين حل مشكلات </w:t>
      </w:r>
      <w:r w:rsidR="006B7C72" w:rsidRPr="00DD1E60">
        <w:rPr>
          <w:rFonts w:hint="cs"/>
          <w:rtl/>
          <w:lang w:bidi="ar-EG"/>
        </w:rPr>
        <w:t xml:space="preserve">من </w:t>
      </w:r>
      <w:r w:rsidRPr="00DD1E60">
        <w:rPr>
          <w:rFonts w:hint="cs"/>
          <w:rtl/>
          <w:lang w:bidi="ar-EG"/>
        </w:rPr>
        <w:t xml:space="preserve">العالم الحقيقي، استناداً إلى تكنولوجيات قياسية طورت من أجل التعلم الألي </w:t>
      </w:r>
      <w:r w:rsidR="000F6897" w:rsidRPr="00DD1E60">
        <w:rPr>
          <w:rFonts w:hint="cs"/>
          <w:rtl/>
          <w:lang w:bidi="ar-EG"/>
        </w:rPr>
        <w:t xml:space="preserve">في شبكات </w:t>
      </w:r>
      <w:r w:rsidRPr="00DD1E60">
        <w:rPr>
          <w:rFonts w:hint="cs"/>
          <w:rtl/>
          <w:lang w:bidi="ar-EG"/>
        </w:rPr>
        <w:t xml:space="preserve">الجيل الخامس. </w:t>
      </w:r>
      <w:r w:rsidR="006B7C72" w:rsidRPr="00DD1E60">
        <w:rPr>
          <w:rFonts w:hint="cs"/>
          <w:rtl/>
          <w:lang w:bidi="ar-EG"/>
        </w:rPr>
        <w:t>وسيستدعي الأمر وجود أفرقة لتفعيل</w:t>
      </w:r>
      <w:r w:rsidRPr="00DD1E60">
        <w:rPr>
          <w:rFonts w:hint="cs"/>
          <w:rtl/>
          <w:lang w:bidi="ar-EG"/>
        </w:rPr>
        <w:t xml:space="preserve"> واستنباط </w:t>
      </w:r>
      <w:r w:rsidR="006B7C72" w:rsidRPr="00DD1E60">
        <w:rPr>
          <w:rFonts w:hint="cs"/>
          <w:rtl/>
          <w:lang w:bidi="ar-EG"/>
        </w:rPr>
        <w:t>وتنفيذ</w:t>
      </w:r>
      <w:r w:rsidRPr="00DD1E60">
        <w:rPr>
          <w:rFonts w:hint="cs"/>
          <w:rtl/>
          <w:lang w:bidi="ar-EG"/>
        </w:rPr>
        <w:t xml:space="preserve"> نماذج للتعلم الآلي والتدريب عليها بحيث يكتسب المشاركون خبرات عملية في مجالات الذكاء الاصطناعي/التعلم الآلي ذات الصلة بتكنولوجيا الجيل الخامس.</w:t>
      </w:r>
    </w:p>
    <w:bookmarkEnd w:id="0"/>
    <w:p w14:paraId="3CF0591C" w14:textId="36E7BC3A" w:rsidR="00C86906" w:rsidRDefault="004533B4" w:rsidP="000F2DFC">
      <w:pPr>
        <w:spacing w:after="240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وستقسم بيانات المشكلات التي سيعمل عليها المشاركون إلى أربعة مسارات تقنية لأربعة سيناريوهات للبيانات</w:t>
      </w:r>
      <w:r w:rsidR="000F6897">
        <w:rPr>
          <w:rFonts w:hint="cs"/>
          <w:rtl/>
          <w:lang w:bidi="ar-EG"/>
        </w:rPr>
        <w:t>:</w:t>
      </w:r>
    </w:p>
    <w:tbl>
      <w:tblPr>
        <w:tblStyle w:val="TableGrid"/>
        <w:bidiVisual/>
        <w:tblW w:w="8980" w:type="dxa"/>
        <w:jc w:val="center"/>
        <w:tblLook w:val="04A0" w:firstRow="1" w:lastRow="0" w:firstColumn="1" w:lastColumn="0" w:noHBand="0" w:noVBand="1"/>
      </w:tblPr>
      <w:tblGrid>
        <w:gridCol w:w="2271"/>
        <w:gridCol w:w="1788"/>
        <w:gridCol w:w="1951"/>
        <w:gridCol w:w="1626"/>
        <w:gridCol w:w="1344"/>
      </w:tblGrid>
      <w:tr w:rsidR="00233805" w:rsidRPr="00233805" w14:paraId="69C92AA3" w14:textId="77777777" w:rsidTr="00233805">
        <w:trPr>
          <w:trHeight w:val="690"/>
          <w:jc w:val="center"/>
        </w:trPr>
        <w:tc>
          <w:tcPr>
            <w:tcW w:w="2271" w:type="dxa"/>
          </w:tcPr>
          <w:p w14:paraId="510BC767" w14:textId="3B252FE6" w:rsidR="00233805" w:rsidRPr="00233805" w:rsidRDefault="00233805" w:rsidP="0023380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المسار التقني</w:t>
            </w:r>
          </w:p>
        </w:tc>
        <w:tc>
          <w:tcPr>
            <w:tcW w:w="1788" w:type="dxa"/>
          </w:tcPr>
          <w:p w14:paraId="4BEDA0B2" w14:textId="4AEBDE66" w:rsidR="00233805" w:rsidRPr="00233805" w:rsidRDefault="00233805" w:rsidP="0023380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بيانات حقيقية</w:t>
            </w:r>
          </w:p>
          <w:p w14:paraId="763ABB2E" w14:textId="3DC72448" w:rsidR="00233805" w:rsidRPr="00233805" w:rsidRDefault="00F80AA8" w:rsidP="0023380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("مسار مؤمن")</w:t>
            </w:r>
          </w:p>
        </w:tc>
        <w:tc>
          <w:tcPr>
            <w:tcW w:w="1951" w:type="dxa"/>
          </w:tcPr>
          <w:p w14:paraId="53AA618E" w14:textId="23DB4576" w:rsidR="00F80AA8" w:rsidRPr="00233805" w:rsidRDefault="00F80AA8" w:rsidP="00F80AA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بيانات مفتوحة</w:t>
            </w:r>
          </w:p>
          <w:p w14:paraId="462BD0D7" w14:textId="7554DCE0" w:rsidR="00233805" w:rsidRPr="00233805" w:rsidRDefault="00233805" w:rsidP="00233805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626" w:type="dxa"/>
          </w:tcPr>
          <w:p w14:paraId="0089B1F1" w14:textId="4368751F" w:rsidR="00F80AA8" w:rsidRPr="00233805" w:rsidRDefault="00F80AA8" w:rsidP="00F80AA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بيانات مركبة</w:t>
            </w:r>
          </w:p>
          <w:p w14:paraId="19F7AF22" w14:textId="2E04930A" w:rsidR="00233805" w:rsidRPr="00233805" w:rsidRDefault="00233805" w:rsidP="00233805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4" w:type="dxa"/>
          </w:tcPr>
          <w:p w14:paraId="5EDBC06D" w14:textId="04DCC5EE" w:rsidR="00F80AA8" w:rsidRPr="00233805" w:rsidRDefault="00F80AA8" w:rsidP="00F80AA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بدون بيانات</w:t>
            </w:r>
          </w:p>
          <w:p w14:paraId="4E067BD3" w14:textId="1961FAB5" w:rsidR="00233805" w:rsidRPr="00233805" w:rsidRDefault="00233805" w:rsidP="00233805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  <w:tr w:rsidR="00233805" w:rsidRPr="00233805" w14:paraId="6AF89DD1" w14:textId="77777777" w:rsidTr="00233805">
        <w:trPr>
          <w:trHeight w:val="411"/>
          <w:jc w:val="center"/>
        </w:trPr>
        <w:tc>
          <w:tcPr>
            <w:tcW w:w="2271" w:type="dxa"/>
          </w:tcPr>
          <w:p w14:paraId="65759903" w14:textId="23E21377" w:rsidR="00233805" w:rsidRPr="00F80AA8" w:rsidRDefault="00F80AA8" w:rsidP="00F80AA8">
            <w:pPr>
              <w:keepNext/>
              <w:keepLines/>
              <w:jc w:val="center"/>
            </w:pPr>
            <w:r w:rsidRPr="00F80AA8">
              <w:rPr>
                <w:rFonts w:hint="cs"/>
                <w:rtl/>
              </w:rPr>
              <w:t>شبكات</w:t>
            </w:r>
          </w:p>
        </w:tc>
        <w:tc>
          <w:tcPr>
            <w:tcW w:w="1788" w:type="dxa"/>
          </w:tcPr>
          <w:p w14:paraId="6B7BF436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951" w:type="dxa"/>
          </w:tcPr>
          <w:p w14:paraId="0D549995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626" w:type="dxa"/>
          </w:tcPr>
          <w:p w14:paraId="01949438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344" w:type="dxa"/>
          </w:tcPr>
          <w:p w14:paraId="3C06C677" w14:textId="77777777" w:rsidR="00233805" w:rsidRPr="00233805" w:rsidRDefault="00233805" w:rsidP="00233805">
            <w:pPr>
              <w:keepNext/>
              <w:keepLines/>
              <w:jc w:val="center"/>
            </w:pPr>
          </w:p>
        </w:tc>
      </w:tr>
      <w:tr w:rsidR="00233805" w:rsidRPr="00233805" w14:paraId="2AA4347A" w14:textId="77777777" w:rsidTr="00233805">
        <w:trPr>
          <w:trHeight w:val="416"/>
          <w:jc w:val="center"/>
        </w:trPr>
        <w:tc>
          <w:tcPr>
            <w:tcW w:w="2271" w:type="dxa"/>
          </w:tcPr>
          <w:p w14:paraId="5ECB5761" w14:textId="4116B889" w:rsidR="00233805" w:rsidRPr="00F80AA8" w:rsidRDefault="00F80AA8" w:rsidP="00233805">
            <w:pPr>
              <w:keepNext/>
              <w:keepLines/>
              <w:jc w:val="center"/>
            </w:pPr>
            <w:r w:rsidRPr="00F80AA8">
              <w:rPr>
                <w:rFonts w:hint="cs"/>
                <w:rtl/>
              </w:rPr>
              <w:t>قطاعات رأسية</w:t>
            </w:r>
          </w:p>
        </w:tc>
        <w:tc>
          <w:tcPr>
            <w:tcW w:w="1788" w:type="dxa"/>
          </w:tcPr>
          <w:p w14:paraId="39E41934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951" w:type="dxa"/>
          </w:tcPr>
          <w:p w14:paraId="7EA7A81E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626" w:type="dxa"/>
          </w:tcPr>
          <w:p w14:paraId="00E98B00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344" w:type="dxa"/>
          </w:tcPr>
          <w:p w14:paraId="1A863B78" w14:textId="77777777" w:rsidR="00233805" w:rsidRPr="00233805" w:rsidRDefault="00233805" w:rsidP="00233805">
            <w:pPr>
              <w:keepNext/>
              <w:keepLines/>
              <w:jc w:val="center"/>
            </w:pPr>
          </w:p>
        </w:tc>
      </w:tr>
      <w:tr w:rsidR="00233805" w:rsidRPr="00233805" w14:paraId="11D64C81" w14:textId="77777777" w:rsidTr="00233805">
        <w:trPr>
          <w:trHeight w:val="422"/>
          <w:jc w:val="center"/>
        </w:trPr>
        <w:tc>
          <w:tcPr>
            <w:tcW w:w="2271" w:type="dxa"/>
          </w:tcPr>
          <w:p w14:paraId="787DEF0A" w14:textId="28B16252" w:rsidR="00233805" w:rsidRPr="00F80AA8" w:rsidRDefault="00F80AA8" w:rsidP="00233805">
            <w:pPr>
              <w:keepNext/>
              <w:keepLines/>
              <w:jc w:val="center"/>
            </w:pPr>
            <w:r>
              <w:rPr>
                <w:rFonts w:hint="cs"/>
                <w:rtl/>
              </w:rPr>
              <w:t>أدوات تمكينية</w:t>
            </w:r>
          </w:p>
        </w:tc>
        <w:tc>
          <w:tcPr>
            <w:tcW w:w="1788" w:type="dxa"/>
          </w:tcPr>
          <w:p w14:paraId="12485C77" w14:textId="77777777" w:rsidR="00233805" w:rsidRPr="00233805" w:rsidRDefault="00233805" w:rsidP="00233805">
            <w:pPr>
              <w:keepNext/>
              <w:keepLines/>
              <w:jc w:val="center"/>
            </w:pPr>
          </w:p>
        </w:tc>
        <w:tc>
          <w:tcPr>
            <w:tcW w:w="1951" w:type="dxa"/>
          </w:tcPr>
          <w:p w14:paraId="7D100CD4" w14:textId="77777777" w:rsidR="00233805" w:rsidRPr="00233805" w:rsidRDefault="00233805" w:rsidP="00233805">
            <w:pPr>
              <w:keepNext/>
              <w:keepLines/>
              <w:jc w:val="center"/>
            </w:pPr>
          </w:p>
        </w:tc>
        <w:tc>
          <w:tcPr>
            <w:tcW w:w="1626" w:type="dxa"/>
          </w:tcPr>
          <w:p w14:paraId="6BC92BC8" w14:textId="77777777" w:rsidR="00233805" w:rsidRPr="00233805" w:rsidRDefault="00233805" w:rsidP="00233805">
            <w:pPr>
              <w:keepNext/>
              <w:keepLines/>
              <w:jc w:val="center"/>
            </w:pPr>
          </w:p>
        </w:tc>
        <w:tc>
          <w:tcPr>
            <w:tcW w:w="1344" w:type="dxa"/>
          </w:tcPr>
          <w:p w14:paraId="1FA180C8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</w:tr>
      <w:tr w:rsidR="00233805" w:rsidRPr="00233805" w14:paraId="26473A4B" w14:textId="77777777" w:rsidTr="00233805">
        <w:trPr>
          <w:trHeight w:val="415"/>
          <w:jc w:val="center"/>
        </w:trPr>
        <w:tc>
          <w:tcPr>
            <w:tcW w:w="2271" w:type="dxa"/>
          </w:tcPr>
          <w:p w14:paraId="6541AE27" w14:textId="16E9C673" w:rsidR="00233805" w:rsidRPr="00F80AA8" w:rsidRDefault="00F80AA8" w:rsidP="00233805">
            <w:pPr>
              <w:keepNext/>
              <w:keepLines/>
              <w:jc w:val="center"/>
            </w:pPr>
            <w:r>
              <w:rPr>
                <w:rFonts w:hint="cs"/>
                <w:rtl/>
              </w:rPr>
              <w:t>الصالح الاجتماعي</w:t>
            </w:r>
          </w:p>
        </w:tc>
        <w:tc>
          <w:tcPr>
            <w:tcW w:w="1788" w:type="dxa"/>
          </w:tcPr>
          <w:p w14:paraId="23C2FE56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951" w:type="dxa"/>
          </w:tcPr>
          <w:p w14:paraId="0AA3FFDD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626" w:type="dxa"/>
          </w:tcPr>
          <w:p w14:paraId="509B73DC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  <w:tc>
          <w:tcPr>
            <w:tcW w:w="1344" w:type="dxa"/>
          </w:tcPr>
          <w:p w14:paraId="76B8B010" w14:textId="77777777" w:rsidR="00233805" w:rsidRPr="00233805" w:rsidRDefault="00233805" w:rsidP="00233805">
            <w:pPr>
              <w:keepNext/>
              <w:keepLines/>
              <w:jc w:val="center"/>
            </w:pPr>
            <w:r w:rsidRPr="00233805">
              <w:sym w:font="Wingdings" w:char="F0FC"/>
            </w:r>
          </w:p>
        </w:tc>
      </w:tr>
    </w:tbl>
    <w:p w14:paraId="1C3FED4D" w14:textId="6CF0F3BA" w:rsidR="004533B4" w:rsidRDefault="004533B4" w:rsidP="000F2DFC">
      <w:pPr>
        <w:spacing w:before="240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وتتألف المسابقة من ثلاث جولات:</w:t>
      </w:r>
    </w:p>
    <w:p w14:paraId="72C31948" w14:textId="5C323567" w:rsidR="004533B4" w:rsidRDefault="004533B4" w:rsidP="00D517B2">
      <w:pPr>
        <w:rPr>
          <w:rtl/>
          <w:lang w:bidi="ar-EG"/>
        </w:rPr>
      </w:pPr>
      <w:r w:rsidRPr="00054AA9">
        <w:rPr>
          <w:rFonts w:hint="cs"/>
          <w:b/>
          <w:bCs/>
          <w:rtl/>
          <w:lang w:bidi="ar-EG"/>
        </w:rPr>
        <w:t>الجولة الأولى - جولة إقليمية</w:t>
      </w:r>
      <w:r w:rsidR="00054AA9" w:rsidRPr="00054AA9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ستجري في المناطق/البلدان. وسترقى المشاريع الأفضل</w:t>
      </w:r>
      <w:r w:rsidR="00054AA9">
        <w:rPr>
          <w:rFonts w:hint="cs"/>
          <w:rtl/>
          <w:lang w:bidi="ar-EG"/>
        </w:rPr>
        <w:t xml:space="preserve"> في كل منطقة</w:t>
      </w:r>
      <w:r>
        <w:rPr>
          <w:rFonts w:hint="cs"/>
          <w:rtl/>
          <w:lang w:bidi="ar-EG"/>
        </w:rPr>
        <w:t xml:space="preserve"> إلى الجولة العالمية. ومن المقرر إجراء الجولة الأولى في الفترة مايو-يوليو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>.</w:t>
      </w:r>
    </w:p>
    <w:p w14:paraId="5C3B2C58" w14:textId="0F9B4241" w:rsidR="004533B4" w:rsidRDefault="004533B4" w:rsidP="00D517B2">
      <w:pPr>
        <w:rPr>
          <w:rtl/>
          <w:lang w:bidi="ar-EG"/>
        </w:rPr>
      </w:pPr>
      <w:r w:rsidRPr="00054AA9">
        <w:rPr>
          <w:rFonts w:hint="cs"/>
          <w:b/>
          <w:bCs/>
          <w:rtl/>
          <w:lang w:bidi="ar-EG"/>
        </w:rPr>
        <w:t>الجولة الثانية - جولة عالمية:</w:t>
      </w:r>
      <w:r>
        <w:rPr>
          <w:rFonts w:hint="cs"/>
          <w:rtl/>
          <w:lang w:bidi="ar-EG"/>
        </w:rPr>
        <w:t xml:space="preserve"> ستتنافس أفضل مشاريع الجولة العالمية على الجائزة الكبرى في الجولة الثالثة. ومن المقرر إجراء الجولة الثانية في الفترة أغسطس-أكتوبر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>.</w:t>
      </w:r>
    </w:p>
    <w:p w14:paraId="58F36EC4" w14:textId="44FB73B2" w:rsidR="00C86906" w:rsidRDefault="00C86906" w:rsidP="00054AA9">
      <w:pPr>
        <w:rPr>
          <w:rtl/>
          <w:lang w:bidi="ar-EG"/>
        </w:rPr>
      </w:pPr>
      <w:r w:rsidRPr="006B7C72">
        <w:rPr>
          <w:rFonts w:hint="cs"/>
          <w:b/>
          <w:bCs/>
          <w:rtl/>
          <w:lang w:bidi="ar-EG"/>
        </w:rPr>
        <w:t>الجولة الثالثة - المؤتمر الختامي:</w:t>
      </w:r>
      <w:r w:rsidRPr="006B7C72">
        <w:rPr>
          <w:rFonts w:hint="cs"/>
          <w:rtl/>
          <w:lang w:bidi="ar-EG"/>
        </w:rPr>
        <w:t xml:space="preserve"> تتألف هذه الجولة من عروض توضيحية ونظرية في المؤتمر </w:t>
      </w:r>
      <w:r w:rsidR="002224EF" w:rsidRPr="006B7C72">
        <w:rPr>
          <w:rFonts w:hint="cs"/>
          <w:rtl/>
          <w:lang w:bidi="ar-EG"/>
        </w:rPr>
        <w:t>الختامي</w:t>
      </w:r>
      <w:r w:rsidRPr="006B7C72">
        <w:rPr>
          <w:rFonts w:hint="cs"/>
          <w:rtl/>
          <w:lang w:bidi="ar-EG"/>
        </w:rPr>
        <w:t>. سيتم اختيار الفائزين في</w:t>
      </w:r>
      <w:r w:rsidRPr="006B7C72">
        <w:rPr>
          <w:rFonts w:hint="eastAsia"/>
          <w:rtl/>
          <w:lang w:bidi="ar-EG"/>
        </w:rPr>
        <w:t> </w:t>
      </w:r>
      <w:r w:rsidRPr="006B7C72">
        <w:rPr>
          <w:rFonts w:hint="cs"/>
          <w:rtl/>
          <w:lang w:bidi="ar-EG"/>
        </w:rPr>
        <w:t>المسابقة من أفضل الأفرقة في المؤتمر الختامي.</w:t>
      </w:r>
      <w:r w:rsidR="00054AA9" w:rsidRPr="006B7C72">
        <w:rPr>
          <w:rFonts w:hint="cs"/>
          <w:rtl/>
          <w:lang w:bidi="ar-EG"/>
        </w:rPr>
        <w:t xml:space="preserve"> </w:t>
      </w:r>
      <w:r w:rsidRPr="006B7C72">
        <w:rPr>
          <w:rFonts w:hint="cs"/>
          <w:rtl/>
          <w:lang w:bidi="ar-EG"/>
        </w:rPr>
        <w:t xml:space="preserve">الجولة الثالثة من المسابقة - مخطط </w:t>
      </w:r>
      <w:r w:rsidR="00BD422B" w:rsidRPr="006B7C72">
        <w:rPr>
          <w:rFonts w:hint="cs"/>
          <w:rtl/>
          <w:lang w:bidi="ar-EG"/>
        </w:rPr>
        <w:t>لها نهاية</w:t>
      </w:r>
      <w:r w:rsidRPr="006B7C72">
        <w:rPr>
          <w:rFonts w:hint="cs"/>
          <w:rtl/>
          <w:lang w:bidi="ar-EG"/>
        </w:rPr>
        <w:t xml:space="preserve"> العام.</w:t>
      </w:r>
    </w:p>
    <w:p w14:paraId="1594E1FA" w14:textId="1F8ED526" w:rsidR="00C86906" w:rsidRDefault="00C86906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الآن وحتى نهاية أبريل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>، سيتم الترويج للمسابقة وإنشاء البنية التحتية الخاصة بها. ويسعدنا أن نعلن أن مؤسسة</w:t>
      </w:r>
      <w:r>
        <w:rPr>
          <w:rFonts w:hint="eastAsia"/>
          <w:rtl/>
          <w:lang w:bidi="ar-EG"/>
        </w:rPr>
        <w:t> </w:t>
      </w:r>
      <w:hyperlink r:id="rId10" w:history="1">
        <w:r w:rsidRPr="005E0DF8">
          <w:rPr>
            <w:rStyle w:val="Hyperlink"/>
            <w:i/>
            <w:iCs/>
            <w:lang w:bidi="ar-EG"/>
          </w:rPr>
          <w:t>LF A1</w:t>
        </w:r>
      </w:hyperlink>
      <w:r>
        <w:rPr>
          <w:rFonts w:hint="cs"/>
          <w:rtl/>
          <w:lang w:bidi="ar-EG"/>
        </w:rPr>
        <w:t xml:space="preserve"> أحد شركاء </w:t>
      </w:r>
      <w:r w:rsidR="00F87780" w:rsidRPr="006B7C72">
        <w:rPr>
          <w:rFonts w:hint="cs"/>
          <w:rtl/>
          <w:lang w:bidi="ar-EG"/>
        </w:rPr>
        <w:t>الاتحاد في</w:t>
      </w:r>
      <w:r w:rsidR="00F8778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الترويج لهذه المسابقة.</w:t>
      </w:r>
    </w:p>
    <w:p w14:paraId="26CAA656" w14:textId="36EE5277" w:rsidR="00C86906" w:rsidRDefault="00C86906" w:rsidP="00D517B2">
      <w:pPr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المشاركة في المسابقة بالمجان ومتاحة لكل الأطراف </w:t>
      </w:r>
      <w:r w:rsidR="006B7C72">
        <w:rPr>
          <w:rFonts w:hint="cs"/>
          <w:rtl/>
          <w:lang w:bidi="ar-EG"/>
        </w:rPr>
        <w:t>المهتمة</w:t>
      </w:r>
      <w:r>
        <w:rPr>
          <w:rFonts w:hint="cs"/>
          <w:rtl/>
          <w:lang w:bidi="ar-EG"/>
        </w:rPr>
        <w:t xml:space="preserve"> من البلدان الأعضاء في الاتحاد. إذا كنت مهتماً بأحد الموضوعات التالية أدناه، يرجى التعبير عن اهتمامك بملء الاستمارة المتاحة </w:t>
      </w:r>
      <w:r w:rsidR="00F87780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الموقع الإلكتروني [</w:t>
      </w:r>
      <w:hyperlink r:id="rId11" w:history="1">
        <w:r w:rsidRPr="005E0DF8">
          <w:rPr>
            <w:rStyle w:val="Hyperlink"/>
            <w:rFonts w:hint="cs"/>
            <w:rtl/>
            <w:lang w:bidi="ar-EG"/>
          </w:rPr>
          <w:t>رابط</w:t>
        </w:r>
      </w:hyperlink>
      <w:r>
        <w:rPr>
          <w:rFonts w:hint="cs"/>
          <w:rtl/>
          <w:lang w:bidi="ar-EG"/>
        </w:rPr>
        <w:t>]. وسوف نرتب معكم مهاتفة جماعية لمناقشة التفاصيل:</w:t>
      </w:r>
    </w:p>
    <w:p w14:paraId="2A39AE8D" w14:textId="31394015" w:rsidR="00C86906" w:rsidRDefault="00C86906" w:rsidP="00C8690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من سيكون مرشحكم لعضوية مجلس إدارة المسابقة؟</w:t>
      </w:r>
    </w:p>
    <w:p w14:paraId="7C5C3520" w14:textId="062D55F1" w:rsidR="00C86906" w:rsidRDefault="00C86906" w:rsidP="00C8690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هل لديكم إضافات لقائمة بيانات المشكلات والموارد؟ يمكن الاطلاع على القائمة الحالية لقائمة</w:t>
      </w:r>
      <w:r w:rsidR="00F87780">
        <w:rPr>
          <w:rFonts w:hint="cs"/>
          <w:rtl/>
        </w:rPr>
        <w:t xml:space="preserve"> </w:t>
      </w:r>
      <w:r w:rsidR="00F87780" w:rsidRPr="006B7C72">
        <w:rPr>
          <w:rFonts w:hint="cs"/>
          <w:rtl/>
        </w:rPr>
        <w:t>بيانات</w:t>
      </w:r>
      <w:r>
        <w:rPr>
          <w:rFonts w:hint="cs"/>
          <w:rtl/>
        </w:rPr>
        <w:t xml:space="preserve"> المشكلات والموارد في الوثيقة "</w:t>
      </w:r>
      <w:hyperlink r:id="rId12" w:history="1">
        <w:r w:rsidRPr="005E0DF8">
          <w:rPr>
            <w:rStyle w:val="Hyperlink"/>
            <w:rFonts w:hint="cs"/>
            <w:rtl/>
          </w:rPr>
          <w:t>بيانات المشكلات وموارد البيانات</w:t>
        </w:r>
      </w:hyperlink>
      <w:r>
        <w:rPr>
          <w:rFonts w:hint="cs"/>
          <w:rtl/>
        </w:rPr>
        <w:t xml:space="preserve">"، المتاحة </w:t>
      </w:r>
      <w:r w:rsidR="00F87780">
        <w:rPr>
          <w:rFonts w:hint="cs"/>
          <w:rtl/>
        </w:rPr>
        <w:t>في</w:t>
      </w:r>
      <w:r>
        <w:rPr>
          <w:rFonts w:hint="cs"/>
          <w:rtl/>
        </w:rPr>
        <w:t xml:space="preserve"> الموقع الإلكتروني للمسابقة.</w:t>
      </w:r>
    </w:p>
    <w:p w14:paraId="64D21A0B" w14:textId="05C86181" w:rsidR="00C86906" w:rsidRDefault="00C86906" w:rsidP="00C8690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هل لديكم الرغبة في تقديم بيانات، شريطة تطبيق معايير التداول المؤمن للبيانات؟</w:t>
      </w:r>
    </w:p>
    <w:p w14:paraId="735155F8" w14:textId="45A4542B" w:rsidR="00C86906" w:rsidRDefault="00C86906" w:rsidP="00C8690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من سيكون مرشحكم لعضوية فريق المحكمين؟</w:t>
      </w:r>
    </w:p>
    <w:p w14:paraId="4C3DD155" w14:textId="7C4D3398" w:rsidR="00C86906" w:rsidRDefault="00C86906" w:rsidP="00C8690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من سيكون مرشحكم لعضوية مجموعة الموجهين للمسابقة؟</w:t>
      </w:r>
    </w:p>
    <w:p w14:paraId="38C13625" w14:textId="55062729" w:rsidR="00C86906" w:rsidRDefault="00C86906" w:rsidP="00C8690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ما هي مجموعات الأدوات والسطوح البينية لبرمجة التطبيقات التي تودون المساهمة بها والتي يمكن للمشاركين في</w:t>
      </w:r>
      <w:r w:rsidR="00342D87">
        <w:rPr>
          <w:rFonts w:hint="eastAsia"/>
          <w:rtl/>
        </w:rPr>
        <w:t> </w:t>
      </w:r>
      <w:r>
        <w:rPr>
          <w:rFonts w:hint="cs"/>
          <w:rtl/>
        </w:rPr>
        <w:t>المسابقة استخدامها؟</w:t>
      </w:r>
    </w:p>
    <w:p w14:paraId="28CF1EBD" w14:textId="2847B761" w:rsidR="00C86906" w:rsidRDefault="00C86906" w:rsidP="00C8690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هل ترغب (سواء كنت فرداً أو عضواً في فريق) في المنافسة في المسابقة.</w:t>
      </w:r>
    </w:p>
    <w:p w14:paraId="6252C606" w14:textId="14B6167B" w:rsidR="00C86906" w:rsidRDefault="00C86906" w:rsidP="00D517B2">
      <w:pPr>
        <w:rPr>
          <w:rtl/>
        </w:rPr>
      </w:pPr>
      <w:r>
        <w:rPr>
          <w:rFonts w:hint="cs"/>
          <w:rtl/>
          <w:lang w:bidi="ar-EG"/>
        </w:rPr>
        <w:t xml:space="preserve">ويمكن الاطلاع على المعلومات التفصيلية عن مسؤوليات مجلس إدارة المسابقة والموجهين وأعمال التوجيه وفريق المحكمين وموردي البيانات في الوثيقة </w:t>
      </w:r>
      <w:r w:rsidR="00F56A18">
        <w:rPr>
          <w:rFonts w:hint="cs"/>
          <w:rtl/>
        </w:rPr>
        <w:t>"</w:t>
      </w:r>
      <w:hyperlink r:id="rId13" w:history="1">
        <w:r w:rsidR="007C31BC" w:rsidRPr="007C31BC">
          <w:rPr>
            <w:rStyle w:val="Hyperlink"/>
            <w:rFonts w:hint="cs"/>
            <w:rtl/>
            <w:lang w:bidi="ar-EG"/>
          </w:rPr>
          <w:t xml:space="preserve">مسابقة الاتحاد بشأن الذكاء الاصطناعي/التعلم الآلي في تكنولوجيا الجيل الخامس - </w:t>
        </w:r>
        <w:r w:rsidR="00233805" w:rsidRPr="007C31BC">
          <w:rPr>
            <w:rStyle w:val="Hyperlink"/>
            <w:rFonts w:hint="cs"/>
            <w:rtl/>
          </w:rPr>
          <w:t>تطبيق الذكاء الاصطناعي/التعلم الآلي في شبكات الجيل الخامس. الأولويات</w:t>
        </w:r>
      </w:hyperlink>
      <w:r w:rsidR="00233805">
        <w:rPr>
          <w:rFonts w:hint="cs"/>
          <w:rtl/>
        </w:rPr>
        <w:t xml:space="preserve">"، المتاحة </w:t>
      </w:r>
      <w:r w:rsidR="00F56A18">
        <w:rPr>
          <w:rFonts w:hint="cs"/>
          <w:rtl/>
        </w:rPr>
        <w:t>في</w:t>
      </w:r>
      <w:r w:rsidR="00233805">
        <w:rPr>
          <w:rFonts w:hint="cs"/>
          <w:rtl/>
        </w:rPr>
        <w:t xml:space="preserve"> الموقع الإلكتروني للمسابقة.</w:t>
      </w:r>
    </w:p>
    <w:p w14:paraId="4F170C2B" w14:textId="1DD04F02" w:rsidR="00233805" w:rsidRDefault="00E94189" w:rsidP="00D517B2">
      <w:pPr>
        <w:rPr>
          <w:rtl/>
        </w:rPr>
      </w:pPr>
      <w:r>
        <w:t>9</w:t>
      </w:r>
      <w:r>
        <w:rPr>
          <w:rtl/>
          <w:lang w:bidi="ar-EG"/>
        </w:rPr>
        <w:tab/>
      </w:r>
      <w:r w:rsidR="00233805">
        <w:rPr>
          <w:rFonts w:hint="cs"/>
          <w:rtl/>
        </w:rPr>
        <w:t xml:space="preserve">ونوجه الدعوة إلى </w:t>
      </w:r>
      <w:r w:rsidR="006B7C72">
        <w:rPr>
          <w:rFonts w:hint="cs"/>
          <w:rtl/>
        </w:rPr>
        <w:t>الجهات الراعية</w:t>
      </w:r>
      <w:r w:rsidR="00273677">
        <w:rPr>
          <w:rFonts w:hint="cs"/>
          <w:rtl/>
        </w:rPr>
        <w:t>.</w:t>
      </w:r>
      <w:r w:rsidR="00233805">
        <w:rPr>
          <w:rFonts w:hint="cs"/>
          <w:rtl/>
        </w:rPr>
        <w:t xml:space="preserve"> ورعاية هذه المسابقة فرصة ممتازة لكي يتبوأ بلدكم أو منظمتكم أو شركتكم موقع الريادة العالمية في</w:t>
      </w:r>
      <w:r w:rsidR="00233805">
        <w:rPr>
          <w:rFonts w:hint="eastAsia"/>
          <w:rtl/>
        </w:rPr>
        <w:t> </w:t>
      </w:r>
      <w:r w:rsidR="00233805">
        <w:rPr>
          <w:rFonts w:hint="cs"/>
          <w:rtl/>
        </w:rPr>
        <w:t xml:space="preserve">مجال الذكاء الاصطناعي/التعلم الآلي من أجل تكنولوجيا الجيل الخامس. وتتاح </w:t>
      </w:r>
      <w:r w:rsidR="006B7C72">
        <w:rPr>
          <w:rFonts w:hint="cs"/>
          <w:rtl/>
        </w:rPr>
        <w:t>باقات</w:t>
      </w:r>
      <w:r w:rsidR="00233805">
        <w:rPr>
          <w:rFonts w:hint="cs"/>
          <w:rtl/>
        </w:rPr>
        <w:t xml:space="preserve"> الرعاية في الموقع الإلكتروني</w:t>
      </w:r>
      <w:r w:rsidR="00BF340C">
        <w:rPr>
          <w:rFonts w:hint="eastAsia"/>
          <w:rtl/>
        </w:rPr>
        <w:t> </w:t>
      </w:r>
      <w:r w:rsidR="00233805">
        <w:rPr>
          <w:rFonts w:hint="cs"/>
          <w:rtl/>
        </w:rPr>
        <w:t>للمسابقة.</w:t>
      </w:r>
    </w:p>
    <w:p w14:paraId="006A4E9E" w14:textId="0A901A1A" w:rsidR="00233805" w:rsidRDefault="00233805" w:rsidP="00D517B2">
      <w:pPr>
        <w:rPr>
          <w:rtl/>
          <w:lang w:bidi="ar-EG"/>
        </w:rPr>
      </w:pPr>
      <w:r>
        <w:lastRenderedPageBreak/>
        <w:t>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المعلومات المتعلقة بالمسابقة، بما في ذلك رابط إلى استمارة التعبير عن </w:t>
      </w:r>
      <w:r w:rsidR="006B7C72">
        <w:rPr>
          <w:rFonts w:hint="cs"/>
          <w:rtl/>
          <w:lang w:bidi="ar-EG"/>
        </w:rPr>
        <w:t>اهتمامكم</w:t>
      </w:r>
      <w:r>
        <w:rPr>
          <w:rFonts w:hint="cs"/>
          <w:rtl/>
          <w:lang w:bidi="ar-EG"/>
        </w:rPr>
        <w:t xml:space="preserve">، متاحة </w:t>
      </w:r>
      <w:r w:rsidR="00F56A18">
        <w:rPr>
          <w:rFonts w:hint="cs"/>
          <w:rtl/>
          <w:lang w:bidi="ar-EG"/>
        </w:rPr>
        <w:t xml:space="preserve">في الموقع </w:t>
      </w:r>
      <w:hyperlink r:id="rId14" w:history="1">
        <w:r w:rsidR="00F56A18">
          <w:rPr>
            <w:rStyle w:val="Hyperlink"/>
          </w:rPr>
          <w:t>https://www.itu.int/en/ITU-T/AI/challenge/2020</w:t>
        </w:r>
      </w:hyperlink>
      <w:r w:rsidR="00F56A18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يرجى زيارة الصفحة الرئيسية للمسابقة بصورة دورية للاطلاع على آخر المستجدات.</w:t>
      </w:r>
    </w:p>
    <w:p w14:paraId="735434E0" w14:textId="48389A46" w:rsidR="00233805" w:rsidRPr="00C86906" w:rsidRDefault="00233805" w:rsidP="00D517B2">
      <w:pPr>
        <w:rPr>
          <w:sz w:val="24"/>
          <w:szCs w:val="24"/>
          <w:rtl/>
          <w:lang w:bidi="ar-EG"/>
        </w:rPr>
      </w:pPr>
      <w:r>
        <w:rPr>
          <w:lang w:bidi="ar-EG"/>
        </w:rPr>
        <w:t>11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لمزيد من المعلومات وللاستفسارات بشأن المسابقة، يرجى الاتصال</w:t>
      </w:r>
      <w:r w:rsidR="00F56A18">
        <w:rPr>
          <w:rFonts w:hint="cs"/>
          <w:sz w:val="24"/>
          <w:szCs w:val="24"/>
          <w:rtl/>
          <w:lang w:bidi="ar-EG"/>
        </w:rPr>
        <w:t xml:space="preserve"> </w:t>
      </w:r>
      <w:r w:rsidR="00F56A18" w:rsidRPr="006B7C72">
        <w:rPr>
          <w:rFonts w:hint="cs"/>
          <w:sz w:val="24"/>
          <w:szCs w:val="24"/>
          <w:rtl/>
          <w:lang w:bidi="ar-EG"/>
        </w:rPr>
        <w:t>من خلال العنوان</w:t>
      </w:r>
      <w:r w:rsidR="00F56A18">
        <w:rPr>
          <w:rFonts w:hint="cs"/>
          <w:sz w:val="24"/>
          <w:szCs w:val="24"/>
          <w:rtl/>
          <w:lang w:bidi="ar-EG"/>
        </w:rPr>
        <w:t xml:space="preserve">: </w:t>
      </w:r>
      <w:hyperlink r:id="rId15" w:history="1">
        <w:r w:rsidR="00F56A18" w:rsidRPr="00EC21D7">
          <w:rPr>
            <w:rStyle w:val="Hyperlink"/>
          </w:rPr>
          <w:t>ai5gchallenge@itu.int</w:t>
        </w:r>
      </w:hyperlink>
      <w:r w:rsidR="00F56A18" w:rsidRPr="00F56A18">
        <w:rPr>
          <w:rStyle w:val="Hyperlink"/>
          <w:rFonts w:hint="cs"/>
          <w:u w:val="none"/>
          <w:rtl/>
        </w:rPr>
        <w:t>.</w:t>
      </w:r>
    </w:p>
    <w:p w14:paraId="74B8A636" w14:textId="1D3CDE46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0CB88DF" w14:textId="4327E046" w:rsidR="00E84438" w:rsidRDefault="00E6176D" w:rsidP="009E30BB">
      <w:pPr>
        <w:spacing w:before="960"/>
        <w:jc w:val="left"/>
        <w:rPr>
          <w:lang w:bidi="ar-SY"/>
        </w:rPr>
      </w:pPr>
      <w:bookmarkStart w:id="1" w:name="_GoBack"/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251387A" wp14:editId="3E0C63F2">
            <wp:simplePos x="0" y="0"/>
            <wp:positionH relativeFrom="column">
              <wp:posOffset>5328285</wp:posOffset>
            </wp:positionH>
            <wp:positionV relativeFrom="paragraph">
              <wp:posOffset>40640</wp:posOffset>
            </wp:positionV>
            <wp:extent cx="819150" cy="5670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Sect="000F2D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FE05" w14:textId="77777777" w:rsidR="00232B68" w:rsidRDefault="00232B68" w:rsidP="006C3242">
      <w:pPr>
        <w:spacing w:before="0" w:line="240" w:lineRule="auto"/>
      </w:pPr>
      <w:r>
        <w:separator/>
      </w:r>
    </w:p>
  </w:endnote>
  <w:endnote w:type="continuationSeparator" w:id="0">
    <w:p w14:paraId="6FB9CEF3" w14:textId="77777777" w:rsidR="00232B68" w:rsidRDefault="00232B6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A707" w14:textId="77777777" w:rsidR="00373F57" w:rsidRDefault="00373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1CC1" w14:textId="266E21CC" w:rsidR="006C3242" w:rsidRPr="0026373E" w:rsidRDefault="006C3242" w:rsidP="00EE042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4DEA5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6C228" w14:textId="77777777" w:rsidR="00232B68" w:rsidRDefault="00232B68" w:rsidP="006C3242">
      <w:pPr>
        <w:spacing w:before="0" w:line="240" w:lineRule="auto"/>
      </w:pPr>
      <w:r>
        <w:separator/>
      </w:r>
    </w:p>
  </w:footnote>
  <w:footnote w:type="continuationSeparator" w:id="0">
    <w:p w14:paraId="678A5D0B" w14:textId="77777777" w:rsidR="00232B68" w:rsidRDefault="00232B68" w:rsidP="006C3242">
      <w:pPr>
        <w:spacing w:before="0" w:line="240" w:lineRule="auto"/>
      </w:pPr>
      <w:r>
        <w:continuationSeparator/>
      </w:r>
    </w:p>
  </w:footnote>
  <w:footnote w:id="1">
    <w:p w14:paraId="581CA807" w14:textId="1DBEA4D9" w:rsidR="000A45D2" w:rsidRPr="004227AF" w:rsidRDefault="000A45D2" w:rsidP="000A45D2">
      <w:pPr>
        <w:pStyle w:val="FootnoteText"/>
        <w:tabs>
          <w:tab w:val="clear" w:pos="794"/>
          <w:tab w:val="left" w:pos="425"/>
        </w:tabs>
        <w:ind w:left="425" w:hanging="425"/>
        <w:rPr>
          <w:spacing w:val="-2"/>
          <w:sz w:val="18"/>
          <w:szCs w:val="18"/>
          <w:rtl/>
        </w:rPr>
      </w:pPr>
      <w:r w:rsidRPr="004227AF">
        <w:rPr>
          <w:rStyle w:val="FootnoteReference"/>
          <w:spacing w:val="-2"/>
          <w:sz w:val="16"/>
        </w:rPr>
        <w:footnoteRef/>
      </w:r>
      <w:r w:rsidRPr="004227AF">
        <w:rPr>
          <w:spacing w:val="-2"/>
          <w:sz w:val="16"/>
          <w:rtl/>
        </w:rPr>
        <w:tab/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الإضافة </w:t>
      </w:r>
      <w:r w:rsidRPr="004227AF">
        <w:rPr>
          <w:spacing w:val="-2"/>
          <w:sz w:val="18"/>
          <w:szCs w:val="18"/>
          <w:lang w:bidi="ar-EG"/>
        </w:rPr>
        <w:t>55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 إلى سلسلة التوصيات </w:t>
      </w:r>
      <w:r w:rsidRPr="004227AF">
        <w:rPr>
          <w:spacing w:val="-2"/>
          <w:sz w:val="18"/>
          <w:szCs w:val="18"/>
          <w:lang w:bidi="ar-EG"/>
        </w:rPr>
        <w:t>ITU-T Y.3170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>: "التعلم الآلي في شبكات المستقبل بما في ذلك الاتصالات المتنقلة الدولية-</w:t>
      </w:r>
      <w:r w:rsidRPr="004227AF">
        <w:rPr>
          <w:spacing w:val="-2"/>
          <w:sz w:val="18"/>
          <w:szCs w:val="18"/>
          <w:lang w:bidi="ar-EG"/>
        </w:rPr>
        <w:t>2020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: حالات الاستعمال"؛ والتوصية </w:t>
      </w:r>
      <w:r w:rsidRPr="004227AF">
        <w:rPr>
          <w:spacing w:val="-2"/>
          <w:sz w:val="18"/>
          <w:szCs w:val="18"/>
          <w:lang w:bidi="ar-EG"/>
        </w:rPr>
        <w:t>ITU-T Y.3172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 "الإطار المعماري للتعلم الآلي في شبكات المستقبل بما في ذلك الاتصالات المتنقلة الدولية-</w:t>
      </w:r>
      <w:r w:rsidRPr="004227AF">
        <w:rPr>
          <w:spacing w:val="-2"/>
          <w:sz w:val="18"/>
          <w:szCs w:val="18"/>
          <w:lang w:bidi="ar-EG"/>
        </w:rPr>
        <w:t>2020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>"؛ والتوصية</w:t>
      </w:r>
      <w:r w:rsidR="004227AF" w:rsidRPr="004227AF">
        <w:rPr>
          <w:rFonts w:hint="eastAsia"/>
          <w:spacing w:val="-2"/>
          <w:sz w:val="18"/>
          <w:szCs w:val="18"/>
          <w:rtl/>
          <w:lang w:bidi="ar-EG"/>
        </w:rPr>
        <w:t> </w:t>
      </w:r>
      <w:r w:rsidRPr="004227AF">
        <w:rPr>
          <w:spacing w:val="-2"/>
          <w:sz w:val="18"/>
          <w:szCs w:val="18"/>
          <w:lang w:bidi="ar-EG"/>
        </w:rPr>
        <w:t>ITU-T Y.3173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 "إطار لتقييم مستويات الذكاء في شبكات المستقبل بما في ذلك الاتصالات المتنقلة الدولية-</w:t>
      </w:r>
      <w:r w:rsidRPr="004227AF">
        <w:rPr>
          <w:spacing w:val="-2"/>
          <w:sz w:val="18"/>
          <w:szCs w:val="18"/>
          <w:lang w:bidi="ar-EG"/>
        </w:rPr>
        <w:t>2020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"؛ والتوصية </w:t>
      </w:r>
      <w:r w:rsidRPr="004227AF">
        <w:rPr>
          <w:spacing w:val="-2"/>
          <w:sz w:val="18"/>
          <w:szCs w:val="18"/>
          <w:lang w:bidi="ar-EG"/>
        </w:rPr>
        <w:t>ITU-T Y.3174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 "إطار لتداول البيانات لتمكين التعلم الآلي في شبكات المستقبل بما في ذلك الاتصالات المتنقلة الدولية-</w:t>
      </w:r>
      <w:r w:rsidRPr="004227AF">
        <w:rPr>
          <w:spacing w:val="-2"/>
          <w:sz w:val="18"/>
          <w:szCs w:val="18"/>
          <w:lang w:bidi="ar-EG"/>
        </w:rPr>
        <w:t>2020</w:t>
      </w:r>
      <w:r w:rsidRPr="004227AF">
        <w:rPr>
          <w:rFonts w:hint="cs"/>
          <w:spacing w:val="-2"/>
          <w:sz w:val="18"/>
          <w:szCs w:val="18"/>
          <w:rtl/>
          <w:lang w:bidi="ar-EG"/>
        </w:rPr>
        <w:t xml:space="preserve">". وهذه المواصفات متاحة للجمهور بالمجان في الموقع </w:t>
      </w:r>
      <w:hyperlink r:id="rId1" w:history="1">
        <w:r w:rsidRPr="004227AF">
          <w:rPr>
            <w:rStyle w:val="Hyperlink"/>
            <w:spacing w:val="-2"/>
            <w:sz w:val="18"/>
            <w:szCs w:val="18"/>
            <w:lang w:bidi="ar-EG"/>
          </w:rPr>
          <w:t>https://www.itu.int/itu-t/recommendations/index.aspx?ser=Y</w:t>
        </w:r>
      </w:hyperlink>
      <w:r w:rsidRPr="004227AF">
        <w:rPr>
          <w:rFonts w:hint="cs"/>
          <w:spacing w:val="-2"/>
          <w:sz w:val="18"/>
          <w:szCs w:val="18"/>
          <w:rtl/>
        </w:rPr>
        <w:t>.</w:t>
      </w:r>
    </w:p>
  </w:footnote>
  <w:footnote w:id="2">
    <w:p w14:paraId="6A90C347" w14:textId="3AD3F1AA" w:rsidR="002C0596" w:rsidRPr="002C0596" w:rsidRDefault="002C0596" w:rsidP="00F627A8">
      <w:pPr>
        <w:pStyle w:val="FootnoteText"/>
        <w:tabs>
          <w:tab w:val="clear" w:pos="794"/>
          <w:tab w:val="left" w:pos="425"/>
        </w:tabs>
        <w:spacing w:after="240"/>
        <w:ind w:left="425" w:hanging="425"/>
        <w:rPr>
          <w:sz w:val="18"/>
          <w:szCs w:val="18"/>
        </w:rPr>
      </w:pPr>
      <w:r w:rsidRPr="002C0596">
        <w:rPr>
          <w:rStyle w:val="FootnoteReference"/>
        </w:rPr>
        <w:footnoteRef/>
      </w:r>
      <w:r w:rsidRPr="002C0596">
        <w:rPr>
          <w:sz w:val="18"/>
          <w:szCs w:val="18"/>
          <w:rtl/>
        </w:rPr>
        <w:t xml:space="preserve"> </w:t>
      </w:r>
      <w:r w:rsidRPr="002C0596">
        <w:rPr>
          <w:sz w:val="18"/>
          <w:szCs w:val="18"/>
          <w:rtl/>
        </w:rPr>
        <w:tab/>
      </w:r>
      <w:r w:rsidRPr="002C0596">
        <w:rPr>
          <w:rFonts w:hint="cs"/>
          <w:sz w:val="18"/>
          <w:szCs w:val="18"/>
          <w:rtl/>
          <w:lang w:bidi="ar-EG"/>
        </w:rPr>
        <w:t>دمج سوق التعلم الآلي في شبكات المستقبل بما في ذلك الاتصالات المتنقلة الدولية-</w:t>
      </w:r>
      <w:r w:rsidRPr="002C0596">
        <w:rPr>
          <w:sz w:val="18"/>
          <w:szCs w:val="18"/>
        </w:rPr>
        <w:t>2020</w:t>
      </w:r>
      <w:r w:rsidRPr="002C0596">
        <w:rPr>
          <w:rFonts w:hint="cs"/>
          <w:sz w:val="18"/>
          <w:szCs w:val="18"/>
          <w:rtl/>
          <w:lang w:bidi="ar-EG"/>
        </w:rPr>
        <w:t xml:space="preserve">"؛ "المتطلبات والمعمارية والتصميم </w:t>
      </w:r>
      <w:r w:rsidR="00A10655">
        <w:rPr>
          <w:rFonts w:hint="cs"/>
          <w:sz w:val="18"/>
          <w:szCs w:val="18"/>
          <w:rtl/>
          <w:lang w:bidi="ar-EG"/>
        </w:rPr>
        <w:t>لمنسق</w:t>
      </w:r>
      <w:r w:rsidRPr="002C0596">
        <w:rPr>
          <w:rFonts w:hint="cs"/>
          <w:sz w:val="18"/>
          <w:szCs w:val="18"/>
          <w:rtl/>
          <w:lang w:bidi="ar-EG"/>
        </w:rPr>
        <w:t xml:space="preserve"> وظائف التعلم الآلي"؛ "</w:t>
      </w:r>
      <w:r w:rsidRPr="00A10655">
        <w:rPr>
          <w:rFonts w:hint="cs"/>
          <w:sz w:val="18"/>
          <w:szCs w:val="18"/>
          <w:rtl/>
          <w:lang w:bidi="ar-EG"/>
        </w:rPr>
        <w:t>بيئة</w:t>
      </w:r>
      <w:r w:rsidRPr="002C0596">
        <w:rPr>
          <w:rFonts w:hint="cs"/>
          <w:sz w:val="18"/>
          <w:szCs w:val="18"/>
          <w:rtl/>
          <w:lang w:bidi="ar-EG"/>
        </w:rPr>
        <w:t xml:space="preserve"> اختبار التعلم الآلي"؛ "إطار خدمة لنماذج التعلم الآلي في شبكات المستقبل بما في ذلك الاتصالات المتنقلة الدولية-</w:t>
      </w:r>
      <w:r w:rsidRPr="002C0596">
        <w:rPr>
          <w:sz w:val="18"/>
          <w:szCs w:val="18"/>
        </w:rPr>
        <w:t>2020</w:t>
      </w:r>
      <w:r w:rsidRPr="002C0596">
        <w:rPr>
          <w:rFonts w:hint="cs"/>
          <w:sz w:val="18"/>
          <w:szCs w:val="18"/>
          <w:rtl/>
          <w:lang w:bidi="ar-EG"/>
        </w:rPr>
        <w:t>"</w:t>
      </w:r>
      <w:r w:rsidR="00B152AB">
        <w:rPr>
          <w:rFonts w:hint="cs"/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7472" w14:textId="77777777" w:rsidR="00373F57" w:rsidRDefault="00373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6476E" w14:textId="3B2AB41C" w:rsidR="00447F32" w:rsidRPr="00596808" w:rsidRDefault="00596808" w:rsidP="002C0596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373F57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0653A3">
      <w:rPr>
        <w:sz w:val="20"/>
        <w:szCs w:val="20"/>
        <w:lang w:val="en-GB"/>
      </w:rPr>
      <w:t>237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5BCB" w14:textId="77777777" w:rsidR="00373F57" w:rsidRDefault="00373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68"/>
    <w:rsid w:val="00002A63"/>
    <w:rsid w:val="00006454"/>
    <w:rsid w:val="000122E9"/>
    <w:rsid w:val="00026F83"/>
    <w:rsid w:val="00043809"/>
    <w:rsid w:val="00054AA9"/>
    <w:rsid w:val="00056923"/>
    <w:rsid w:val="0006468A"/>
    <w:rsid w:val="000653A3"/>
    <w:rsid w:val="00090574"/>
    <w:rsid w:val="000A45D2"/>
    <w:rsid w:val="000C1C0E"/>
    <w:rsid w:val="000C548A"/>
    <w:rsid w:val="000E0243"/>
    <w:rsid w:val="000E327F"/>
    <w:rsid w:val="000F2DFC"/>
    <w:rsid w:val="000F6897"/>
    <w:rsid w:val="00146FE2"/>
    <w:rsid w:val="0016798F"/>
    <w:rsid w:val="00175781"/>
    <w:rsid w:val="001C0169"/>
    <w:rsid w:val="001D1D50"/>
    <w:rsid w:val="001D50FA"/>
    <w:rsid w:val="001D6745"/>
    <w:rsid w:val="001E3B92"/>
    <w:rsid w:val="001E446E"/>
    <w:rsid w:val="001E48F2"/>
    <w:rsid w:val="002154EE"/>
    <w:rsid w:val="002224EF"/>
    <w:rsid w:val="002276D2"/>
    <w:rsid w:val="0023283D"/>
    <w:rsid w:val="00232B68"/>
    <w:rsid w:val="00233805"/>
    <w:rsid w:val="0024466B"/>
    <w:rsid w:val="0026373E"/>
    <w:rsid w:val="00271C43"/>
    <w:rsid w:val="00273677"/>
    <w:rsid w:val="00290728"/>
    <w:rsid w:val="002978F4"/>
    <w:rsid w:val="002B028D"/>
    <w:rsid w:val="002B1CDC"/>
    <w:rsid w:val="002C0596"/>
    <w:rsid w:val="002C27E0"/>
    <w:rsid w:val="002E196B"/>
    <w:rsid w:val="002E6541"/>
    <w:rsid w:val="002F4FE6"/>
    <w:rsid w:val="00334924"/>
    <w:rsid w:val="003409BC"/>
    <w:rsid w:val="00342D87"/>
    <w:rsid w:val="00351C3A"/>
    <w:rsid w:val="00357185"/>
    <w:rsid w:val="00373F57"/>
    <w:rsid w:val="003740CE"/>
    <w:rsid w:val="00383829"/>
    <w:rsid w:val="003A3046"/>
    <w:rsid w:val="003C47AC"/>
    <w:rsid w:val="003F4B29"/>
    <w:rsid w:val="00400EC6"/>
    <w:rsid w:val="004227AF"/>
    <w:rsid w:val="0042686F"/>
    <w:rsid w:val="004317D8"/>
    <w:rsid w:val="00434183"/>
    <w:rsid w:val="00443869"/>
    <w:rsid w:val="00447F32"/>
    <w:rsid w:val="004533B4"/>
    <w:rsid w:val="00453C3E"/>
    <w:rsid w:val="004C0D20"/>
    <w:rsid w:val="004E11DC"/>
    <w:rsid w:val="00525DDD"/>
    <w:rsid w:val="00531E9C"/>
    <w:rsid w:val="005360AE"/>
    <w:rsid w:val="005409AC"/>
    <w:rsid w:val="0055516A"/>
    <w:rsid w:val="0058491B"/>
    <w:rsid w:val="00592EA5"/>
    <w:rsid w:val="00595B52"/>
    <w:rsid w:val="00596808"/>
    <w:rsid w:val="005A3170"/>
    <w:rsid w:val="005B33D9"/>
    <w:rsid w:val="005C08AD"/>
    <w:rsid w:val="005E0DF8"/>
    <w:rsid w:val="005E46DE"/>
    <w:rsid w:val="006417FF"/>
    <w:rsid w:val="00677396"/>
    <w:rsid w:val="006858B3"/>
    <w:rsid w:val="0069200F"/>
    <w:rsid w:val="006A65CB"/>
    <w:rsid w:val="006B2588"/>
    <w:rsid w:val="006B7C72"/>
    <w:rsid w:val="006C1530"/>
    <w:rsid w:val="006C3242"/>
    <w:rsid w:val="006C7CC0"/>
    <w:rsid w:val="006F63F7"/>
    <w:rsid w:val="007025C7"/>
    <w:rsid w:val="00706D7A"/>
    <w:rsid w:val="00722F0D"/>
    <w:rsid w:val="00733F7C"/>
    <w:rsid w:val="0074420E"/>
    <w:rsid w:val="0076204A"/>
    <w:rsid w:val="00783E26"/>
    <w:rsid w:val="007C31BC"/>
    <w:rsid w:val="007C3BC7"/>
    <w:rsid w:val="007C3BCD"/>
    <w:rsid w:val="007D4ACF"/>
    <w:rsid w:val="007D5ECE"/>
    <w:rsid w:val="007E191B"/>
    <w:rsid w:val="007F0787"/>
    <w:rsid w:val="007F4021"/>
    <w:rsid w:val="00800BFF"/>
    <w:rsid w:val="00810B7B"/>
    <w:rsid w:val="00820903"/>
    <w:rsid w:val="0082358A"/>
    <w:rsid w:val="008235CD"/>
    <w:rsid w:val="008247DE"/>
    <w:rsid w:val="00840B10"/>
    <w:rsid w:val="008513CB"/>
    <w:rsid w:val="00853D78"/>
    <w:rsid w:val="00873469"/>
    <w:rsid w:val="008851C0"/>
    <w:rsid w:val="008A7F84"/>
    <w:rsid w:val="008C7DEE"/>
    <w:rsid w:val="0091702E"/>
    <w:rsid w:val="00923B0C"/>
    <w:rsid w:val="00930933"/>
    <w:rsid w:val="0094021C"/>
    <w:rsid w:val="0094432F"/>
    <w:rsid w:val="00952F86"/>
    <w:rsid w:val="00982B28"/>
    <w:rsid w:val="009A5096"/>
    <w:rsid w:val="009D0D88"/>
    <w:rsid w:val="009D313F"/>
    <w:rsid w:val="009E30BB"/>
    <w:rsid w:val="00A10655"/>
    <w:rsid w:val="00A11ADE"/>
    <w:rsid w:val="00A4274A"/>
    <w:rsid w:val="00A47A5A"/>
    <w:rsid w:val="00A506C4"/>
    <w:rsid w:val="00A6683B"/>
    <w:rsid w:val="00A9156F"/>
    <w:rsid w:val="00A97F94"/>
    <w:rsid w:val="00AA7EA2"/>
    <w:rsid w:val="00AF6B5C"/>
    <w:rsid w:val="00B03099"/>
    <w:rsid w:val="00B05BC8"/>
    <w:rsid w:val="00B152AB"/>
    <w:rsid w:val="00B2366F"/>
    <w:rsid w:val="00B64B47"/>
    <w:rsid w:val="00B70168"/>
    <w:rsid w:val="00B801C7"/>
    <w:rsid w:val="00BB0F08"/>
    <w:rsid w:val="00BD422B"/>
    <w:rsid w:val="00BD491F"/>
    <w:rsid w:val="00BF340C"/>
    <w:rsid w:val="00BF448C"/>
    <w:rsid w:val="00BF48E3"/>
    <w:rsid w:val="00C002DE"/>
    <w:rsid w:val="00C02D6A"/>
    <w:rsid w:val="00C53BF8"/>
    <w:rsid w:val="00C65595"/>
    <w:rsid w:val="00C66157"/>
    <w:rsid w:val="00C674FE"/>
    <w:rsid w:val="00C67501"/>
    <w:rsid w:val="00C75633"/>
    <w:rsid w:val="00C81B16"/>
    <w:rsid w:val="00C85AB1"/>
    <w:rsid w:val="00C86906"/>
    <w:rsid w:val="00CA773F"/>
    <w:rsid w:val="00CB45CC"/>
    <w:rsid w:val="00CB632E"/>
    <w:rsid w:val="00CE2AEE"/>
    <w:rsid w:val="00CE2EE1"/>
    <w:rsid w:val="00CE3349"/>
    <w:rsid w:val="00CE36E5"/>
    <w:rsid w:val="00CF27F5"/>
    <w:rsid w:val="00CF3FFD"/>
    <w:rsid w:val="00D10CCF"/>
    <w:rsid w:val="00D22846"/>
    <w:rsid w:val="00D517B2"/>
    <w:rsid w:val="00D76A9E"/>
    <w:rsid w:val="00D77D0F"/>
    <w:rsid w:val="00D92500"/>
    <w:rsid w:val="00DA1CF0"/>
    <w:rsid w:val="00DC1E02"/>
    <w:rsid w:val="00DC24B4"/>
    <w:rsid w:val="00DC34D6"/>
    <w:rsid w:val="00DC5FB0"/>
    <w:rsid w:val="00DD1E60"/>
    <w:rsid w:val="00DD1EBB"/>
    <w:rsid w:val="00DF16DC"/>
    <w:rsid w:val="00E263F9"/>
    <w:rsid w:val="00E37BDC"/>
    <w:rsid w:val="00E4083E"/>
    <w:rsid w:val="00E45211"/>
    <w:rsid w:val="00E473C5"/>
    <w:rsid w:val="00E6176D"/>
    <w:rsid w:val="00E82160"/>
    <w:rsid w:val="00E84438"/>
    <w:rsid w:val="00E92863"/>
    <w:rsid w:val="00E94189"/>
    <w:rsid w:val="00EB796D"/>
    <w:rsid w:val="00EE0427"/>
    <w:rsid w:val="00F058DC"/>
    <w:rsid w:val="00F24FC4"/>
    <w:rsid w:val="00F2676C"/>
    <w:rsid w:val="00F52941"/>
    <w:rsid w:val="00F56A18"/>
    <w:rsid w:val="00F627A8"/>
    <w:rsid w:val="00F76662"/>
    <w:rsid w:val="00F80AA8"/>
    <w:rsid w:val="00F84366"/>
    <w:rsid w:val="00F85089"/>
    <w:rsid w:val="00F87780"/>
    <w:rsid w:val="00F974C5"/>
    <w:rsid w:val="00FA6F46"/>
    <w:rsid w:val="00FB27C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717C23"/>
  <w15:chartTrackingRefBased/>
  <w15:docId w15:val="{EBD4D67C-8B92-486A-B524-97EBD956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A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A3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5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AI/challenge/2020/Documents/ITU%20ML5G%20Global%20Challenge_proposal_v23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AI/challenge/2020/Documents/ML5G-I-223-R1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12TkI-YEh0uRPCS9iSGf0-yqkfLCoQ9IpTbc_XELf95UQUZaMlVDNTgyWVZERTBWODk1MDZRNkVTVS4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i5gchallenge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fai.foundati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5gchallenge@itu.int" TargetMode="External"/><Relationship Id="rId14" Type="http://schemas.openxmlformats.org/officeDocument/2006/relationships/hyperlink" Target="https://www.itu.int/en/ITU-T/AI/challenge/2020/Pages/default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t/recommendations/index.aspx?ser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4A5B-996A-4589-9E6B-E629F717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36</cp:revision>
  <cp:lastPrinted>2020-03-30T07:44:00Z</cp:lastPrinted>
  <dcterms:created xsi:type="dcterms:W3CDTF">2020-03-25T20:13:00Z</dcterms:created>
  <dcterms:modified xsi:type="dcterms:W3CDTF">2020-03-30T07:51:00Z</dcterms:modified>
</cp:coreProperties>
</file>