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284"/>
        <w:gridCol w:w="567"/>
        <w:gridCol w:w="2835"/>
        <w:gridCol w:w="2977"/>
        <w:gridCol w:w="2126"/>
        <w:gridCol w:w="8"/>
      </w:tblGrid>
      <w:tr w:rsidR="00036F4F" w:rsidRPr="00CE5093" w14:paraId="02821DFD" w14:textId="77777777" w:rsidTr="007103D2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4D7427A2" w14:textId="77777777" w:rsidR="00036F4F" w:rsidRPr="00CE5093" w:rsidRDefault="00036F4F" w:rsidP="00F550A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E5093">
              <w:rPr>
                <w:noProof/>
                <w:lang w:val="en-GB" w:eastAsia="en-GB"/>
              </w:rPr>
              <w:drawing>
                <wp:inline distT="0" distB="0" distL="0" distR="0" wp14:anchorId="498FD14A" wp14:editId="2D5CF028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7C215D72" w14:textId="77777777" w:rsidR="00036F4F" w:rsidRPr="00CE5093" w:rsidRDefault="00036F4F" w:rsidP="00F550AF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CE5093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270AD853" w14:textId="77777777" w:rsidR="00036F4F" w:rsidRPr="00CE5093" w:rsidRDefault="00036F4F" w:rsidP="00F550A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CE5093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CE5093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6619B002" w14:textId="77777777" w:rsidR="00036F4F" w:rsidRPr="00CE5093" w:rsidRDefault="00036F4F" w:rsidP="00F550AF">
            <w:pPr>
              <w:spacing w:before="0"/>
              <w:rPr>
                <w:color w:val="FFFFFF"/>
                <w:sz w:val="26"/>
                <w:szCs w:val="26"/>
              </w:rPr>
            </w:pPr>
          </w:p>
        </w:tc>
      </w:tr>
      <w:tr w:rsidR="00036F4F" w:rsidRPr="00CE5093" w14:paraId="49E2D3E7" w14:textId="77777777" w:rsidTr="00AD24D0">
        <w:trPr>
          <w:gridBefore w:val="1"/>
          <w:wBefore w:w="8" w:type="dxa"/>
          <w:cantSplit/>
          <w:jc w:val="center"/>
        </w:trPr>
        <w:tc>
          <w:tcPr>
            <w:tcW w:w="1977" w:type="dxa"/>
            <w:gridSpan w:val="3"/>
          </w:tcPr>
          <w:p w14:paraId="54C51D8B" w14:textId="77777777" w:rsidR="00036F4F" w:rsidRPr="00CE5093" w:rsidRDefault="00036F4F" w:rsidP="00F550AF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835" w:type="dxa"/>
          </w:tcPr>
          <w:p w14:paraId="290B44E7" w14:textId="77777777" w:rsidR="00036F4F" w:rsidRPr="00CE5093" w:rsidRDefault="00036F4F" w:rsidP="00F550A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111" w:type="dxa"/>
            <w:gridSpan w:val="3"/>
          </w:tcPr>
          <w:p w14:paraId="305F0F83" w14:textId="596C2B1A" w:rsidR="00036F4F" w:rsidRPr="00CE5093" w:rsidRDefault="00036F4F" w:rsidP="00605E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"/>
              </w:tabs>
              <w:spacing w:after="240"/>
              <w:ind w:left="216" w:hanging="230"/>
            </w:pPr>
            <w:r w:rsidRPr="00CE5093">
              <w:t>Genève, le</w:t>
            </w:r>
            <w:r w:rsidR="005C003E" w:rsidRPr="00CE5093">
              <w:t xml:space="preserve"> </w:t>
            </w:r>
            <w:r w:rsidR="006D736D" w:rsidRPr="00CE5093">
              <w:t>1</w:t>
            </w:r>
            <w:r w:rsidR="008867F1" w:rsidRPr="00CE5093">
              <w:t>3</w:t>
            </w:r>
            <w:r w:rsidR="006D736D" w:rsidRPr="00CE5093">
              <w:t xml:space="preserve"> </w:t>
            </w:r>
            <w:r w:rsidR="008867F1" w:rsidRPr="00CE5093">
              <w:t>février</w:t>
            </w:r>
            <w:r w:rsidR="006D736D" w:rsidRPr="00CE5093">
              <w:t xml:space="preserve"> </w:t>
            </w:r>
            <w:r w:rsidR="005C003E" w:rsidRPr="00CE5093">
              <w:t>20</w:t>
            </w:r>
            <w:r w:rsidR="008867F1" w:rsidRPr="00CE5093">
              <w:t>20</w:t>
            </w:r>
          </w:p>
        </w:tc>
      </w:tr>
      <w:tr w:rsidR="00F17C9C" w:rsidRPr="00CE5093" w14:paraId="0112EFCD" w14:textId="77777777" w:rsidTr="00AD24D0">
        <w:trPr>
          <w:gridBefore w:val="1"/>
          <w:wBefore w:w="8" w:type="dxa"/>
          <w:cantSplit/>
          <w:trHeight w:val="340"/>
          <w:jc w:val="center"/>
        </w:trPr>
        <w:tc>
          <w:tcPr>
            <w:tcW w:w="1126" w:type="dxa"/>
          </w:tcPr>
          <w:p w14:paraId="1DE8316B" w14:textId="77777777" w:rsidR="00F17C9C" w:rsidRPr="00CE5093" w:rsidRDefault="00F17C9C" w:rsidP="00F550A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CE5093">
              <w:rPr>
                <w:b/>
                <w:bCs/>
              </w:rPr>
              <w:t>Réf.:</w:t>
            </w:r>
          </w:p>
          <w:p w14:paraId="6FBC89F2" w14:textId="77777777" w:rsidR="00F17C9C" w:rsidRPr="00CE5093" w:rsidRDefault="00F17C9C" w:rsidP="00F550A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</w:p>
        </w:tc>
        <w:tc>
          <w:tcPr>
            <w:tcW w:w="3686" w:type="dxa"/>
            <w:gridSpan w:val="3"/>
          </w:tcPr>
          <w:p w14:paraId="2F04EBF8" w14:textId="72E93DD0" w:rsidR="00F17C9C" w:rsidRPr="00CE5093" w:rsidRDefault="00F17C9C" w:rsidP="00F550A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CE5093">
              <w:rPr>
                <w:b/>
              </w:rPr>
              <w:t>Circulaire TSB 2</w:t>
            </w:r>
            <w:r w:rsidR="00AC5F42" w:rsidRPr="00CE5093">
              <w:rPr>
                <w:b/>
              </w:rPr>
              <w:t>2</w:t>
            </w:r>
            <w:r w:rsidRPr="00CE5093">
              <w:rPr>
                <w:b/>
              </w:rPr>
              <w:t>9</w:t>
            </w:r>
          </w:p>
          <w:p w14:paraId="6ADD6807" w14:textId="3FE3B647" w:rsidR="00F17C9C" w:rsidRPr="00CE5093" w:rsidRDefault="00327A86" w:rsidP="00F550A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CE5093">
              <w:t>CE</w:t>
            </w:r>
            <w:r w:rsidR="00F17C9C" w:rsidRPr="00CE5093">
              <w:t>2/RC</w:t>
            </w:r>
          </w:p>
        </w:tc>
        <w:tc>
          <w:tcPr>
            <w:tcW w:w="5111" w:type="dxa"/>
            <w:gridSpan w:val="3"/>
            <w:vMerge w:val="restart"/>
          </w:tcPr>
          <w:p w14:paraId="6ACB19F9" w14:textId="32E5AF76" w:rsidR="00F17C9C" w:rsidRPr="00CE5093" w:rsidRDefault="00F17C9C" w:rsidP="00CE509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13" w:hanging="156"/>
            </w:pPr>
            <w:bookmarkStart w:id="0" w:name="Addressee_F"/>
            <w:bookmarkEnd w:id="0"/>
            <w:r w:rsidRPr="00CE5093">
              <w:t>–</w:t>
            </w:r>
            <w:r w:rsidR="00CE5093">
              <w:tab/>
            </w:r>
            <w:r w:rsidRPr="00CE5093">
              <w:t>Aux Administrations des États Membres de</w:t>
            </w:r>
            <w:r w:rsidR="00CE5093">
              <w:t xml:space="preserve"> </w:t>
            </w:r>
            <w:r w:rsidRPr="00CE5093">
              <w:t>l'Union</w:t>
            </w:r>
          </w:p>
          <w:p w14:paraId="0CB05015" w14:textId="77777777" w:rsidR="00F17C9C" w:rsidRPr="00CE5093" w:rsidRDefault="00F17C9C" w:rsidP="00F550AF">
            <w:pPr>
              <w:tabs>
                <w:tab w:val="left" w:pos="4111"/>
              </w:tabs>
              <w:spacing w:before="0"/>
            </w:pPr>
            <w:r w:rsidRPr="00CE5093">
              <w:rPr>
                <w:b/>
              </w:rPr>
              <w:t>Copie</w:t>
            </w:r>
            <w:r w:rsidRPr="00CE5093">
              <w:t>:</w:t>
            </w:r>
          </w:p>
          <w:p w14:paraId="62FCFB63" w14:textId="77777777" w:rsidR="00F17C9C" w:rsidRPr="00CE5093" w:rsidRDefault="00F17C9C" w:rsidP="00F550A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CE5093">
              <w:t>–</w:t>
            </w:r>
            <w:r w:rsidRPr="00CE5093">
              <w:tab/>
              <w:t>Aux Membres du Secteur UIT-T;</w:t>
            </w:r>
          </w:p>
          <w:p w14:paraId="1E44E2ED" w14:textId="3921479D" w:rsidR="00F17C9C" w:rsidRPr="00CE5093" w:rsidRDefault="00F17C9C" w:rsidP="00CE509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13" w:hanging="213"/>
            </w:pPr>
            <w:r w:rsidRPr="00CE5093">
              <w:t>–</w:t>
            </w:r>
            <w:r w:rsidRPr="00CE5093">
              <w:tab/>
            </w:r>
            <w:r w:rsidR="005B4025" w:rsidRPr="00CE5093">
              <w:rPr>
                <w:color w:val="000000"/>
              </w:rPr>
              <w:t>Aux Associés de l'UIT-T participant aux travaux de la Commission d'études 2</w:t>
            </w:r>
            <w:r w:rsidRPr="00CE5093">
              <w:t>;</w:t>
            </w:r>
          </w:p>
          <w:p w14:paraId="53C26F65" w14:textId="45A2539A" w:rsidR="00F17C9C" w:rsidRPr="00CE5093" w:rsidRDefault="00F17C9C" w:rsidP="00CE509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13" w:hanging="213"/>
            </w:pPr>
            <w:r w:rsidRPr="00CE5093">
              <w:t>–</w:t>
            </w:r>
            <w:r w:rsidRPr="00CE5093">
              <w:tab/>
              <w:t>Aux établissements universitaires participant aux travaux de l'UIT</w:t>
            </w:r>
            <w:r w:rsidR="00AC48E4" w:rsidRPr="00CE5093">
              <w:t>;</w:t>
            </w:r>
          </w:p>
          <w:p w14:paraId="6538529A" w14:textId="77777777" w:rsidR="00F17C9C" w:rsidRPr="00CE5093" w:rsidRDefault="00F17C9C" w:rsidP="00F550A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CE5093">
              <w:t>–</w:t>
            </w:r>
            <w:r w:rsidRPr="00CE5093">
              <w:tab/>
              <w:t>Aux Président et Vice-Présidents de la Commission d'études 2 de l'UIT-T;</w:t>
            </w:r>
          </w:p>
          <w:p w14:paraId="3CC5C0C7" w14:textId="77777777" w:rsidR="00F17C9C" w:rsidRPr="00CE5093" w:rsidRDefault="00F17C9C" w:rsidP="00F550A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CE5093">
              <w:t>–</w:t>
            </w:r>
            <w:r w:rsidRPr="00CE5093">
              <w:tab/>
              <w:t>À la Directrice du Bureau de développement des télécommunications;</w:t>
            </w:r>
          </w:p>
          <w:p w14:paraId="75B6CE3D" w14:textId="22296060" w:rsidR="00F17C9C" w:rsidRPr="00CE5093" w:rsidRDefault="00F17C9C" w:rsidP="00F550AF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CE5093">
              <w:t>–</w:t>
            </w:r>
            <w:r w:rsidRPr="00CE5093">
              <w:tab/>
              <w:t>Au Directeur du Bureau des radiocommunications</w:t>
            </w:r>
          </w:p>
        </w:tc>
      </w:tr>
      <w:tr w:rsidR="00F17C9C" w:rsidRPr="00CE5093" w14:paraId="3767ED37" w14:textId="77777777" w:rsidTr="00AD24D0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4E8645D7" w14:textId="77777777" w:rsidR="00F17C9C" w:rsidRPr="00CE5093" w:rsidRDefault="00F17C9C" w:rsidP="00F550A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CE5093">
              <w:rPr>
                <w:b/>
                <w:bCs/>
              </w:rPr>
              <w:t>Tél.:</w:t>
            </w:r>
          </w:p>
        </w:tc>
        <w:tc>
          <w:tcPr>
            <w:tcW w:w="3686" w:type="dxa"/>
            <w:gridSpan w:val="3"/>
          </w:tcPr>
          <w:p w14:paraId="1032360E" w14:textId="6DFF72EB" w:rsidR="00F17C9C" w:rsidRPr="00CE5093" w:rsidRDefault="00F17C9C" w:rsidP="00F550AF">
            <w:pPr>
              <w:tabs>
                <w:tab w:val="left" w:pos="4111"/>
              </w:tabs>
              <w:spacing w:before="0"/>
              <w:ind w:left="57"/>
            </w:pPr>
            <w:r w:rsidRPr="00CE5093">
              <w:t>+41 22 730 5415</w:t>
            </w:r>
          </w:p>
        </w:tc>
        <w:tc>
          <w:tcPr>
            <w:tcW w:w="5111" w:type="dxa"/>
            <w:gridSpan w:val="3"/>
            <w:vMerge/>
          </w:tcPr>
          <w:p w14:paraId="71507A12" w14:textId="2FE12166" w:rsidR="00F17C9C" w:rsidRPr="00CE5093" w:rsidRDefault="00F17C9C" w:rsidP="00F550AF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</w:rPr>
            </w:pPr>
          </w:p>
        </w:tc>
      </w:tr>
      <w:tr w:rsidR="00F17C9C" w:rsidRPr="00CE5093" w14:paraId="5EECC627" w14:textId="77777777" w:rsidTr="00AD24D0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29042761" w14:textId="77777777" w:rsidR="00F17C9C" w:rsidRPr="00CE5093" w:rsidRDefault="00F17C9C" w:rsidP="00F550A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CE5093">
              <w:rPr>
                <w:b/>
                <w:bCs/>
              </w:rPr>
              <w:t>Télécopie:</w:t>
            </w:r>
          </w:p>
        </w:tc>
        <w:tc>
          <w:tcPr>
            <w:tcW w:w="3686" w:type="dxa"/>
            <w:gridSpan w:val="3"/>
          </w:tcPr>
          <w:p w14:paraId="1F678A42" w14:textId="3C40A68F" w:rsidR="00F17C9C" w:rsidRPr="00CE5093" w:rsidRDefault="00F17C9C" w:rsidP="00F550AF">
            <w:pPr>
              <w:tabs>
                <w:tab w:val="left" w:pos="4111"/>
              </w:tabs>
              <w:spacing w:before="0"/>
              <w:ind w:left="57"/>
            </w:pPr>
            <w:r w:rsidRPr="00CE5093">
              <w:t>+41 22 730 5853</w:t>
            </w:r>
          </w:p>
        </w:tc>
        <w:tc>
          <w:tcPr>
            <w:tcW w:w="5111" w:type="dxa"/>
            <w:gridSpan w:val="3"/>
            <w:vMerge/>
          </w:tcPr>
          <w:p w14:paraId="622FCD88" w14:textId="6AA22D93" w:rsidR="00F17C9C" w:rsidRPr="00CE5093" w:rsidRDefault="00F17C9C" w:rsidP="00F550AF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b/>
              </w:rPr>
            </w:pPr>
          </w:p>
        </w:tc>
      </w:tr>
      <w:tr w:rsidR="00F17C9C" w:rsidRPr="00CE5093" w14:paraId="222EDDE3" w14:textId="77777777" w:rsidTr="00AD24D0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3C7AA7A6" w14:textId="77777777" w:rsidR="00F17C9C" w:rsidRPr="00CE5093" w:rsidRDefault="00F17C9C" w:rsidP="00F550AF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CE5093">
              <w:rPr>
                <w:b/>
                <w:bCs/>
              </w:rPr>
              <w:t>Courriel:</w:t>
            </w:r>
          </w:p>
        </w:tc>
        <w:tc>
          <w:tcPr>
            <w:tcW w:w="3686" w:type="dxa"/>
            <w:gridSpan w:val="3"/>
          </w:tcPr>
          <w:p w14:paraId="487E7135" w14:textId="0C576A00" w:rsidR="00F17C9C" w:rsidRPr="00CE5093" w:rsidRDefault="00CD089B" w:rsidP="00F550AF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F17C9C" w:rsidRPr="00CE5093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5111" w:type="dxa"/>
            <w:gridSpan w:val="3"/>
            <w:vMerge/>
          </w:tcPr>
          <w:p w14:paraId="01E0A537" w14:textId="204C6D80" w:rsidR="00F17C9C" w:rsidRPr="00CE5093" w:rsidRDefault="00F17C9C" w:rsidP="00F550A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</w:p>
        </w:tc>
      </w:tr>
      <w:tr w:rsidR="00517A03" w:rsidRPr="00CE5093" w14:paraId="7EB56BE3" w14:textId="77777777" w:rsidTr="007103D2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1126" w:type="dxa"/>
          </w:tcPr>
          <w:p w14:paraId="7B031C10" w14:textId="77777777" w:rsidR="00517A03" w:rsidRPr="00CE5093" w:rsidRDefault="00517A03" w:rsidP="00605E17">
            <w:pPr>
              <w:tabs>
                <w:tab w:val="left" w:pos="4111"/>
              </w:tabs>
              <w:spacing w:before="240"/>
              <w:ind w:left="58"/>
              <w:rPr>
                <w:b/>
                <w:bCs/>
                <w:szCs w:val="22"/>
              </w:rPr>
            </w:pPr>
            <w:r w:rsidRPr="00CE5093">
              <w:rPr>
                <w:b/>
                <w:bCs/>
                <w:szCs w:val="22"/>
              </w:rPr>
              <w:t>Objet:</w:t>
            </w:r>
          </w:p>
        </w:tc>
        <w:tc>
          <w:tcPr>
            <w:tcW w:w="8789" w:type="dxa"/>
            <w:gridSpan w:val="5"/>
          </w:tcPr>
          <w:p w14:paraId="41589769" w14:textId="155FB92D" w:rsidR="00517A03" w:rsidRPr="00CE5093" w:rsidRDefault="005C003E" w:rsidP="00605E17">
            <w:pPr>
              <w:tabs>
                <w:tab w:val="left" w:pos="4111"/>
              </w:tabs>
              <w:spacing w:before="240"/>
              <w:ind w:left="58"/>
              <w:rPr>
                <w:b/>
                <w:bCs/>
                <w:szCs w:val="22"/>
              </w:rPr>
            </w:pPr>
            <w:r w:rsidRPr="00CE5093">
              <w:rPr>
                <w:b/>
              </w:rPr>
              <w:t xml:space="preserve">Consultation des </w:t>
            </w:r>
            <w:r w:rsidR="00E22541" w:rsidRPr="00CE5093">
              <w:rPr>
                <w:b/>
              </w:rPr>
              <w:t>États</w:t>
            </w:r>
            <w:r w:rsidRPr="00CE5093">
              <w:rPr>
                <w:b/>
              </w:rPr>
              <w:t xml:space="preserve"> Membres au sujet </w:t>
            </w:r>
            <w:r w:rsidR="009A2042" w:rsidRPr="00CE5093">
              <w:rPr>
                <w:b/>
              </w:rPr>
              <w:t xml:space="preserve">des </w:t>
            </w:r>
            <w:r w:rsidRPr="00CE5093">
              <w:rPr>
                <w:b/>
              </w:rPr>
              <w:t>texte</w:t>
            </w:r>
            <w:r w:rsidR="009A2042" w:rsidRPr="00CE5093">
              <w:rPr>
                <w:b/>
              </w:rPr>
              <w:t>s</w:t>
            </w:r>
            <w:r w:rsidRPr="00CE5093">
              <w:rPr>
                <w:b/>
              </w:rPr>
              <w:t xml:space="preserve"> déterminé</w:t>
            </w:r>
            <w:r w:rsidR="009A2042" w:rsidRPr="00CE5093">
              <w:rPr>
                <w:b/>
              </w:rPr>
              <w:t>s</w:t>
            </w:r>
            <w:r w:rsidRPr="00CE5093">
              <w:rPr>
                <w:b/>
              </w:rPr>
              <w:t xml:space="preserve"> d</w:t>
            </w:r>
            <w:r w:rsidR="003849C4" w:rsidRPr="00CE5093">
              <w:rPr>
                <w:b/>
              </w:rPr>
              <w:t>es</w:t>
            </w:r>
            <w:r w:rsidRPr="00CE5093">
              <w:rPr>
                <w:b/>
              </w:rPr>
              <w:t xml:space="preserve"> projet</w:t>
            </w:r>
            <w:r w:rsidR="003849C4" w:rsidRPr="00CE5093">
              <w:rPr>
                <w:b/>
              </w:rPr>
              <w:t>s</w:t>
            </w:r>
            <w:r w:rsidRPr="00CE5093">
              <w:rPr>
                <w:b/>
              </w:rPr>
              <w:t xml:space="preserve"> de Recommandation</w:t>
            </w:r>
            <w:r w:rsidR="00442474" w:rsidRPr="00CE5093">
              <w:rPr>
                <w:b/>
              </w:rPr>
              <w:t>s</w:t>
            </w:r>
            <w:r w:rsidRPr="00CE5093">
              <w:rPr>
                <w:b/>
              </w:rPr>
              <w:t xml:space="preserve"> UIT-T </w:t>
            </w:r>
            <w:r w:rsidR="00561CF1" w:rsidRPr="00CE5093">
              <w:rPr>
                <w:b/>
              </w:rPr>
              <w:t>E.156</w:t>
            </w:r>
            <w:r w:rsidR="004A0BA7" w:rsidRPr="00CE5093">
              <w:rPr>
                <w:b/>
              </w:rPr>
              <w:t xml:space="preserve"> et UIT-T</w:t>
            </w:r>
            <w:r w:rsidR="003849C4" w:rsidRPr="00CE5093">
              <w:rPr>
                <w:b/>
              </w:rPr>
              <w:t xml:space="preserve"> </w:t>
            </w:r>
            <w:r w:rsidR="00561CF1" w:rsidRPr="00CE5093">
              <w:rPr>
                <w:b/>
              </w:rPr>
              <w:t>E.164.2, d</w:t>
            </w:r>
            <w:r w:rsidR="00D65120" w:rsidRPr="00CE5093">
              <w:rPr>
                <w:b/>
              </w:rPr>
              <w:t>es projets d'</w:t>
            </w:r>
            <w:r w:rsidR="00561CF1" w:rsidRPr="00CE5093">
              <w:rPr>
                <w:b/>
              </w:rPr>
              <w:t>Amendement 2 à la Recommandation UIT-T E.212 (2016)</w:t>
            </w:r>
            <w:r w:rsidR="00D6742F" w:rsidRPr="00CE5093">
              <w:rPr>
                <w:b/>
              </w:rPr>
              <w:t xml:space="preserve"> et</w:t>
            </w:r>
            <w:r w:rsidR="00561CF1" w:rsidRPr="00CE5093">
              <w:rPr>
                <w:b/>
              </w:rPr>
              <w:t xml:space="preserve"> d'Amendement 1 à la Recommandation </w:t>
            </w:r>
            <w:r w:rsidR="00E47744" w:rsidRPr="00CE5093">
              <w:rPr>
                <w:b/>
              </w:rPr>
              <w:t>UIT</w:t>
            </w:r>
            <w:r w:rsidR="004C3CF9" w:rsidRPr="00CE5093">
              <w:rPr>
                <w:b/>
              </w:rPr>
              <w:noBreakHyphen/>
            </w:r>
            <w:r w:rsidR="00E47744" w:rsidRPr="00CE5093">
              <w:rPr>
                <w:b/>
              </w:rPr>
              <w:t>T</w:t>
            </w:r>
            <w:r w:rsidR="004C3CF9" w:rsidRPr="00CE5093">
              <w:rPr>
                <w:b/>
              </w:rPr>
              <w:t> </w:t>
            </w:r>
            <w:r w:rsidR="00561CF1" w:rsidRPr="00CE5093">
              <w:rPr>
                <w:b/>
              </w:rPr>
              <w:t>E.218 (2004), et d</w:t>
            </w:r>
            <w:r w:rsidR="001A70C7" w:rsidRPr="00CE5093">
              <w:rPr>
                <w:b/>
              </w:rPr>
              <w:t>u projet de</w:t>
            </w:r>
            <w:r w:rsidR="00561CF1" w:rsidRPr="00CE5093">
              <w:rPr>
                <w:b/>
              </w:rPr>
              <w:t xml:space="preserve"> Recommandation</w:t>
            </w:r>
            <w:r w:rsidR="004C1627" w:rsidRPr="00CE5093">
              <w:rPr>
                <w:b/>
              </w:rPr>
              <w:t xml:space="preserve"> UIT-T</w:t>
            </w:r>
            <w:r w:rsidR="00561CF1" w:rsidRPr="00CE5093">
              <w:rPr>
                <w:b/>
              </w:rPr>
              <w:t xml:space="preserve"> M.3362 (ex Mrtafm)</w:t>
            </w:r>
            <w:r w:rsidRPr="00CE5093">
              <w:rPr>
                <w:b/>
              </w:rPr>
              <w:t>, qu'il est proposé d'approuver à la réunion de la Commission d'études</w:t>
            </w:r>
            <w:r w:rsidR="009A2042" w:rsidRPr="00CE5093">
              <w:rPr>
                <w:b/>
              </w:rPr>
              <w:t xml:space="preserve"> </w:t>
            </w:r>
            <w:r w:rsidR="00561CF1" w:rsidRPr="00CE5093">
              <w:rPr>
                <w:b/>
              </w:rPr>
              <w:t>2</w:t>
            </w:r>
            <w:r w:rsidRPr="00CE5093">
              <w:rPr>
                <w:b/>
              </w:rPr>
              <w:t xml:space="preserve"> de l'UIT-T (Genève</w:t>
            </w:r>
            <w:r w:rsidR="00E22541" w:rsidRPr="00CE5093">
              <w:rPr>
                <w:b/>
              </w:rPr>
              <w:t>,</w:t>
            </w:r>
            <w:r w:rsidR="00CD5CE3">
              <w:rPr>
                <w:b/>
              </w:rPr>
              <w:t> </w:t>
            </w:r>
            <w:r w:rsidR="00561CF1" w:rsidRPr="00CE5093">
              <w:rPr>
                <w:b/>
              </w:rPr>
              <w:t>27</w:t>
            </w:r>
            <w:r w:rsidR="00F550AF" w:rsidRPr="00CE5093">
              <w:rPr>
                <w:b/>
              </w:rPr>
              <w:t> </w:t>
            </w:r>
            <w:r w:rsidR="00561CF1" w:rsidRPr="00CE5093">
              <w:rPr>
                <w:b/>
              </w:rPr>
              <w:t>mai</w:t>
            </w:r>
            <w:r w:rsidR="00CD5CE3">
              <w:rPr>
                <w:b/>
              </w:rPr>
              <w:t xml:space="preserve"> – </w:t>
            </w:r>
            <w:r w:rsidR="00561CF1" w:rsidRPr="00CE5093">
              <w:rPr>
                <w:b/>
              </w:rPr>
              <w:t>5 juin</w:t>
            </w:r>
            <w:r w:rsidR="003849C4" w:rsidRPr="00CE5093">
              <w:rPr>
                <w:b/>
              </w:rPr>
              <w:t xml:space="preserve"> </w:t>
            </w:r>
            <w:r w:rsidR="00E22541" w:rsidRPr="00CE5093">
              <w:rPr>
                <w:b/>
              </w:rPr>
              <w:t>2020)</w:t>
            </w:r>
          </w:p>
        </w:tc>
      </w:tr>
    </w:tbl>
    <w:p w14:paraId="10F8CE04" w14:textId="77777777" w:rsidR="00517A03" w:rsidRPr="00CE5093" w:rsidRDefault="00517A03" w:rsidP="00CD5CE3">
      <w:pPr>
        <w:pStyle w:val="Normalaftertitle"/>
        <w:spacing w:before="480"/>
      </w:pPr>
      <w:bookmarkStart w:id="1" w:name="StartTyping_F"/>
      <w:bookmarkEnd w:id="1"/>
      <w:r w:rsidRPr="00CE5093">
        <w:t>Madame, Monsieur,</w:t>
      </w:r>
    </w:p>
    <w:p w14:paraId="34042E52" w14:textId="144FC0E7" w:rsidR="005C003E" w:rsidRPr="00CE5093" w:rsidRDefault="005C003E" w:rsidP="00F550AF">
      <w:pPr>
        <w:rPr>
          <w:szCs w:val="22"/>
        </w:rPr>
      </w:pPr>
      <w:r w:rsidRPr="00CE5093">
        <w:t>1</w:t>
      </w:r>
      <w:r w:rsidRPr="00CE5093">
        <w:tab/>
      </w:r>
      <w:r w:rsidR="00BF542D" w:rsidRPr="00CE5093">
        <w:rPr>
          <w:color w:val="000000"/>
        </w:rPr>
        <w:t xml:space="preserve">La Commission d'études </w:t>
      </w:r>
      <w:r w:rsidR="00E06501" w:rsidRPr="00CE5093">
        <w:rPr>
          <w:color w:val="000000"/>
        </w:rPr>
        <w:t>2</w:t>
      </w:r>
      <w:r w:rsidR="00BF542D" w:rsidRPr="00CE5093">
        <w:rPr>
          <w:color w:val="000000"/>
        </w:rPr>
        <w:t xml:space="preserve"> de l'UIT-T (</w:t>
      </w:r>
      <w:r w:rsidR="00E06501" w:rsidRPr="00CE5093">
        <w:rPr>
          <w:i/>
          <w:iCs/>
          <w:color w:val="000000"/>
        </w:rPr>
        <w:t>Aspects opérationnels de la fourniture de services et de la gestion des télécommunications</w:t>
      </w:r>
      <w:r w:rsidR="00BF542D" w:rsidRPr="00CE5093">
        <w:rPr>
          <w:color w:val="000000"/>
        </w:rPr>
        <w:t>)</w:t>
      </w:r>
      <w:r w:rsidRPr="00CE5093">
        <w:t xml:space="preserve"> a l'intention d'appliquer la procédure d'approbation traditionnelle énoncée à la section 9 de la Résolution 1 (Rév.Hammamet, 2016) de l'AMNT pour l'approbation </w:t>
      </w:r>
      <w:r w:rsidR="00DA68B9" w:rsidRPr="00CE5093">
        <w:t>des</w:t>
      </w:r>
      <w:r w:rsidRPr="00CE5093">
        <w:t xml:space="preserve"> projet</w:t>
      </w:r>
      <w:r w:rsidR="00DA68B9" w:rsidRPr="00CE5093">
        <w:t>s</w:t>
      </w:r>
      <w:r w:rsidRPr="00CE5093">
        <w:t xml:space="preserve"> de Recommandation</w:t>
      </w:r>
      <w:r w:rsidR="00DA68B9" w:rsidRPr="00CE5093">
        <w:t>s</w:t>
      </w:r>
      <w:r w:rsidRPr="00CE5093">
        <w:t xml:space="preserve"> mentionné</w:t>
      </w:r>
      <w:r w:rsidR="00DA68B9" w:rsidRPr="00CE5093">
        <w:t>s</w:t>
      </w:r>
      <w:r w:rsidR="00403593" w:rsidRPr="00CE5093">
        <w:t xml:space="preserve"> ci-dessus</w:t>
      </w:r>
      <w:r w:rsidRPr="00CE5093">
        <w:t xml:space="preserve"> à sa prochaine réunion, qui se tiendra à Genève </w:t>
      </w:r>
      <w:r w:rsidR="00E22541" w:rsidRPr="00CE5093">
        <w:t xml:space="preserve">du </w:t>
      </w:r>
      <w:r w:rsidR="00E06501" w:rsidRPr="00CE5093">
        <w:t>27 mai au 5 juin</w:t>
      </w:r>
      <w:r w:rsidR="00E22541" w:rsidRPr="00CE5093">
        <w:t xml:space="preserve"> 2020</w:t>
      </w:r>
      <w:r w:rsidRPr="00CE5093">
        <w:t xml:space="preserve">. L'ordre du jour ainsi que tous les renseignements pertinents concernant la réunion de la Commission d'études </w:t>
      </w:r>
      <w:r w:rsidR="000529BD" w:rsidRPr="00CE5093">
        <w:t>2</w:t>
      </w:r>
      <w:r w:rsidRPr="00CE5093">
        <w:t xml:space="preserve"> de l'UIT-T seront disponibles dans la Lettre collective </w:t>
      </w:r>
      <w:r w:rsidR="000529BD" w:rsidRPr="00CE5093">
        <w:t>6/2</w:t>
      </w:r>
      <w:r w:rsidRPr="00CE5093">
        <w:t>.</w:t>
      </w:r>
    </w:p>
    <w:p w14:paraId="1F71C27A" w14:textId="1941757F" w:rsidR="005C003E" w:rsidRPr="00CE5093" w:rsidRDefault="005C003E" w:rsidP="00F550AF">
      <w:r w:rsidRPr="00CE5093">
        <w:t>2</w:t>
      </w:r>
      <w:r w:rsidRPr="00CE5093">
        <w:tab/>
        <w:t xml:space="preserve">Vous trouverez dans l'Annexe 1 le titre, le résumé et la localisation </w:t>
      </w:r>
      <w:r w:rsidR="00DA68B9" w:rsidRPr="00CE5093">
        <w:t>des</w:t>
      </w:r>
      <w:r w:rsidRPr="00CE5093">
        <w:t xml:space="preserve"> projet</w:t>
      </w:r>
      <w:r w:rsidR="00DA68B9" w:rsidRPr="00CE5093">
        <w:t>s</w:t>
      </w:r>
      <w:r w:rsidRPr="00CE5093">
        <w:t xml:space="preserve"> </w:t>
      </w:r>
      <w:r w:rsidR="004D7190" w:rsidRPr="00CE5093">
        <w:t xml:space="preserve">de </w:t>
      </w:r>
      <w:r w:rsidRPr="00CE5093">
        <w:t>Recommandation</w:t>
      </w:r>
      <w:r w:rsidR="00DA68B9" w:rsidRPr="00CE5093">
        <w:t>s</w:t>
      </w:r>
      <w:r w:rsidRPr="00CE5093">
        <w:t xml:space="preserve"> </w:t>
      </w:r>
      <w:r w:rsidR="0091073A" w:rsidRPr="00CE5093">
        <w:t xml:space="preserve">UIT-T </w:t>
      </w:r>
      <w:r w:rsidRPr="00CE5093">
        <w:t>qu'il est proposé d'approuver.</w:t>
      </w:r>
    </w:p>
    <w:p w14:paraId="6A3E8F1F" w14:textId="02EE2F31" w:rsidR="005C003E" w:rsidRPr="00CE5093" w:rsidRDefault="005C003E" w:rsidP="00F550AF">
      <w:r w:rsidRPr="00CE5093">
        <w:t>3</w:t>
      </w:r>
      <w:r w:rsidRPr="00CE5093">
        <w:tab/>
        <w:t>La présente Circulaire a pour objet d'engager le process</w:t>
      </w:r>
      <w:r w:rsidR="00E30C36" w:rsidRPr="00CE5093">
        <w:t>us de consultation formelle des</w:t>
      </w:r>
      <w:r w:rsidR="009A2042" w:rsidRPr="00CE5093">
        <w:t xml:space="preserve"> </w:t>
      </w:r>
      <w:r w:rsidR="001D4A19" w:rsidRPr="00CE5093">
        <w:t>États</w:t>
      </w:r>
      <w:r w:rsidRPr="00CE5093">
        <w:t xml:space="preserve"> Membres de l'UIT, qui devront indiquer si ce</w:t>
      </w:r>
      <w:r w:rsidR="009A2042" w:rsidRPr="00CE5093">
        <w:t>s</w:t>
      </w:r>
      <w:r w:rsidRPr="00CE5093">
        <w:t xml:space="preserve"> texte</w:t>
      </w:r>
      <w:r w:rsidR="009A2042" w:rsidRPr="00CE5093">
        <w:t>s</w:t>
      </w:r>
      <w:r w:rsidRPr="00CE5093">
        <w:t xml:space="preserve"> </w:t>
      </w:r>
      <w:r w:rsidR="00E30C36" w:rsidRPr="00CE5093">
        <w:t>peu</w:t>
      </w:r>
      <w:r w:rsidR="009A2042" w:rsidRPr="00CE5093">
        <w:t>ven</w:t>
      </w:r>
      <w:r w:rsidR="00E30C36" w:rsidRPr="00CE5093">
        <w:t>t être examiné</w:t>
      </w:r>
      <w:r w:rsidR="009A2042" w:rsidRPr="00CE5093">
        <w:t>s</w:t>
      </w:r>
      <w:r w:rsidR="00E30C36" w:rsidRPr="00CE5093">
        <w:t xml:space="preserve"> en vue de </w:t>
      </w:r>
      <w:r w:rsidR="009A2042" w:rsidRPr="00CE5093">
        <w:t>leur</w:t>
      </w:r>
      <w:r w:rsidR="00726F49" w:rsidRPr="00CE5093">
        <w:t> </w:t>
      </w:r>
      <w:r w:rsidRPr="00CE5093">
        <w:t>approbation à la prochaine réunion, conformément au paragra</w:t>
      </w:r>
      <w:r w:rsidR="00E30C36" w:rsidRPr="00CE5093">
        <w:t>phe 9.4 de la Résolution 1. Les</w:t>
      </w:r>
      <w:r w:rsidR="00726F49" w:rsidRPr="00CE5093">
        <w:t> </w:t>
      </w:r>
      <w:r w:rsidR="00E22541" w:rsidRPr="00CE5093">
        <w:t>États</w:t>
      </w:r>
      <w:r w:rsidRPr="00CE5093">
        <w:t xml:space="preserve"> Membres sont priés de remplir le formulaire de l'Annexe 2 et de le renvoyer</w:t>
      </w:r>
      <w:r w:rsidR="00E30C36" w:rsidRPr="00CE5093">
        <w:t xml:space="preserve"> d'ici au</w:t>
      </w:r>
      <w:r w:rsidR="00726F49" w:rsidRPr="00CE5093">
        <w:t> </w:t>
      </w:r>
      <w:r w:rsidR="00BE2399" w:rsidRPr="00CE5093">
        <w:t>1</w:t>
      </w:r>
      <w:r w:rsidR="00953551" w:rsidRPr="00CE5093">
        <w:t>5</w:t>
      </w:r>
      <w:r w:rsidR="00BE2399" w:rsidRPr="00CE5093">
        <w:t> m</w:t>
      </w:r>
      <w:r w:rsidR="00953551" w:rsidRPr="00CE5093">
        <w:t>ai</w:t>
      </w:r>
      <w:r w:rsidR="00BE2399" w:rsidRPr="00CE5093">
        <w:t xml:space="preserve"> </w:t>
      </w:r>
      <w:r w:rsidR="00E22541" w:rsidRPr="00CE5093">
        <w:t>2020</w:t>
      </w:r>
      <w:r w:rsidRPr="00CE5093">
        <w:t xml:space="preserve"> à</w:t>
      </w:r>
      <w:r w:rsidR="009A2042" w:rsidRPr="00CE5093">
        <w:t xml:space="preserve"> </w:t>
      </w:r>
      <w:r w:rsidRPr="00CE5093">
        <w:t>23 h 59 (UTC)</w:t>
      </w:r>
      <w:r w:rsidRPr="00CE5093">
        <w:rPr>
          <w:rStyle w:val="CommentReference"/>
        </w:rPr>
        <w:t>.</w:t>
      </w:r>
    </w:p>
    <w:p w14:paraId="55B65C48" w14:textId="77777777" w:rsidR="00CD5CE3" w:rsidRDefault="00CD5CE3" w:rsidP="00F550AF">
      <w:r>
        <w:br w:type="page"/>
      </w:r>
    </w:p>
    <w:p w14:paraId="56027517" w14:textId="14AD417F" w:rsidR="005C003E" w:rsidRPr="00CE5093" w:rsidRDefault="005C003E" w:rsidP="00F550AF">
      <w:r w:rsidRPr="00CE5093">
        <w:lastRenderedPageBreak/>
        <w:t>4</w:t>
      </w:r>
      <w:r w:rsidRPr="00CE5093">
        <w:tab/>
        <w:t xml:space="preserve">Si au moins 70% des réponses des </w:t>
      </w:r>
      <w:r w:rsidR="00E22541" w:rsidRPr="00CE5093">
        <w:t>États</w:t>
      </w:r>
      <w:r w:rsidRPr="00CE5093">
        <w:t xml:space="preserve"> Membres sont en faveur de l'examen, aux fins d'approbation, de ce</w:t>
      </w:r>
      <w:r w:rsidR="009A2042" w:rsidRPr="00CE5093">
        <w:t>s</w:t>
      </w:r>
      <w:r w:rsidRPr="00CE5093">
        <w:t xml:space="preserve"> texte</w:t>
      </w:r>
      <w:r w:rsidR="009A2042" w:rsidRPr="00CE5093">
        <w:t>s</w:t>
      </w:r>
      <w:r w:rsidRPr="00CE5093">
        <w:t xml:space="preserve">, une séance plénière sera consacrée à l'application de la procédure d'approbation. Les </w:t>
      </w:r>
      <w:r w:rsidR="00E22541" w:rsidRPr="00CE5093">
        <w:t>États</w:t>
      </w:r>
      <w:r w:rsidRPr="00CE5093">
        <w:t xml:space="preserve"> Membres qui n'autorisent pas la commission d'études à procéder ainsi doivent informer le Directeur du TSB des motifs de cette décision et lui faire part des éventuelles modifications qui permettraient la poursuite des travaux.</w:t>
      </w:r>
    </w:p>
    <w:p w14:paraId="3752CD32" w14:textId="77777777" w:rsidR="005C003E" w:rsidRPr="00CE5093" w:rsidRDefault="005C003E" w:rsidP="00F550AF">
      <w:r w:rsidRPr="00CE5093">
        <w:t>Veuillez agréer, Madame, Monsieur, l'assurance de ma considération distinguée.</w:t>
      </w:r>
    </w:p>
    <w:p w14:paraId="79A39321" w14:textId="6405CE24" w:rsidR="005C003E" w:rsidRPr="00CE5093" w:rsidRDefault="00CD089B" w:rsidP="00605E17">
      <w:pPr>
        <w:spacing w:before="96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D05CC52" wp14:editId="5FB4C41E">
            <wp:simplePos x="0" y="0"/>
            <wp:positionH relativeFrom="column">
              <wp:posOffset>3810</wp:posOffset>
            </wp:positionH>
            <wp:positionV relativeFrom="paragraph">
              <wp:posOffset>97155</wp:posOffset>
            </wp:positionV>
            <wp:extent cx="609599" cy="4572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F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03E" w:rsidRPr="00CE5093">
        <w:t>Chaesub Lee</w:t>
      </w:r>
      <w:bookmarkStart w:id="2" w:name="_GoBack"/>
      <w:bookmarkEnd w:id="2"/>
      <w:r w:rsidR="005C003E" w:rsidRPr="00CE5093">
        <w:br/>
        <w:t xml:space="preserve">Directeur du Bureau de la normalisation </w:t>
      </w:r>
      <w:r w:rsidR="005C003E" w:rsidRPr="00CE5093">
        <w:br/>
        <w:t>des télécommunications</w:t>
      </w:r>
    </w:p>
    <w:p w14:paraId="13504DA8" w14:textId="77777777" w:rsidR="005C003E" w:rsidRPr="00CE5093" w:rsidRDefault="005C003E" w:rsidP="00F550AF">
      <w:pPr>
        <w:spacing w:before="2400" w:after="120"/>
      </w:pPr>
      <w:r w:rsidRPr="00CE5093">
        <w:rPr>
          <w:b/>
        </w:rPr>
        <w:t>Annexes</w:t>
      </w:r>
      <w:r w:rsidRPr="00CE5093">
        <w:rPr>
          <w:bCs/>
        </w:rPr>
        <w:t>: 2</w:t>
      </w:r>
    </w:p>
    <w:p w14:paraId="0ABFD278" w14:textId="77777777" w:rsidR="005C003E" w:rsidRPr="00CE5093" w:rsidRDefault="005C003E" w:rsidP="00F550A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 w:rsidRPr="00CE5093">
        <w:rPr>
          <w:bCs/>
        </w:rPr>
        <w:br w:type="page"/>
      </w:r>
    </w:p>
    <w:p w14:paraId="3F6467EB" w14:textId="2BD9F342" w:rsidR="00231E85" w:rsidRPr="00CE5093" w:rsidRDefault="00F426F2" w:rsidP="00F550AF">
      <w:pPr>
        <w:pStyle w:val="Annextitle0"/>
        <w:rPr>
          <w:lang w:val="fr-FR"/>
        </w:rPr>
      </w:pPr>
      <w:r w:rsidRPr="00CE5093">
        <w:rPr>
          <w:lang w:val="fr-FR"/>
        </w:rPr>
        <w:lastRenderedPageBreak/>
        <w:t>A</w:t>
      </w:r>
      <w:r w:rsidR="00CD5CE3" w:rsidRPr="00CE5093">
        <w:rPr>
          <w:lang w:val="fr-FR"/>
        </w:rPr>
        <w:t>nnexe</w:t>
      </w:r>
      <w:r w:rsidRPr="00CE5093">
        <w:rPr>
          <w:lang w:val="fr-FR"/>
        </w:rPr>
        <w:t xml:space="preserve"> </w:t>
      </w:r>
      <w:r w:rsidR="005C003E" w:rsidRPr="00CE5093">
        <w:rPr>
          <w:lang w:val="fr-FR"/>
        </w:rPr>
        <w:t>1</w:t>
      </w:r>
      <w:r w:rsidR="005C003E" w:rsidRPr="00CE5093">
        <w:rPr>
          <w:lang w:val="fr-FR"/>
        </w:rPr>
        <w:br/>
      </w:r>
      <w:r w:rsidR="005C003E" w:rsidRPr="00CE5093">
        <w:rPr>
          <w:lang w:val="fr-FR"/>
        </w:rPr>
        <w:br/>
      </w:r>
      <w:r w:rsidR="00A1734A" w:rsidRPr="00CE5093">
        <w:rPr>
          <w:lang w:val="fr-FR"/>
        </w:rPr>
        <w:t xml:space="preserve">Résumé et localisation </w:t>
      </w:r>
      <w:r w:rsidR="009A2042" w:rsidRPr="00CE5093">
        <w:rPr>
          <w:lang w:val="fr-FR"/>
        </w:rPr>
        <w:t xml:space="preserve">des </w:t>
      </w:r>
      <w:r w:rsidR="00A1734A" w:rsidRPr="00CE5093">
        <w:rPr>
          <w:lang w:val="fr-FR"/>
        </w:rPr>
        <w:t>texte</w:t>
      </w:r>
      <w:r w:rsidR="009A2042" w:rsidRPr="00CE5093">
        <w:rPr>
          <w:lang w:val="fr-FR"/>
        </w:rPr>
        <w:t>s</w:t>
      </w:r>
      <w:r w:rsidR="00A1734A" w:rsidRPr="00CE5093">
        <w:rPr>
          <w:lang w:val="fr-FR"/>
        </w:rPr>
        <w:t xml:space="preserve"> déterminé</w:t>
      </w:r>
      <w:r w:rsidR="009A2042" w:rsidRPr="00CE5093">
        <w:rPr>
          <w:lang w:val="fr-FR"/>
        </w:rPr>
        <w:t>s</w:t>
      </w:r>
      <w:r w:rsidR="00A1734A" w:rsidRPr="00CE5093">
        <w:rPr>
          <w:lang w:val="fr-FR"/>
        </w:rPr>
        <w:t xml:space="preserve"> des projets</w:t>
      </w:r>
      <w:r w:rsidR="00231E85" w:rsidRPr="00CE5093">
        <w:rPr>
          <w:lang w:val="fr-FR"/>
        </w:rPr>
        <w:t xml:space="preserve"> </w:t>
      </w:r>
      <w:r w:rsidR="002210E7" w:rsidRPr="00CE5093">
        <w:rPr>
          <w:lang w:val="fr-FR"/>
        </w:rPr>
        <w:t xml:space="preserve">de </w:t>
      </w:r>
      <w:r w:rsidR="00A1734A" w:rsidRPr="00CE5093">
        <w:rPr>
          <w:lang w:val="fr-FR"/>
        </w:rPr>
        <w:t>Recommandations</w:t>
      </w:r>
      <w:r w:rsidR="00231E85" w:rsidRPr="00CE5093">
        <w:rPr>
          <w:lang w:val="fr-FR"/>
        </w:rPr>
        <w:t xml:space="preserve"> </w:t>
      </w:r>
      <w:r w:rsidR="000E1C2E" w:rsidRPr="00CE5093">
        <w:rPr>
          <w:lang w:val="fr-FR"/>
        </w:rPr>
        <w:t xml:space="preserve">UIT-T E.156 et UIT-T E.164.2, </w:t>
      </w:r>
      <w:r w:rsidR="00FA604E" w:rsidRPr="00CE5093">
        <w:rPr>
          <w:lang w:val="fr-FR"/>
        </w:rPr>
        <w:t xml:space="preserve">des projets </w:t>
      </w:r>
      <w:r w:rsidR="000E1C2E" w:rsidRPr="00CE5093">
        <w:rPr>
          <w:lang w:val="fr-FR"/>
        </w:rPr>
        <w:t>d'Amendement 2 à la Recommandation UIT-T E.212 (2016)</w:t>
      </w:r>
      <w:r w:rsidR="0056318D" w:rsidRPr="00CE5093">
        <w:rPr>
          <w:lang w:val="fr-FR"/>
        </w:rPr>
        <w:t xml:space="preserve"> et</w:t>
      </w:r>
      <w:r w:rsidR="000E1C2E" w:rsidRPr="00CE5093">
        <w:rPr>
          <w:lang w:val="fr-FR"/>
        </w:rPr>
        <w:t xml:space="preserve"> d'Amendement 1 à la Recommandation </w:t>
      </w:r>
      <w:r w:rsidR="0056318D" w:rsidRPr="00CE5093">
        <w:rPr>
          <w:lang w:val="fr-FR"/>
        </w:rPr>
        <w:t xml:space="preserve">UIT-T </w:t>
      </w:r>
      <w:r w:rsidR="000E1C2E" w:rsidRPr="00CE5093">
        <w:rPr>
          <w:lang w:val="fr-FR"/>
        </w:rPr>
        <w:t>E.218 (2004), et</w:t>
      </w:r>
      <w:r w:rsidR="00CD5CE3">
        <w:rPr>
          <w:lang w:val="fr-FR"/>
        </w:rPr>
        <w:t> </w:t>
      </w:r>
      <w:r w:rsidR="000E1C2E" w:rsidRPr="00CE5093">
        <w:rPr>
          <w:lang w:val="fr-FR"/>
        </w:rPr>
        <w:t>d</w:t>
      </w:r>
      <w:r w:rsidR="00141CCA" w:rsidRPr="00CE5093">
        <w:rPr>
          <w:lang w:val="fr-FR"/>
        </w:rPr>
        <w:t>u projet de</w:t>
      </w:r>
      <w:r w:rsidR="000E1C2E" w:rsidRPr="00CE5093">
        <w:rPr>
          <w:lang w:val="fr-FR"/>
        </w:rPr>
        <w:t xml:space="preserve"> Recommandation</w:t>
      </w:r>
      <w:r w:rsidR="004C1627" w:rsidRPr="00CE5093">
        <w:rPr>
          <w:lang w:val="fr-FR"/>
        </w:rPr>
        <w:t xml:space="preserve"> UIT-T</w:t>
      </w:r>
      <w:r w:rsidR="000E1C2E" w:rsidRPr="00CE5093">
        <w:rPr>
          <w:lang w:val="fr-FR"/>
        </w:rPr>
        <w:t xml:space="preserve"> M.3362 (ex Mrtafm)</w:t>
      </w:r>
    </w:p>
    <w:p w14:paraId="09F36A9B" w14:textId="757B068D" w:rsidR="00231E85" w:rsidRPr="00CE5093" w:rsidRDefault="00231E85" w:rsidP="00F550AF">
      <w:pPr>
        <w:pStyle w:val="Heading1"/>
        <w:rPr>
          <w:sz w:val="28"/>
          <w:szCs w:val="28"/>
        </w:rPr>
      </w:pPr>
      <w:r w:rsidRPr="00CE5093">
        <w:rPr>
          <w:sz w:val="28"/>
          <w:szCs w:val="28"/>
        </w:rPr>
        <w:t>1</w:t>
      </w:r>
      <w:r w:rsidRPr="00CE5093">
        <w:rPr>
          <w:sz w:val="28"/>
          <w:szCs w:val="28"/>
        </w:rPr>
        <w:tab/>
      </w:r>
      <w:r w:rsidR="00442474" w:rsidRPr="00CE5093">
        <w:rPr>
          <w:sz w:val="28"/>
          <w:szCs w:val="28"/>
        </w:rPr>
        <w:t xml:space="preserve">Projet de </w:t>
      </w:r>
      <w:r w:rsidR="00327A86" w:rsidRPr="00CE5093">
        <w:rPr>
          <w:sz w:val="28"/>
          <w:szCs w:val="28"/>
        </w:rPr>
        <w:t xml:space="preserve">révision de la </w:t>
      </w:r>
      <w:r w:rsidR="00442474" w:rsidRPr="00CE5093">
        <w:rPr>
          <w:sz w:val="28"/>
          <w:szCs w:val="28"/>
        </w:rPr>
        <w:t>Recommandation UIT-T</w:t>
      </w:r>
      <w:r w:rsidRPr="00CE5093">
        <w:rPr>
          <w:sz w:val="28"/>
          <w:szCs w:val="28"/>
        </w:rPr>
        <w:t xml:space="preserve"> </w:t>
      </w:r>
      <w:r w:rsidR="00201EEB" w:rsidRPr="00CE5093">
        <w:rPr>
          <w:sz w:val="28"/>
          <w:szCs w:val="28"/>
        </w:rPr>
        <w:t>E.156</w:t>
      </w:r>
      <w:r w:rsidR="00667A9B" w:rsidRPr="00CE5093">
        <w:rPr>
          <w:sz w:val="28"/>
          <w:szCs w:val="28"/>
        </w:rPr>
        <w:t xml:space="preserve"> </w:t>
      </w:r>
      <w:r w:rsidRPr="00CE5093">
        <w:rPr>
          <w:sz w:val="28"/>
          <w:szCs w:val="28"/>
        </w:rPr>
        <w:t>[</w:t>
      </w:r>
      <w:hyperlink r:id="rId11" w:history="1">
        <w:r w:rsidR="00EE1734" w:rsidRPr="00CE5093">
          <w:rPr>
            <w:rFonts w:ascii="Calibri" w:hAnsi="Calibri"/>
            <w:bCs/>
            <w:color w:val="0000FF"/>
            <w:sz w:val="28"/>
            <w:szCs w:val="28"/>
            <w:u w:val="single"/>
          </w:rPr>
          <w:t>SG2-R19</w:t>
        </w:r>
      </w:hyperlink>
      <w:r w:rsidRPr="00CE5093">
        <w:rPr>
          <w:sz w:val="28"/>
          <w:szCs w:val="28"/>
        </w:rPr>
        <w:t>]</w:t>
      </w:r>
    </w:p>
    <w:p w14:paraId="5A4D73AE" w14:textId="24FBD116" w:rsidR="00231E85" w:rsidRPr="00CE5093" w:rsidRDefault="00301A2D" w:rsidP="00F550AF">
      <w:pPr>
        <w:pStyle w:val="Headingb0"/>
        <w:rPr>
          <w:lang w:val="fr-FR"/>
        </w:rPr>
      </w:pPr>
      <w:r w:rsidRPr="00CE5093">
        <w:rPr>
          <w:lang w:val="fr-FR"/>
        </w:rPr>
        <w:t>Lignes directrices sur la suite à donner par l'UIT-T lorsqu'une utilisation abusive des ressources de numérotage E.164 lui est signalée</w:t>
      </w:r>
    </w:p>
    <w:p w14:paraId="685BBCF7" w14:textId="4493F26F" w:rsidR="00231E85" w:rsidRPr="00CE5093" w:rsidRDefault="00442474" w:rsidP="00F550AF">
      <w:pPr>
        <w:pStyle w:val="Headingb0"/>
        <w:rPr>
          <w:lang w:val="fr-FR"/>
        </w:rPr>
      </w:pPr>
      <w:r w:rsidRPr="00CE5093">
        <w:rPr>
          <w:lang w:val="fr-FR"/>
        </w:rPr>
        <w:t>Résumé</w:t>
      </w:r>
    </w:p>
    <w:p w14:paraId="552C7756" w14:textId="561362D6" w:rsidR="00DD2EBA" w:rsidRPr="00CE5093" w:rsidRDefault="00EE1734" w:rsidP="00F550AF">
      <w:r w:rsidRPr="00CE5093">
        <w:t>La Recommandation UIT</w:t>
      </w:r>
      <w:r w:rsidRPr="00CE5093">
        <w:noBreakHyphen/>
        <w:t xml:space="preserve">T E.156 définit les procédures </w:t>
      </w:r>
      <w:r w:rsidR="001B42A3" w:rsidRPr="00CE5093">
        <w:t>relatives au</w:t>
      </w:r>
      <w:r w:rsidR="00301A2D" w:rsidRPr="00CE5093">
        <w:t xml:space="preserve"> signalement de cas de présomption d'utilisation abusive de numéro</w:t>
      </w:r>
      <w:r w:rsidR="00E92196" w:rsidRPr="00CE5093">
        <w:t>s</w:t>
      </w:r>
      <w:r w:rsidR="00301A2D" w:rsidRPr="00CE5093">
        <w:t xml:space="preserve"> et</w:t>
      </w:r>
      <w:r w:rsidR="00914890" w:rsidRPr="00CE5093">
        <w:t xml:space="preserve"> aux</w:t>
      </w:r>
      <w:r w:rsidR="00301A2D" w:rsidRPr="00CE5093">
        <w:t xml:space="preserve"> mesures à prendre </w:t>
      </w:r>
      <w:r w:rsidR="00665292" w:rsidRPr="00CE5093">
        <w:t>en conséquence</w:t>
      </w:r>
      <w:r w:rsidR="00301A2D" w:rsidRPr="00CE5093">
        <w:t xml:space="preserve">. </w:t>
      </w:r>
      <w:r w:rsidR="002A2775" w:rsidRPr="00CE5093">
        <w:t>Elle définit également les procédures que</w:t>
      </w:r>
      <w:r w:rsidR="008346B4" w:rsidRPr="00CE5093">
        <w:t xml:space="preserve"> le</w:t>
      </w:r>
      <w:r w:rsidRPr="00CE5093">
        <w:t xml:space="preserve"> Directeur du TSB devrait mettre en </w:t>
      </w:r>
      <w:r w:rsidR="002D0527" w:rsidRPr="00CE5093">
        <w:t>œuvre</w:t>
      </w:r>
      <w:r w:rsidRPr="00CE5093">
        <w:t xml:space="preserve"> lorsqu'il reçoit des rapports émanant de membres portant à son attention des cas de présomption d'utilisation abusive, y compris les méthodes permettant de faire face et de mettre fin à toute présomption d'utilisation abusive.</w:t>
      </w:r>
    </w:p>
    <w:p w14:paraId="5330BD12" w14:textId="282BB53A" w:rsidR="00231E85" w:rsidRPr="00CE5093" w:rsidRDefault="00231E85" w:rsidP="00F550AF">
      <w:pPr>
        <w:pStyle w:val="Heading1"/>
        <w:rPr>
          <w:sz w:val="28"/>
          <w:szCs w:val="28"/>
        </w:rPr>
      </w:pPr>
      <w:r w:rsidRPr="00CE5093">
        <w:rPr>
          <w:sz w:val="28"/>
          <w:szCs w:val="28"/>
        </w:rPr>
        <w:t>2</w:t>
      </w:r>
      <w:r w:rsidRPr="00CE5093">
        <w:rPr>
          <w:sz w:val="28"/>
          <w:szCs w:val="28"/>
        </w:rPr>
        <w:tab/>
      </w:r>
      <w:r w:rsidR="00442474" w:rsidRPr="00CE5093">
        <w:rPr>
          <w:sz w:val="28"/>
          <w:szCs w:val="28"/>
        </w:rPr>
        <w:t xml:space="preserve">Projet de </w:t>
      </w:r>
      <w:r w:rsidR="00327A86" w:rsidRPr="00CE5093">
        <w:rPr>
          <w:sz w:val="28"/>
          <w:szCs w:val="28"/>
        </w:rPr>
        <w:t xml:space="preserve">la révision de la </w:t>
      </w:r>
      <w:r w:rsidR="00442474" w:rsidRPr="00CE5093">
        <w:rPr>
          <w:sz w:val="28"/>
          <w:szCs w:val="28"/>
        </w:rPr>
        <w:t>Recommandation UIT-T</w:t>
      </w:r>
      <w:r w:rsidRPr="00CE5093">
        <w:rPr>
          <w:sz w:val="28"/>
          <w:szCs w:val="28"/>
        </w:rPr>
        <w:t xml:space="preserve"> </w:t>
      </w:r>
      <w:r w:rsidR="002D0527" w:rsidRPr="00CE5093">
        <w:rPr>
          <w:sz w:val="28"/>
          <w:szCs w:val="28"/>
        </w:rPr>
        <w:t>E.164.2</w:t>
      </w:r>
      <w:r w:rsidRPr="00CE5093">
        <w:rPr>
          <w:sz w:val="28"/>
          <w:szCs w:val="28"/>
        </w:rPr>
        <w:t xml:space="preserve"> [</w:t>
      </w:r>
      <w:hyperlink r:id="rId12" w:history="1">
        <w:r w:rsidR="00EE1734" w:rsidRPr="00CE5093">
          <w:rPr>
            <w:rStyle w:val="Hyperlink"/>
            <w:sz w:val="28"/>
            <w:szCs w:val="28"/>
          </w:rPr>
          <w:t>SG2-R20</w:t>
        </w:r>
      </w:hyperlink>
      <w:r w:rsidRPr="00CE5093">
        <w:rPr>
          <w:sz w:val="28"/>
          <w:szCs w:val="28"/>
        </w:rPr>
        <w:t>]</w:t>
      </w:r>
    </w:p>
    <w:p w14:paraId="0FD22FFD" w14:textId="3E42547C" w:rsidR="00231E85" w:rsidRPr="00CE5093" w:rsidRDefault="003C22BD" w:rsidP="00F550AF">
      <w:pPr>
        <w:pStyle w:val="Headingb0"/>
        <w:rPr>
          <w:lang w:val="fr-FR"/>
        </w:rPr>
      </w:pPr>
      <w:r w:rsidRPr="00CE5093">
        <w:rPr>
          <w:lang w:val="fr-FR"/>
        </w:rPr>
        <w:t>Ressources de numérotage E.164 pour essais</w:t>
      </w:r>
    </w:p>
    <w:p w14:paraId="0D87A53A" w14:textId="7491301A" w:rsidR="00231E85" w:rsidRPr="00CE5093" w:rsidRDefault="00442474" w:rsidP="00F550AF">
      <w:pPr>
        <w:pStyle w:val="Headingb0"/>
        <w:rPr>
          <w:lang w:val="fr-FR"/>
        </w:rPr>
      </w:pPr>
      <w:r w:rsidRPr="00CE5093">
        <w:rPr>
          <w:lang w:val="fr-FR"/>
        </w:rPr>
        <w:t>Résumé</w:t>
      </w:r>
    </w:p>
    <w:p w14:paraId="6E55CA9D" w14:textId="4D305EF2" w:rsidR="00231E85" w:rsidRPr="00CE5093" w:rsidRDefault="003C22BD" w:rsidP="00F550AF">
      <w:pPr>
        <w:rPr>
          <w:rFonts w:cstheme="minorHAnsi"/>
          <w:szCs w:val="22"/>
          <w:lang w:eastAsia="ko-KR"/>
        </w:rPr>
      </w:pPr>
      <w:r w:rsidRPr="00CE5093">
        <w:t>La Recommandation UIT-T E.164.2</w:t>
      </w:r>
      <w:r w:rsidR="00BF2991" w:rsidRPr="00CE5093">
        <w:t xml:space="preserve"> expose les critères et les procédures d'attribution temporaire d'un code d'identification à 3 chiffres à un requérant, dans le cadre de l'indicatif de pays </w:t>
      </w:r>
      <w:r w:rsidR="001F4731" w:rsidRPr="00CE5093">
        <w:t>UIT</w:t>
      </w:r>
      <w:r w:rsidR="004C3CF9" w:rsidRPr="00CE5093">
        <w:noBreakHyphen/>
      </w:r>
      <w:r w:rsidR="001F4731" w:rsidRPr="00CE5093">
        <w:t>T</w:t>
      </w:r>
      <w:r w:rsidR="004C3CF9" w:rsidRPr="00CE5093">
        <w:t> </w:t>
      </w:r>
      <w:r w:rsidR="001F4731" w:rsidRPr="00CE5093">
        <w:t xml:space="preserve">E.164 </w:t>
      </w:r>
      <w:r w:rsidR="00AF17BB" w:rsidRPr="00CE5093">
        <w:t>commun 991</w:t>
      </w:r>
      <w:r w:rsidR="00BF2991" w:rsidRPr="00CE5093">
        <w:t>, aux fins de la réalisation d'un essai non commercial international. Cet essai aura pour but de déterminer la viabilité d</w:t>
      </w:r>
      <w:r w:rsidR="00327A86" w:rsidRPr="00CE5093">
        <w:t>'un projet de</w:t>
      </w:r>
      <w:r w:rsidR="00BF2991" w:rsidRPr="00CE5093">
        <w:t xml:space="preserve"> nouveau service international de correspondance publique.</w:t>
      </w:r>
    </w:p>
    <w:p w14:paraId="6C4AE377" w14:textId="565C8404" w:rsidR="00231E85" w:rsidRPr="00CE5093" w:rsidRDefault="00231E85" w:rsidP="00F550AF">
      <w:pPr>
        <w:pStyle w:val="Heading1"/>
        <w:rPr>
          <w:sz w:val="28"/>
          <w:szCs w:val="28"/>
        </w:rPr>
      </w:pPr>
      <w:r w:rsidRPr="00CE5093">
        <w:rPr>
          <w:sz w:val="28"/>
          <w:szCs w:val="28"/>
        </w:rPr>
        <w:t>3</w:t>
      </w:r>
      <w:r w:rsidRPr="00CE5093">
        <w:rPr>
          <w:sz w:val="28"/>
          <w:szCs w:val="28"/>
        </w:rPr>
        <w:tab/>
      </w:r>
      <w:r w:rsidR="00442474" w:rsidRPr="00CE5093">
        <w:rPr>
          <w:sz w:val="28"/>
          <w:szCs w:val="28"/>
        </w:rPr>
        <w:t xml:space="preserve">Projet </w:t>
      </w:r>
      <w:r w:rsidR="00B26CE8" w:rsidRPr="00CE5093">
        <w:rPr>
          <w:sz w:val="28"/>
          <w:szCs w:val="28"/>
        </w:rPr>
        <w:t>d'</w:t>
      </w:r>
      <w:r w:rsidR="000168E9" w:rsidRPr="00CE5093">
        <w:rPr>
          <w:sz w:val="28"/>
          <w:szCs w:val="28"/>
        </w:rPr>
        <w:t>A</w:t>
      </w:r>
      <w:r w:rsidR="00B26CE8" w:rsidRPr="00CE5093">
        <w:rPr>
          <w:sz w:val="28"/>
          <w:szCs w:val="28"/>
        </w:rPr>
        <w:t>mendement 2 à la Recommandation UIT-T E.212 (2016</w:t>
      </w:r>
      <w:r w:rsidRPr="00CE5093">
        <w:rPr>
          <w:sz w:val="28"/>
          <w:szCs w:val="28"/>
        </w:rPr>
        <w:t>) [</w:t>
      </w:r>
      <w:hyperlink r:id="rId13" w:history="1">
        <w:r w:rsidR="00BF2991" w:rsidRPr="00CE5093">
          <w:rPr>
            <w:rStyle w:val="Hyperlink"/>
            <w:sz w:val="28"/>
            <w:szCs w:val="28"/>
          </w:rPr>
          <w:t>SG2-R21</w:t>
        </w:r>
      </w:hyperlink>
      <w:r w:rsidRPr="00CE5093">
        <w:rPr>
          <w:sz w:val="28"/>
          <w:szCs w:val="28"/>
        </w:rPr>
        <w:t>]</w:t>
      </w:r>
    </w:p>
    <w:p w14:paraId="100544F1" w14:textId="36D4CA20" w:rsidR="00231E85" w:rsidRPr="00CE5093" w:rsidRDefault="00AF1F69" w:rsidP="00F550AF">
      <w:pPr>
        <w:pStyle w:val="Headingb0"/>
        <w:rPr>
          <w:sz w:val="22"/>
          <w:lang w:val="fr-FR" w:eastAsia="en-GB"/>
        </w:rPr>
      </w:pPr>
      <w:r w:rsidRPr="00CE5093">
        <w:rPr>
          <w:lang w:val="fr-FR"/>
        </w:rPr>
        <w:t>Plan d'identification international pour les réseaux publics et les abonnements</w:t>
      </w:r>
      <w:r w:rsidR="00011A30" w:rsidRPr="00CE5093">
        <w:rPr>
          <w:lang w:val="fr-FR"/>
        </w:rPr>
        <w:t xml:space="preserve"> </w:t>
      </w:r>
      <w:r w:rsidR="004C3CF9" w:rsidRPr="00CE5093">
        <w:rPr>
          <w:lang w:val="fr-FR"/>
        </w:rPr>
        <w:t>–</w:t>
      </w:r>
      <w:r w:rsidR="006220F6" w:rsidRPr="00CE5093">
        <w:rPr>
          <w:lang w:val="fr-FR"/>
        </w:rPr>
        <w:t xml:space="preserve"> Annexe G:</w:t>
      </w:r>
      <w:r w:rsidR="00011A30" w:rsidRPr="00CE5093">
        <w:rPr>
          <w:lang w:val="fr-FR"/>
        </w:rPr>
        <w:t xml:space="preserve"> </w:t>
      </w:r>
      <w:r w:rsidR="007636B6" w:rsidRPr="00CE5093">
        <w:rPr>
          <w:lang w:val="fr-FR"/>
        </w:rPr>
        <w:t xml:space="preserve">Attribution des indicatifs de pays </w:t>
      </w:r>
      <w:r w:rsidR="00E92196" w:rsidRPr="00CE5093">
        <w:rPr>
          <w:lang w:val="fr-FR"/>
        </w:rPr>
        <w:t>pour mobile</w:t>
      </w:r>
      <w:r w:rsidR="007636B6" w:rsidRPr="00CE5093">
        <w:rPr>
          <w:lang w:val="fr-FR"/>
        </w:rPr>
        <w:t xml:space="preserve"> E.212 </w:t>
      </w:r>
      <w:r w:rsidR="00773530" w:rsidRPr="00CE5093">
        <w:rPr>
          <w:lang w:val="fr-FR"/>
        </w:rPr>
        <w:t>communs</w:t>
      </w:r>
      <w:r w:rsidR="007636B6" w:rsidRPr="00CE5093">
        <w:rPr>
          <w:lang w:val="fr-FR"/>
        </w:rPr>
        <w:t xml:space="preserve"> pour essais</w:t>
      </w:r>
    </w:p>
    <w:p w14:paraId="35329D01" w14:textId="49DEF3A0" w:rsidR="00231E85" w:rsidRPr="00CE5093" w:rsidRDefault="00442474" w:rsidP="00F550AF">
      <w:pPr>
        <w:pStyle w:val="Headingb0"/>
        <w:rPr>
          <w:lang w:val="fr-FR"/>
        </w:rPr>
      </w:pPr>
      <w:r w:rsidRPr="00CE5093">
        <w:rPr>
          <w:lang w:val="fr-FR"/>
        </w:rPr>
        <w:t>Résumé</w:t>
      </w:r>
    </w:p>
    <w:p w14:paraId="70408DB2" w14:textId="780EC93D" w:rsidR="00231E85" w:rsidRPr="00CE5093" w:rsidRDefault="00F513FE" w:rsidP="00F550AF">
      <w:r w:rsidRPr="00CE5093">
        <w:t>L'</w:t>
      </w:r>
      <w:r w:rsidR="00011A30" w:rsidRPr="00CE5093">
        <w:t>Annex</w:t>
      </w:r>
      <w:r w:rsidRPr="00CE5093">
        <w:t>e</w:t>
      </w:r>
      <w:r w:rsidR="00011A30" w:rsidRPr="00CE5093">
        <w:t xml:space="preserve"> G </w:t>
      </w:r>
      <w:r w:rsidRPr="00CE5093">
        <w:t xml:space="preserve">de la Recommandation UIT-T E.212 expose les critères </w:t>
      </w:r>
      <w:r w:rsidR="00F80F6F" w:rsidRPr="00CE5093">
        <w:t>et les proc</w:t>
      </w:r>
      <w:r w:rsidR="00894A27" w:rsidRPr="00CE5093">
        <w:t>é</w:t>
      </w:r>
      <w:r w:rsidR="00F80F6F" w:rsidRPr="00CE5093">
        <w:t xml:space="preserve">dures </w:t>
      </w:r>
      <w:r w:rsidR="00894A27" w:rsidRPr="00CE5093">
        <w:t xml:space="preserve">d'attribution temporaire </w:t>
      </w:r>
      <w:r w:rsidR="00C6110F" w:rsidRPr="00CE5093">
        <w:t xml:space="preserve">d'un code de réseau mobile à </w:t>
      </w:r>
      <w:r w:rsidR="001312BC" w:rsidRPr="00CE5093">
        <w:t>2</w:t>
      </w:r>
      <w:r w:rsidR="00C6110F" w:rsidRPr="00CE5093">
        <w:t xml:space="preserve"> chiffres </w:t>
      </w:r>
      <w:r w:rsidR="001312BC" w:rsidRPr="00CE5093">
        <w:t>à un requérant,</w:t>
      </w:r>
      <w:r w:rsidR="00D452CD" w:rsidRPr="00CE5093">
        <w:t xml:space="preserve"> dans le cadre de l'indicatif de pays</w:t>
      </w:r>
      <w:r w:rsidR="009B21E2" w:rsidRPr="00CE5093">
        <w:t xml:space="preserve"> pour mobile</w:t>
      </w:r>
      <w:r w:rsidR="00D452CD" w:rsidRPr="00CE5093">
        <w:t xml:space="preserve"> E.212 commun 991, aux fins de la réalisation d'un essai non commercial international</w:t>
      </w:r>
      <w:r w:rsidR="00011A30" w:rsidRPr="00CE5093">
        <w:t>.</w:t>
      </w:r>
    </w:p>
    <w:p w14:paraId="6EB01C29" w14:textId="77777777" w:rsidR="004C3CF9" w:rsidRPr="00CE5093" w:rsidRDefault="004C3CF9" w:rsidP="00F550AF">
      <w:pPr>
        <w:pStyle w:val="Heading1"/>
        <w:rPr>
          <w:sz w:val="28"/>
          <w:szCs w:val="28"/>
        </w:rPr>
      </w:pPr>
      <w:r w:rsidRPr="00CE5093">
        <w:rPr>
          <w:sz w:val="28"/>
          <w:szCs w:val="28"/>
        </w:rPr>
        <w:br w:type="page"/>
      </w:r>
    </w:p>
    <w:p w14:paraId="7F4C73AA" w14:textId="2E46D6ED" w:rsidR="00011A30" w:rsidRPr="00CE5093" w:rsidRDefault="00011A30" w:rsidP="00F550AF">
      <w:pPr>
        <w:pStyle w:val="Heading1"/>
        <w:rPr>
          <w:sz w:val="28"/>
          <w:szCs w:val="28"/>
          <w:highlight w:val="yellow"/>
        </w:rPr>
      </w:pPr>
      <w:r w:rsidRPr="00CE5093">
        <w:rPr>
          <w:sz w:val="28"/>
          <w:szCs w:val="28"/>
        </w:rPr>
        <w:lastRenderedPageBreak/>
        <w:t>4</w:t>
      </w:r>
      <w:r w:rsidRPr="00CE5093">
        <w:rPr>
          <w:sz w:val="28"/>
          <w:szCs w:val="28"/>
        </w:rPr>
        <w:tab/>
      </w:r>
      <w:r w:rsidR="00A87423" w:rsidRPr="00CE5093">
        <w:rPr>
          <w:sz w:val="28"/>
          <w:szCs w:val="28"/>
        </w:rPr>
        <w:t>Projet d'</w:t>
      </w:r>
      <w:r w:rsidR="000168E9" w:rsidRPr="00CE5093">
        <w:rPr>
          <w:sz w:val="28"/>
          <w:szCs w:val="28"/>
        </w:rPr>
        <w:t>A</w:t>
      </w:r>
      <w:r w:rsidR="00A87423" w:rsidRPr="00CE5093">
        <w:rPr>
          <w:sz w:val="28"/>
          <w:szCs w:val="28"/>
        </w:rPr>
        <w:t>mendement</w:t>
      </w:r>
      <w:r w:rsidRPr="00CE5093">
        <w:rPr>
          <w:sz w:val="28"/>
          <w:szCs w:val="28"/>
        </w:rPr>
        <w:t xml:space="preserve"> 1 </w:t>
      </w:r>
      <w:r w:rsidR="00A45E2A" w:rsidRPr="00CE5093">
        <w:rPr>
          <w:sz w:val="28"/>
          <w:szCs w:val="28"/>
        </w:rPr>
        <w:t>à la Recommandation UIT-T</w:t>
      </w:r>
      <w:r w:rsidRPr="00CE5093">
        <w:rPr>
          <w:sz w:val="28"/>
          <w:szCs w:val="28"/>
        </w:rPr>
        <w:t xml:space="preserve"> E.218 (2004) [</w:t>
      </w:r>
      <w:hyperlink r:id="rId14" w:history="1">
        <w:r w:rsidRPr="00CE5093">
          <w:rPr>
            <w:rStyle w:val="Hyperlink"/>
            <w:sz w:val="28"/>
            <w:szCs w:val="28"/>
          </w:rPr>
          <w:t>SG2-R22</w:t>
        </w:r>
      </w:hyperlink>
      <w:r w:rsidRPr="00CE5093">
        <w:rPr>
          <w:sz w:val="28"/>
          <w:szCs w:val="28"/>
        </w:rPr>
        <w:t>]</w:t>
      </w:r>
    </w:p>
    <w:p w14:paraId="32FE3220" w14:textId="354824FC" w:rsidR="00011A30" w:rsidRPr="00CE5093" w:rsidRDefault="00494326" w:rsidP="00F550AF">
      <w:pPr>
        <w:pStyle w:val="Headingb0"/>
        <w:rPr>
          <w:rFonts w:ascii="Verdana" w:hAnsi="Verdana"/>
          <w:color w:val="000000"/>
          <w:sz w:val="18"/>
          <w:szCs w:val="18"/>
          <w:shd w:val="clear" w:color="auto" w:fill="FFFFFF"/>
          <w:lang w:val="fr-FR"/>
        </w:rPr>
      </w:pPr>
      <w:r w:rsidRPr="00CE5093">
        <w:rPr>
          <w:lang w:val="fr-FR"/>
        </w:rPr>
        <w:t xml:space="preserve">Gestion de l'attribution des indicatifs de pays pour mobile </w:t>
      </w:r>
      <w:r w:rsidR="00EF6568" w:rsidRPr="00CE5093">
        <w:rPr>
          <w:lang w:val="fr-FR"/>
        </w:rPr>
        <w:t xml:space="preserve">pour les systèmes de </w:t>
      </w:r>
      <w:r w:rsidRPr="00CE5093">
        <w:rPr>
          <w:lang w:val="fr-FR"/>
        </w:rPr>
        <w:t>radiocommunication de Terre à ressource</w:t>
      </w:r>
      <w:r w:rsidR="00327A86" w:rsidRPr="00CE5093">
        <w:rPr>
          <w:lang w:val="fr-FR"/>
        </w:rPr>
        <w:t>s</w:t>
      </w:r>
      <w:r w:rsidRPr="00CE5093">
        <w:rPr>
          <w:lang w:val="fr-FR"/>
        </w:rPr>
        <w:t xml:space="preserve"> partagée</w:t>
      </w:r>
      <w:r w:rsidR="00327A86" w:rsidRPr="00CE5093">
        <w:rPr>
          <w:lang w:val="fr-FR"/>
        </w:rPr>
        <w:t>s</w:t>
      </w:r>
      <w:r w:rsidRPr="00CE5093">
        <w:rPr>
          <w:lang w:val="fr-FR"/>
        </w:rPr>
        <w:t xml:space="preserve"> – Annexe B</w:t>
      </w:r>
      <w:r w:rsidR="00011A30" w:rsidRPr="00CE5093">
        <w:rPr>
          <w:lang w:val="fr-FR"/>
        </w:rPr>
        <w:t xml:space="preserve">: </w:t>
      </w:r>
      <w:r w:rsidR="00B21FD3" w:rsidRPr="00CE5093">
        <w:rPr>
          <w:lang w:val="fr-FR"/>
        </w:rPr>
        <w:t xml:space="preserve">Critères et procédures pour l'attribution et le retrait </w:t>
      </w:r>
      <w:r w:rsidR="00B21FD3" w:rsidRPr="00CE5093">
        <w:rPr>
          <w:color w:val="000000"/>
          <w:lang w:val="fr-FR"/>
        </w:rPr>
        <w:t xml:space="preserve">des indicatifs de pays pour mobile </w:t>
      </w:r>
      <w:r w:rsidR="00EF6568" w:rsidRPr="00CE5093">
        <w:rPr>
          <w:color w:val="000000"/>
          <w:lang w:val="fr-FR"/>
        </w:rPr>
        <w:t>pour l'accès aux</w:t>
      </w:r>
      <w:r w:rsidR="00B21FD3" w:rsidRPr="00CE5093">
        <w:rPr>
          <w:color w:val="000000"/>
          <w:lang w:val="fr-FR"/>
        </w:rPr>
        <w:t xml:space="preserve"> système</w:t>
      </w:r>
      <w:r w:rsidR="00EF6568" w:rsidRPr="00CE5093">
        <w:rPr>
          <w:color w:val="000000"/>
          <w:lang w:val="fr-FR"/>
        </w:rPr>
        <w:t>s</w:t>
      </w:r>
      <w:r w:rsidR="00B21FD3" w:rsidRPr="00CE5093">
        <w:rPr>
          <w:color w:val="000000"/>
          <w:lang w:val="fr-FR"/>
        </w:rPr>
        <w:t xml:space="preserve"> de radiocommunication de </w:t>
      </w:r>
      <w:r w:rsidR="004C387B" w:rsidRPr="00CE5093">
        <w:rPr>
          <w:color w:val="000000"/>
          <w:lang w:val="fr-FR"/>
        </w:rPr>
        <w:t>T</w:t>
      </w:r>
      <w:r w:rsidR="00B21FD3" w:rsidRPr="00CE5093">
        <w:rPr>
          <w:color w:val="000000"/>
          <w:lang w:val="fr-FR"/>
        </w:rPr>
        <w:t>erre à ressource</w:t>
      </w:r>
      <w:r w:rsidR="00327A86" w:rsidRPr="00CE5093">
        <w:rPr>
          <w:color w:val="000000"/>
          <w:lang w:val="fr-FR"/>
        </w:rPr>
        <w:t>s</w:t>
      </w:r>
      <w:r w:rsidR="00B21FD3" w:rsidRPr="00CE5093">
        <w:rPr>
          <w:color w:val="000000"/>
          <w:lang w:val="fr-FR"/>
        </w:rPr>
        <w:t xml:space="preserve"> partagée</w:t>
      </w:r>
      <w:r w:rsidR="00327A86" w:rsidRPr="00CE5093">
        <w:rPr>
          <w:color w:val="000000"/>
          <w:lang w:val="fr-FR"/>
        </w:rPr>
        <w:t>s</w:t>
      </w:r>
      <w:r w:rsidR="004C387B" w:rsidRPr="00CE5093">
        <w:rPr>
          <w:color w:val="000000"/>
          <w:lang w:val="fr-FR"/>
        </w:rPr>
        <w:t xml:space="preserve"> </w:t>
      </w:r>
      <w:r w:rsidR="004C387B" w:rsidRPr="00CE5093">
        <w:rPr>
          <w:lang w:val="fr-FR"/>
        </w:rPr>
        <w:t>((T)MCC)</w:t>
      </w:r>
      <w:r w:rsidR="00327A86" w:rsidRPr="00CE5093">
        <w:rPr>
          <w:color w:val="000000"/>
          <w:lang w:val="fr-FR"/>
        </w:rPr>
        <w:t xml:space="preserve"> UIT-T E.218 communs </w:t>
      </w:r>
      <w:r w:rsidR="00481E46" w:rsidRPr="00CE5093">
        <w:rPr>
          <w:color w:val="000000"/>
          <w:lang w:val="fr-FR"/>
        </w:rPr>
        <w:t xml:space="preserve">pour les réseaux </w:t>
      </w:r>
      <w:r w:rsidR="004C387B" w:rsidRPr="00CE5093">
        <w:rPr>
          <w:color w:val="000000"/>
          <w:lang w:val="fr-FR"/>
        </w:rPr>
        <w:t xml:space="preserve">et </w:t>
      </w:r>
      <w:r w:rsidR="00327A86" w:rsidRPr="00CE5093">
        <w:rPr>
          <w:color w:val="000000"/>
          <w:lang w:val="fr-FR"/>
        </w:rPr>
        <w:t>des</w:t>
      </w:r>
      <w:r w:rsidR="004C387B" w:rsidRPr="00CE5093">
        <w:rPr>
          <w:color w:val="000000"/>
          <w:lang w:val="fr-FR"/>
        </w:rPr>
        <w:t xml:space="preserve"> codes de réseau mobile</w:t>
      </w:r>
      <w:r w:rsidR="00CC66F9" w:rsidRPr="00CE5093">
        <w:rPr>
          <w:lang w:val="fr-FR"/>
        </w:rPr>
        <w:t xml:space="preserve"> </w:t>
      </w:r>
      <w:r w:rsidR="00327A86" w:rsidRPr="00CE5093">
        <w:rPr>
          <w:lang w:val="fr-FR"/>
        </w:rPr>
        <w:t>associés</w:t>
      </w:r>
      <w:r w:rsidR="004C387B" w:rsidRPr="00CE5093">
        <w:rPr>
          <w:color w:val="000000"/>
          <w:lang w:val="fr-FR"/>
        </w:rPr>
        <w:t xml:space="preserve"> </w:t>
      </w:r>
      <w:r w:rsidR="00EF6568" w:rsidRPr="00CE5093">
        <w:rPr>
          <w:color w:val="000000"/>
          <w:lang w:val="fr-FR"/>
        </w:rPr>
        <w:t>pour l'accès aux</w:t>
      </w:r>
      <w:r w:rsidR="00AE5299" w:rsidRPr="00CE5093">
        <w:rPr>
          <w:color w:val="000000"/>
          <w:lang w:val="fr-FR"/>
        </w:rPr>
        <w:t xml:space="preserve"> système</w:t>
      </w:r>
      <w:r w:rsidR="00EF6568" w:rsidRPr="00CE5093">
        <w:rPr>
          <w:color w:val="000000"/>
          <w:lang w:val="fr-FR"/>
        </w:rPr>
        <w:t>s</w:t>
      </w:r>
      <w:r w:rsidR="00AE5299" w:rsidRPr="00CE5093">
        <w:rPr>
          <w:color w:val="000000"/>
          <w:lang w:val="fr-FR"/>
        </w:rPr>
        <w:t xml:space="preserve"> de </w:t>
      </w:r>
      <w:r w:rsidR="004C387B" w:rsidRPr="00CE5093">
        <w:rPr>
          <w:color w:val="000000"/>
          <w:lang w:val="fr-FR"/>
        </w:rPr>
        <w:t xml:space="preserve">radiocommunication de Terre </w:t>
      </w:r>
      <w:r w:rsidR="00011A30" w:rsidRPr="00CE5093">
        <w:rPr>
          <w:lang w:val="fr-FR"/>
        </w:rPr>
        <w:t>((T)MNC)</w:t>
      </w:r>
      <w:r w:rsidR="004C387B" w:rsidRPr="00CE5093">
        <w:rPr>
          <w:lang w:val="fr-FR"/>
        </w:rPr>
        <w:t xml:space="preserve"> </w:t>
      </w:r>
      <w:r w:rsidR="00EF6568" w:rsidRPr="00CE5093">
        <w:rPr>
          <w:lang w:val="fr-FR"/>
        </w:rPr>
        <w:t>à ressource</w:t>
      </w:r>
      <w:r w:rsidR="00327A86" w:rsidRPr="00CE5093">
        <w:rPr>
          <w:lang w:val="fr-FR"/>
        </w:rPr>
        <w:t>s</w:t>
      </w:r>
      <w:r w:rsidR="00EF6568" w:rsidRPr="00CE5093">
        <w:rPr>
          <w:lang w:val="fr-FR"/>
        </w:rPr>
        <w:t xml:space="preserve"> partagée</w:t>
      </w:r>
      <w:r w:rsidR="00327A86" w:rsidRPr="00CE5093">
        <w:rPr>
          <w:lang w:val="fr-FR"/>
        </w:rPr>
        <w:t>s</w:t>
      </w:r>
    </w:p>
    <w:p w14:paraId="5CD5C8B8" w14:textId="27D0153E" w:rsidR="00011A30" w:rsidRPr="00CE5093" w:rsidRDefault="00F24676" w:rsidP="00F550AF">
      <w:pPr>
        <w:pStyle w:val="Headingb0"/>
        <w:rPr>
          <w:lang w:val="fr-FR"/>
        </w:rPr>
      </w:pPr>
      <w:r w:rsidRPr="00CE5093">
        <w:rPr>
          <w:lang w:val="fr-FR"/>
        </w:rPr>
        <w:t>Résumé</w:t>
      </w:r>
    </w:p>
    <w:p w14:paraId="1082258B" w14:textId="7BEA6553" w:rsidR="00011A30" w:rsidRPr="00CE5093" w:rsidRDefault="0023067E" w:rsidP="00F550AF">
      <w:r w:rsidRPr="00CE5093">
        <w:t xml:space="preserve">L'Annexe B de la </w:t>
      </w:r>
      <w:r w:rsidR="005238E2" w:rsidRPr="00CE5093">
        <w:t>Recommandation</w:t>
      </w:r>
      <w:r w:rsidRPr="00CE5093">
        <w:t xml:space="preserve"> UIT-T E.218 </w:t>
      </w:r>
      <w:r w:rsidR="005238E2" w:rsidRPr="00CE5093">
        <w:t>donne des précisions concernant l'</w:t>
      </w:r>
      <w:r w:rsidR="00327A86" w:rsidRPr="00CE5093">
        <w:t>administration</w:t>
      </w:r>
      <w:r w:rsidR="005238E2" w:rsidRPr="00CE5093">
        <w:t>, par l'UIT-T, de</w:t>
      </w:r>
      <w:r w:rsidR="00327A86" w:rsidRPr="00CE5093">
        <w:t>s</w:t>
      </w:r>
      <w:r w:rsidR="005238E2" w:rsidRPr="00CE5093">
        <w:t xml:space="preserve"> codes de réseau mobile </w:t>
      </w:r>
      <w:r w:rsidR="00CC66F9" w:rsidRPr="00CE5093">
        <w:t>pour l'accès aux</w:t>
      </w:r>
      <w:r w:rsidR="005238E2" w:rsidRPr="00CE5093">
        <w:t xml:space="preserve"> système</w:t>
      </w:r>
      <w:r w:rsidR="00CC66F9" w:rsidRPr="00CE5093">
        <w:t>s</w:t>
      </w:r>
      <w:r w:rsidR="005238E2" w:rsidRPr="00CE5093">
        <w:t xml:space="preserve"> de radiocommunication de Terre </w:t>
      </w:r>
      <w:r w:rsidR="00327A86" w:rsidRPr="00CE5093">
        <w:t xml:space="preserve">à ressources partagées </w:t>
      </w:r>
      <w:r w:rsidR="000A1B93" w:rsidRPr="00CE5093">
        <w:t>mondiaux</w:t>
      </w:r>
      <w:r w:rsidR="005238E2" w:rsidRPr="00CE5093">
        <w:t>, en exposant en détail le champ d'application de la ressource faisant l'objet de l'annexe.</w:t>
      </w:r>
      <w:r w:rsidR="00C34071" w:rsidRPr="00CE5093">
        <w:t xml:space="preserve"> Cette annexe donne aussi des précisions concernant les principes </w:t>
      </w:r>
      <w:r w:rsidR="00327A86" w:rsidRPr="00CE5093">
        <w:t>régissant l'attribution,</w:t>
      </w:r>
      <w:r w:rsidR="00C34071" w:rsidRPr="00CE5093">
        <w:t xml:space="preserve"> les critères d'attribution (en fonction desquels les demandes d'attribution </w:t>
      </w:r>
      <w:r w:rsidR="00521D6B" w:rsidRPr="00CE5093">
        <w:t xml:space="preserve">de codes de réseau mobile pour l'accès aux systèmes de radiocommunication de Terre </w:t>
      </w:r>
      <w:r w:rsidR="00327A86" w:rsidRPr="00CE5093">
        <w:t xml:space="preserve">à ressources partagées </w:t>
      </w:r>
      <w:r w:rsidR="00F26CE5" w:rsidRPr="00CE5093">
        <w:t>mondiaux</w:t>
      </w:r>
      <w:r w:rsidR="00C34071" w:rsidRPr="00CE5093">
        <w:t xml:space="preserve"> seront </w:t>
      </w:r>
      <w:r w:rsidR="00521D6B" w:rsidRPr="00CE5093">
        <w:t>évaluées</w:t>
      </w:r>
      <w:r w:rsidR="00C34071" w:rsidRPr="00CE5093">
        <w:t>), l</w:t>
      </w:r>
      <w:r w:rsidR="00797B16" w:rsidRPr="00CE5093">
        <w:t>e</w:t>
      </w:r>
      <w:r w:rsidR="00C34071" w:rsidRPr="00CE5093">
        <w:t xml:space="preserve"> processus d'examen des demandes et les circonstances dans lesquelles un code </w:t>
      </w:r>
      <w:r w:rsidR="007D58D0" w:rsidRPr="00CE5093">
        <w:t>de réseau mobile pour l'accès aux systèmes de radiocommunication de Terre</w:t>
      </w:r>
      <w:r w:rsidR="00327A86" w:rsidRPr="00CE5093">
        <w:t xml:space="preserve"> à ressources partagées</w:t>
      </w:r>
      <w:r w:rsidR="00C34071" w:rsidRPr="00CE5093">
        <w:t xml:space="preserve"> p</w:t>
      </w:r>
      <w:r w:rsidR="001D3122" w:rsidRPr="00CE5093">
        <w:t>eut</w:t>
      </w:r>
      <w:r w:rsidR="00C34071" w:rsidRPr="00CE5093">
        <w:t xml:space="preserve"> être retiré</w:t>
      </w:r>
      <w:r w:rsidR="00797B16" w:rsidRPr="00CE5093">
        <w:t>.</w:t>
      </w:r>
    </w:p>
    <w:p w14:paraId="6BE71225" w14:textId="64FBBB69" w:rsidR="00011A30" w:rsidRPr="00CE5093" w:rsidRDefault="00011A30" w:rsidP="00F550AF">
      <w:pPr>
        <w:pStyle w:val="Heading1"/>
        <w:rPr>
          <w:sz w:val="28"/>
          <w:szCs w:val="28"/>
          <w:highlight w:val="yellow"/>
        </w:rPr>
      </w:pPr>
      <w:r w:rsidRPr="00CE5093">
        <w:rPr>
          <w:sz w:val="28"/>
          <w:szCs w:val="28"/>
        </w:rPr>
        <w:t>5</w:t>
      </w:r>
      <w:r w:rsidRPr="00CE5093">
        <w:rPr>
          <w:sz w:val="28"/>
          <w:szCs w:val="28"/>
        </w:rPr>
        <w:tab/>
      </w:r>
      <w:r w:rsidR="00617A90" w:rsidRPr="00CE5093">
        <w:rPr>
          <w:sz w:val="28"/>
          <w:szCs w:val="28"/>
        </w:rPr>
        <w:t>Projet de nouvelle Recommandation UIT-T</w:t>
      </w:r>
      <w:r w:rsidRPr="00CE5093">
        <w:rPr>
          <w:sz w:val="28"/>
          <w:szCs w:val="28"/>
        </w:rPr>
        <w:t xml:space="preserve"> M.3362 [</w:t>
      </w:r>
      <w:hyperlink r:id="rId15" w:history="1">
        <w:r w:rsidRPr="00CE5093">
          <w:rPr>
            <w:rStyle w:val="Hyperlink"/>
            <w:sz w:val="28"/>
            <w:szCs w:val="28"/>
          </w:rPr>
          <w:t>SG2-R23</w:t>
        </w:r>
      </w:hyperlink>
      <w:r w:rsidRPr="00CE5093">
        <w:rPr>
          <w:sz w:val="28"/>
          <w:szCs w:val="28"/>
        </w:rPr>
        <w:t>]</w:t>
      </w:r>
    </w:p>
    <w:p w14:paraId="1AB00EAE" w14:textId="55EEF014" w:rsidR="00011A30" w:rsidRPr="00CE5093" w:rsidRDefault="00EB353C" w:rsidP="00F550AF">
      <w:pPr>
        <w:pStyle w:val="Headingb0"/>
        <w:rPr>
          <w:rFonts w:ascii="Verdana" w:hAnsi="Verdana"/>
          <w:color w:val="000000"/>
          <w:sz w:val="18"/>
          <w:szCs w:val="18"/>
          <w:shd w:val="clear" w:color="auto" w:fill="FFFFFF"/>
          <w:lang w:val="fr-FR"/>
        </w:rPr>
      </w:pPr>
      <w:r w:rsidRPr="00CE5093">
        <w:rPr>
          <w:lang w:val="fr-FR"/>
        </w:rPr>
        <w:t>Exigences en matière de gestion pour la lutte contre la fraude dans le domaine des télécommunications dans le contexte du réseau de gestion des télécommunications</w:t>
      </w:r>
    </w:p>
    <w:p w14:paraId="6F2FD8CA" w14:textId="528C9B99" w:rsidR="00011A30" w:rsidRPr="00CE5093" w:rsidRDefault="0012668A" w:rsidP="00F550AF">
      <w:pPr>
        <w:pStyle w:val="Headingb0"/>
        <w:rPr>
          <w:lang w:val="fr-FR"/>
        </w:rPr>
      </w:pPr>
      <w:r w:rsidRPr="00CE5093">
        <w:rPr>
          <w:lang w:val="fr-FR"/>
        </w:rPr>
        <w:t>Résumé</w:t>
      </w:r>
    </w:p>
    <w:p w14:paraId="765759CF" w14:textId="6E841FE1" w:rsidR="00AC5F42" w:rsidRPr="00CE5093" w:rsidRDefault="00900F04" w:rsidP="00F550AF">
      <w:r w:rsidRPr="00CE5093">
        <w:t xml:space="preserve">La Recommandation UIT-T </w:t>
      </w:r>
      <w:r w:rsidR="008704F4" w:rsidRPr="00CE5093">
        <w:t xml:space="preserve">M.3362 décrit les </w:t>
      </w:r>
      <w:r w:rsidR="00994B61" w:rsidRPr="00CE5093">
        <w:t>exigences en matière de</w:t>
      </w:r>
      <w:r w:rsidR="005D601A" w:rsidRPr="00CE5093">
        <w:t xml:space="preserve"> gestion </w:t>
      </w:r>
      <w:r w:rsidR="00994B61" w:rsidRPr="00CE5093">
        <w:t>pour</w:t>
      </w:r>
      <w:r w:rsidR="005D601A" w:rsidRPr="00CE5093">
        <w:t xml:space="preserve"> la </w:t>
      </w:r>
      <w:r w:rsidR="008704F4" w:rsidRPr="00CE5093">
        <w:t xml:space="preserve">lutte contre la fraude dans le </w:t>
      </w:r>
      <w:r w:rsidR="00755870" w:rsidRPr="00CE5093">
        <w:t xml:space="preserve">domaine des télécommunications </w:t>
      </w:r>
      <w:r w:rsidR="00994B61" w:rsidRPr="00CE5093">
        <w:t>dans le contexte du réseau</w:t>
      </w:r>
      <w:r w:rsidR="008704F4" w:rsidRPr="00CE5093">
        <w:t xml:space="preserve"> de gestion des télécommunications (RGT)</w:t>
      </w:r>
      <w:r w:rsidR="00A1002C" w:rsidRPr="00CE5093">
        <w:t xml:space="preserve"> </w:t>
      </w:r>
      <w:r w:rsidR="00DF089E" w:rsidRPr="00CE5093">
        <w:t>et fournit le</w:t>
      </w:r>
      <w:r w:rsidR="00907576" w:rsidRPr="00CE5093">
        <w:t xml:space="preserve"> cadre </w:t>
      </w:r>
      <w:r w:rsidR="00DA3339" w:rsidRPr="00CE5093">
        <w:t>fonctionne</w:t>
      </w:r>
      <w:r w:rsidR="00912597" w:rsidRPr="00CE5093">
        <w:t>l</w:t>
      </w:r>
      <w:r w:rsidR="00DA3339" w:rsidRPr="00CE5093">
        <w:t xml:space="preserve"> de la</w:t>
      </w:r>
      <w:r w:rsidR="00B23491" w:rsidRPr="00CE5093">
        <w:t xml:space="preserve"> gestion </w:t>
      </w:r>
      <w:r w:rsidR="00886A96" w:rsidRPr="00CE5093">
        <w:t xml:space="preserve">pour </w:t>
      </w:r>
      <w:r w:rsidR="00912597" w:rsidRPr="00CE5093">
        <w:t>le combat</w:t>
      </w:r>
      <w:r w:rsidR="00B23491" w:rsidRPr="00CE5093">
        <w:t xml:space="preserve"> </w:t>
      </w:r>
      <w:r w:rsidR="00886A96" w:rsidRPr="00CE5093">
        <w:t>contre</w:t>
      </w:r>
      <w:r w:rsidR="00B23491" w:rsidRPr="00CE5093">
        <w:t xml:space="preserve"> la fraude dans le domaine des télécommunication</w:t>
      </w:r>
      <w:r w:rsidR="00A1002C" w:rsidRPr="00CE5093">
        <w:t>s</w:t>
      </w:r>
      <w:r w:rsidR="00327A86" w:rsidRPr="00CE5093">
        <w:t xml:space="preserve"> ainsi que la description fonctionnelle associée</w:t>
      </w:r>
      <w:r w:rsidR="00011A30" w:rsidRPr="00CE5093">
        <w:t>.</w:t>
      </w:r>
      <w:r w:rsidR="00011A30" w:rsidRPr="00CE5093" w:rsidDel="00F426E7">
        <w:t xml:space="preserve"> </w:t>
      </w:r>
      <w:r w:rsidR="00413EBB" w:rsidRPr="00CE5093">
        <w:t xml:space="preserve">Les </w:t>
      </w:r>
      <w:r w:rsidR="0006119A" w:rsidRPr="00CE5093">
        <w:t>exigences en matière de</w:t>
      </w:r>
      <w:r w:rsidR="00413EBB" w:rsidRPr="00CE5093">
        <w:t xml:space="preserve"> </w:t>
      </w:r>
      <w:r w:rsidR="00627D81" w:rsidRPr="00CE5093">
        <w:t xml:space="preserve">gestion </w:t>
      </w:r>
      <w:r w:rsidR="00B94C70" w:rsidRPr="00CE5093">
        <w:t>pour</w:t>
      </w:r>
      <w:r w:rsidR="00627D81" w:rsidRPr="00CE5093">
        <w:t xml:space="preserve"> la </w:t>
      </w:r>
      <w:r w:rsidR="00413EBB" w:rsidRPr="00CE5093">
        <w:t xml:space="preserve">lutte contre la fraude dans </w:t>
      </w:r>
      <w:r w:rsidR="00BA1630" w:rsidRPr="00CE5093">
        <w:t>le domaine</w:t>
      </w:r>
      <w:r w:rsidR="00413EBB" w:rsidRPr="00CE5093">
        <w:t xml:space="preserve"> des télécommunications </w:t>
      </w:r>
      <w:r w:rsidR="0006119A" w:rsidRPr="00CE5093">
        <w:t>comprennent les activités de gestion pour la</w:t>
      </w:r>
      <w:r w:rsidR="0024248C" w:rsidRPr="00CE5093">
        <w:t xml:space="preserve"> détection</w:t>
      </w:r>
      <w:r w:rsidR="00327A86" w:rsidRPr="00CE5093">
        <w:t>,</w:t>
      </w:r>
      <w:r w:rsidR="00A3077D" w:rsidRPr="00CE5093">
        <w:t xml:space="preserve"> </w:t>
      </w:r>
      <w:r w:rsidR="0006119A" w:rsidRPr="00CE5093">
        <w:t>le</w:t>
      </w:r>
      <w:r w:rsidR="0024248C" w:rsidRPr="00CE5093">
        <w:t xml:space="preserve"> suivi</w:t>
      </w:r>
      <w:r w:rsidR="00A3077D" w:rsidRPr="00CE5093">
        <w:t xml:space="preserve"> </w:t>
      </w:r>
      <w:r w:rsidR="00327A86" w:rsidRPr="00CE5093">
        <w:t xml:space="preserve">et la réduction </w:t>
      </w:r>
      <w:r w:rsidR="00A3077D" w:rsidRPr="00CE5093">
        <w:t>de la fraude</w:t>
      </w:r>
      <w:r w:rsidR="0006119A" w:rsidRPr="00CE5093">
        <w:t>,</w:t>
      </w:r>
      <w:r w:rsidR="001E4B08" w:rsidRPr="00CE5093">
        <w:t xml:space="preserve"> </w:t>
      </w:r>
      <w:r w:rsidR="0006119A" w:rsidRPr="00CE5093">
        <w:t xml:space="preserve">ainsi que pour </w:t>
      </w:r>
      <w:r w:rsidR="0024248C" w:rsidRPr="00CE5093">
        <w:t xml:space="preserve">l'échange d'informations sur la fraude. </w:t>
      </w:r>
      <w:r w:rsidR="00E96ECC" w:rsidRPr="00CE5093">
        <w:t xml:space="preserve">Cette Recommandation </w:t>
      </w:r>
      <w:r w:rsidR="00A3077D" w:rsidRPr="00CE5093">
        <w:t>décrit également des scénarios de fraude dans le domaine des télécommunications, y compris pour ce qui est des appels malveillants</w:t>
      </w:r>
      <w:r w:rsidR="00011A30" w:rsidRPr="00CE5093">
        <w:t xml:space="preserve"> </w:t>
      </w:r>
      <w:r w:rsidR="00A3077D" w:rsidRPr="00CE5093">
        <w:t>et de l'usurpation d'identité</w:t>
      </w:r>
      <w:r w:rsidR="00011A30" w:rsidRPr="00CE5093">
        <w:t>.</w:t>
      </w:r>
    </w:p>
    <w:p w14:paraId="3AD8DD8B" w14:textId="105B6829" w:rsidR="00A17292" w:rsidRPr="00CE5093" w:rsidRDefault="00A17292" w:rsidP="00F550AF">
      <w:r w:rsidRPr="00CE5093">
        <w:t xml:space="preserve">Aucun document de justification UIT-T A.5 n'a été élaboré pour ces projets de textes déterminés </w:t>
      </w:r>
      <w:r w:rsidR="005D601A" w:rsidRPr="00CE5093">
        <w:t>mentionnés</w:t>
      </w:r>
      <w:r w:rsidR="00E9716E" w:rsidRPr="00CE5093">
        <w:t xml:space="preserve"> ci-dessu</w:t>
      </w:r>
      <w:r w:rsidR="005C46CE" w:rsidRPr="00CE5093">
        <w:t>s</w:t>
      </w:r>
      <w:r w:rsidRPr="00CE5093">
        <w:t>.</w:t>
      </w:r>
    </w:p>
    <w:p w14:paraId="38E44D53" w14:textId="586B7C91" w:rsidR="00A17292" w:rsidRDefault="00A17292" w:rsidP="00F550AF">
      <w:r w:rsidRPr="00CE5093">
        <w:t xml:space="preserve">NOTE DU TSB </w:t>
      </w:r>
      <w:r w:rsidR="006A0909" w:rsidRPr="00CE5093">
        <w:t xml:space="preserve">– </w:t>
      </w:r>
      <w:r w:rsidRPr="00CE5093">
        <w:t>À la date de la présente Circulaire, le TSB n'a reçu aucune déclaration concernant les droits de propriété intellectuelle relative à ces projets de texte. Pour obtenir des renseignements actualisés, les membres sont invités à consulter la base de données relative aux droits de propriété intellectuelle à l'adresse</w:t>
      </w:r>
      <w:r w:rsidRPr="00CE5093">
        <w:rPr>
          <w:u w:val="single"/>
        </w:rPr>
        <w:t xml:space="preserve"> </w:t>
      </w:r>
      <w:hyperlink r:id="rId16" w:history="1">
        <w:r w:rsidRPr="00CE5093">
          <w:rPr>
            <w:rStyle w:val="Hyperlink"/>
          </w:rPr>
          <w:t>www.itu.int/ipr/</w:t>
        </w:r>
      </w:hyperlink>
      <w:r w:rsidRPr="00CE5093">
        <w:t>.</w:t>
      </w:r>
    </w:p>
    <w:p w14:paraId="2E96BC8A" w14:textId="77777777" w:rsidR="00CD5CE3" w:rsidRPr="00CE5093" w:rsidRDefault="00CD5CE3" w:rsidP="00F550AF"/>
    <w:p w14:paraId="7F17FEE7" w14:textId="0F92E68F" w:rsidR="004D7188" w:rsidRPr="00CE5093" w:rsidRDefault="004D7188" w:rsidP="00F550AF">
      <w:r w:rsidRPr="00CE5093">
        <w:br w:type="page"/>
      </w:r>
    </w:p>
    <w:p w14:paraId="75CA9DDC" w14:textId="1C8B0956" w:rsidR="005C003E" w:rsidRPr="00CE5093" w:rsidRDefault="00F426F2" w:rsidP="00F550AF">
      <w:pPr>
        <w:pStyle w:val="Annextitle0"/>
        <w:rPr>
          <w:lang w:val="fr-FR"/>
        </w:rPr>
      </w:pPr>
      <w:r w:rsidRPr="00CE5093">
        <w:rPr>
          <w:lang w:val="fr-FR"/>
        </w:rPr>
        <w:lastRenderedPageBreak/>
        <w:t>A</w:t>
      </w:r>
      <w:r w:rsidR="00CD5CE3" w:rsidRPr="00CE5093">
        <w:rPr>
          <w:lang w:val="fr-FR"/>
        </w:rPr>
        <w:t xml:space="preserve">nnexe </w:t>
      </w:r>
      <w:r w:rsidR="005C003E" w:rsidRPr="00CE5093">
        <w:rPr>
          <w:lang w:val="fr-FR"/>
        </w:rPr>
        <w:t>2</w:t>
      </w:r>
      <w:r w:rsidR="005C003E" w:rsidRPr="00CE5093">
        <w:rPr>
          <w:lang w:val="fr-FR"/>
        </w:rPr>
        <w:br/>
      </w:r>
      <w:r w:rsidR="005C003E" w:rsidRPr="00CE5093">
        <w:rPr>
          <w:lang w:val="fr-FR"/>
        </w:rPr>
        <w:br/>
        <w:t xml:space="preserve">Objet: Réponse des </w:t>
      </w:r>
      <w:r w:rsidR="00923755" w:rsidRPr="00CE5093">
        <w:rPr>
          <w:lang w:val="fr-FR"/>
        </w:rPr>
        <w:t>États</w:t>
      </w:r>
      <w:r w:rsidR="005C003E" w:rsidRPr="00CE5093">
        <w:rPr>
          <w:lang w:val="fr-FR"/>
        </w:rPr>
        <w:t xml:space="preserve"> Membres à la Circulaire TSB </w:t>
      </w:r>
      <w:r w:rsidR="00803052" w:rsidRPr="00CE5093">
        <w:rPr>
          <w:lang w:val="fr-FR"/>
        </w:rPr>
        <w:t>2</w:t>
      </w:r>
      <w:r w:rsidR="008D620E" w:rsidRPr="00CE5093">
        <w:rPr>
          <w:lang w:val="fr-FR"/>
        </w:rPr>
        <w:t>2</w:t>
      </w:r>
      <w:r w:rsidR="00803052" w:rsidRPr="00CE5093">
        <w:rPr>
          <w:lang w:val="fr-FR"/>
        </w:rPr>
        <w:t>9</w:t>
      </w:r>
      <w:r w:rsidR="005C003E" w:rsidRPr="00CE5093">
        <w:rPr>
          <w:lang w:val="fr-FR"/>
        </w:rPr>
        <w:t>:</w:t>
      </w:r>
      <w:r w:rsidR="00667A9B" w:rsidRPr="00CE5093">
        <w:rPr>
          <w:lang w:val="fr-FR"/>
        </w:rPr>
        <w:t xml:space="preserve"> </w:t>
      </w:r>
      <w:r w:rsidR="002C43E3" w:rsidRPr="00CE5093">
        <w:rPr>
          <w:lang w:val="fr-FR"/>
        </w:rPr>
        <w:br/>
      </w:r>
      <w:r w:rsidR="005C003E" w:rsidRPr="00CE5093">
        <w:rPr>
          <w:lang w:val="fr-FR"/>
        </w:rPr>
        <w:t xml:space="preserve">Consultation au sujet </w:t>
      </w:r>
      <w:r w:rsidR="009A2042" w:rsidRPr="00CE5093">
        <w:rPr>
          <w:lang w:val="fr-FR"/>
        </w:rPr>
        <w:t xml:space="preserve">des </w:t>
      </w:r>
      <w:r w:rsidR="00CA471B" w:rsidRPr="00CE5093">
        <w:rPr>
          <w:lang w:val="fr-FR"/>
        </w:rPr>
        <w:t>textes déterminés des projets de Recommandations UIT</w:t>
      </w:r>
      <w:r w:rsidR="004C3CF9" w:rsidRPr="00CE5093">
        <w:rPr>
          <w:lang w:val="fr-FR"/>
        </w:rPr>
        <w:noBreakHyphen/>
      </w:r>
      <w:r w:rsidR="00CA471B" w:rsidRPr="00CE5093">
        <w:rPr>
          <w:lang w:val="fr-FR"/>
        </w:rPr>
        <w:t>T E.156 et UIT-T E.164.2, d</w:t>
      </w:r>
      <w:r w:rsidR="00C15274" w:rsidRPr="00CE5093">
        <w:rPr>
          <w:lang w:val="fr-FR"/>
        </w:rPr>
        <w:t>es projets d'</w:t>
      </w:r>
      <w:r w:rsidR="00CA471B" w:rsidRPr="00CE5093">
        <w:rPr>
          <w:lang w:val="fr-FR"/>
        </w:rPr>
        <w:t>Amendement 2 à la Recommandation UIT-T E.212 (2016)</w:t>
      </w:r>
      <w:r w:rsidR="005328A3" w:rsidRPr="00CE5093">
        <w:rPr>
          <w:lang w:val="fr-FR"/>
        </w:rPr>
        <w:t xml:space="preserve"> et</w:t>
      </w:r>
      <w:r w:rsidR="00CA471B" w:rsidRPr="00CE5093">
        <w:rPr>
          <w:lang w:val="fr-FR"/>
        </w:rPr>
        <w:t xml:space="preserve"> d'Amendement 1 à la Recommandation </w:t>
      </w:r>
      <w:r w:rsidR="0011415C" w:rsidRPr="00CE5093">
        <w:rPr>
          <w:lang w:val="fr-FR"/>
        </w:rPr>
        <w:t xml:space="preserve">UIT-T </w:t>
      </w:r>
      <w:r w:rsidR="00CA471B" w:rsidRPr="00CE5093">
        <w:rPr>
          <w:lang w:val="fr-FR"/>
        </w:rPr>
        <w:t>E.218 (2004), et</w:t>
      </w:r>
      <w:r w:rsidR="007A72A3">
        <w:rPr>
          <w:lang w:val="fr-FR"/>
        </w:rPr>
        <w:t> </w:t>
      </w:r>
      <w:r w:rsidR="00CA471B" w:rsidRPr="00CE5093">
        <w:rPr>
          <w:lang w:val="fr-FR"/>
        </w:rPr>
        <w:t>d</w:t>
      </w:r>
      <w:r w:rsidR="005328A3" w:rsidRPr="00CE5093">
        <w:rPr>
          <w:lang w:val="fr-FR"/>
        </w:rPr>
        <w:t>u projet</w:t>
      </w:r>
      <w:r w:rsidR="002F70C4" w:rsidRPr="00CE5093">
        <w:rPr>
          <w:lang w:val="fr-FR"/>
        </w:rPr>
        <w:t xml:space="preserve"> de</w:t>
      </w:r>
      <w:r w:rsidR="00CA471B" w:rsidRPr="00CE5093">
        <w:rPr>
          <w:lang w:val="fr-FR"/>
        </w:rPr>
        <w:t xml:space="preserve"> Recommandation </w:t>
      </w:r>
      <w:r w:rsidR="00B63DC7" w:rsidRPr="00CE5093">
        <w:rPr>
          <w:lang w:val="fr-FR"/>
        </w:rPr>
        <w:t xml:space="preserve">UIT-T </w:t>
      </w:r>
      <w:r w:rsidR="00CA471B" w:rsidRPr="00CE5093">
        <w:rPr>
          <w:lang w:val="fr-FR"/>
        </w:rPr>
        <w:t>M.3362 (ex Mrtafm)</w:t>
      </w:r>
    </w:p>
    <w:tbl>
      <w:tblPr>
        <w:tblW w:w="9957" w:type="dxa"/>
        <w:tblLayout w:type="fixed"/>
        <w:tblLook w:val="04A0" w:firstRow="1" w:lastRow="0" w:firstColumn="1" w:lastColumn="0" w:noHBand="0" w:noVBand="1"/>
      </w:tblPr>
      <w:tblGrid>
        <w:gridCol w:w="1318"/>
        <w:gridCol w:w="4247"/>
        <w:gridCol w:w="1318"/>
        <w:gridCol w:w="3074"/>
      </w:tblGrid>
      <w:tr w:rsidR="005C003E" w:rsidRPr="00CE5093" w14:paraId="4BC9C11A" w14:textId="77777777" w:rsidTr="008D620E">
        <w:tc>
          <w:tcPr>
            <w:tcW w:w="1276" w:type="dxa"/>
            <w:shd w:val="clear" w:color="auto" w:fill="auto"/>
          </w:tcPr>
          <w:p w14:paraId="791706F7" w14:textId="77777777" w:rsidR="005C003E" w:rsidRPr="00CE5093" w:rsidRDefault="001D4A19" w:rsidP="00F550AF">
            <w:pPr>
              <w:tabs>
                <w:tab w:val="clear" w:pos="794"/>
                <w:tab w:val="clear" w:pos="1191"/>
              </w:tabs>
              <w:rPr>
                <w:szCs w:val="24"/>
              </w:rPr>
            </w:pPr>
            <w:r w:rsidRPr="00CE5093">
              <w:rPr>
                <w:b/>
                <w:bCs/>
              </w:rPr>
              <w:t>À</w:t>
            </w:r>
            <w:r w:rsidR="005C003E" w:rsidRPr="00CE5093">
              <w:t>: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</w:tcPr>
          <w:p w14:paraId="0373304A" w14:textId="345D7916" w:rsidR="005C003E" w:rsidRPr="00CE5093" w:rsidRDefault="005C003E" w:rsidP="00F550AF">
            <w:pPr>
              <w:ind w:right="-284"/>
              <w:rPr>
                <w:bCs/>
              </w:rPr>
            </w:pPr>
            <w:r w:rsidRPr="00CE5093">
              <w:rPr>
                <w:bCs/>
              </w:rPr>
              <w:t xml:space="preserve">Directeur du Bureau de la normalisation </w:t>
            </w:r>
            <w:r w:rsidR="00F550AF" w:rsidRPr="00CE5093">
              <w:rPr>
                <w:bCs/>
              </w:rPr>
              <w:br/>
            </w:r>
            <w:r w:rsidRPr="00CE5093">
              <w:rPr>
                <w:bCs/>
              </w:rPr>
              <w:t>des télécommunications</w:t>
            </w:r>
          </w:p>
          <w:p w14:paraId="7510326A" w14:textId="77777777" w:rsidR="005C003E" w:rsidRPr="00CE5093" w:rsidRDefault="005C003E" w:rsidP="00F550AF">
            <w:pPr>
              <w:spacing w:before="0"/>
              <w:ind w:right="-284"/>
              <w:rPr>
                <w:bCs/>
              </w:rPr>
            </w:pPr>
            <w:r w:rsidRPr="00CE5093">
              <w:rPr>
                <w:bCs/>
              </w:rPr>
              <w:t xml:space="preserve">Union internationale des </w:t>
            </w:r>
            <w:r w:rsidRPr="00CE5093">
              <w:rPr>
                <w:bCs/>
              </w:rPr>
              <w:br/>
              <w:t>télécommunications</w:t>
            </w:r>
          </w:p>
          <w:p w14:paraId="096AFACE" w14:textId="77777777" w:rsidR="005C003E" w:rsidRPr="00CE5093" w:rsidRDefault="005C003E" w:rsidP="00F550AF">
            <w:pPr>
              <w:spacing w:before="0"/>
              <w:ind w:right="-284"/>
              <w:rPr>
                <w:bCs/>
              </w:rPr>
            </w:pPr>
            <w:r w:rsidRPr="00CE5093">
              <w:rPr>
                <w:bCs/>
              </w:rPr>
              <w:t>Place des Nations</w:t>
            </w:r>
          </w:p>
          <w:p w14:paraId="682472B2" w14:textId="77777777" w:rsidR="005C003E" w:rsidRPr="00CE5093" w:rsidRDefault="005C003E" w:rsidP="00F550AF">
            <w:pPr>
              <w:spacing w:before="0"/>
              <w:rPr>
                <w:szCs w:val="24"/>
              </w:rPr>
            </w:pPr>
            <w:r w:rsidRPr="00CE5093">
              <w:rPr>
                <w:bCs/>
              </w:rPr>
              <w:t>CH-1211 Genève 20, Suisse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595109E7" w14:textId="77777777" w:rsidR="005C003E" w:rsidRPr="00CE5093" w:rsidRDefault="005C003E" w:rsidP="00F550AF">
            <w:pPr>
              <w:rPr>
                <w:szCs w:val="24"/>
              </w:rPr>
            </w:pPr>
            <w:r w:rsidRPr="00CE5093">
              <w:rPr>
                <w:b/>
                <w:bCs/>
              </w:rPr>
              <w:t>De</w:t>
            </w:r>
            <w:r w:rsidRPr="00CE5093">
              <w:rPr>
                <w:bCs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14F5CAB2" w14:textId="77777777" w:rsidR="005C003E" w:rsidRPr="00CE5093" w:rsidRDefault="005C003E" w:rsidP="00F550AF">
            <w:pPr>
              <w:ind w:right="-284"/>
              <w:rPr>
                <w:bCs/>
                <w:highlight w:val="green"/>
              </w:rPr>
            </w:pPr>
            <w:r w:rsidRPr="00CE5093">
              <w:rPr>
                <w:bCs/>
                <w:highlight w:val="green"/>
              </w:rPr>
              <w:t>[Nom]</w:t>
            </w:r>
          </w:p>
          <w:p w14:paraId="346DD818" w14:textId="77777777" w:rsidR="005C003E" w:rsidRPr="00CE5093" w:rsidRDefault="005C003E" w:rsidP="00F550AF">
            <w:pPr>
              <w:spacing w:before="0"/>
              <w:ind w:right="-284"/>
              <w:rPr>
                <w:bCs/>
                <w:highlight w:val="green"/>
              </w:rPr>
            </w:pPr>
            <w:r w:rsidRPr="00CE5093">
              <w:rPr>
                <w:bCs/>
                <w:highlight w:val="green"/>
              </w:rPr>
              <w:t>[Rôle/titre officiel]</w:t>
            </w:r>
          </w:p>
          <w:p w14:paraId="7507EADB" w14:textId="77777777" w:rsidR="005C003E" w:rsidRPr="00CE5093" w:rsidRDefault="005C003E" w:rsidP="00F550AF">
            <w:pPr>
              <w:spacing w:before="0"/>
              <w:rPr>
                <w:szCs w:val="24"/>
              </w:rPr>
            </w:pPr>
            <w:r w:rsidRPr="00CE5093">
              <w:rPr>
                <w:bCs/>
                <w:highlight w:val="green"/>
              </w:rPr>
              <w:t>[Adresse]</w:t>
            </w:r>
          </w:p>
        </w:tc>
      </w:tr>
      <w:tr w:rsidR="005C003E" w:rsidRPr="00CE5093" w14:paraId="520CCF91" w14:textId="77777777" w:rsidTr="008D620E">
        <w:trPr>
          <w:trHeight w:val="923"/>
        </w:trPr>
        <w:tc>
          <w:tcPr>
            <w:tcW w:w="1276" w:type="dxa"/>
            <w:shd w:val="clear" w:color="auto" w:fill="auto"/>
          </w:tcPr>
          <w:p w14:paraId="1601F1DE" w14:textId="65E52C0A" w:rsidR="005C003E" w:rsidRPr="00CE5093" w:rsidRDefault="00CE5093" w:rsidP="00F550AF">
            <w:pPr>
              <w:tabs>
                <w:tab w:val="clear" w:pos="794"/>
                <w:tab w:val="clear" w:pos="1191"/>
              </w:tabs>
              <w:spacing w:before="0"/>
              <w:rPr>
                <w:szCs w:val="24"/>
              </w:rPr>
            </w:pPr>
            <w:r w:rsidRPr="00CE5093">
              <w:rPr>
                <w:b/>
                <w:bCs/>
              </w:rPr>
              <w:t>Télécopie</w:t>
            </w:r>
            <w:r w:rsidRPr="00CE5093">
              <w:rPr>
                <w:bCs/>
              </w:rPr>
              <w:t>:</w:t>
            </w:r>
            <w:r w:rsidRPr="00CE5093">
              <w:rPr>
                <w:b/>
                <w:bCs/>
              </w:rPr>
              <w:t xml:space="preserve"> Courriel</w:t>
            </w:r>
            <w:r w:rsidR="005C003E" w:rsidRPr="00CE5093">
              <w:rPr>
                <w:bCs/>
              </w:rPr>
              <w:t>: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</w:tcPr>
          <w:p w14:paraId="63A888F2" w14:textId="77777777" w:rsidR="005C003E" w:rsidRPr="00CE5093" w:rsidRDefault="005C003E" w:rsidP="00F550AF">
            <w:pPr>
              <w:spacing w:before="0"/>
              <w:rPr>
                <w:szCs w:val="24"/>
              </w:rPr>
            </w:pPr>
            <w:r w:rsidRPr="00CE5093">
              <w:rPr>
                <w:bCs/>
              </w:rPr>
              <w:t>+41 22 730 5853</w:t>
            </w:r>
            <w:r w:rsidRPr="00CE5093">
              <w:rPr>
                <w:bCs/>
              </w:rPr>
              <w:br/>
            </w:r>
            <w:hyperlink r:id="rId17" w:history="1">
              <w:r w:rsidRPr="00CE5093">
                <w:rPr>
                  <w:rStyle w:val="Hyperlink"/>
                  <w:bCs/>
                </w:rPr>
                <w:t>tsbdir@itu.int</w:t>
              </w:r>
            </w:hyperlink>
            <w:r w:rsidRPr="00CE5093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539A87B3" w14:textId="77777777" w:rsidR="005C003E" w:rsidRPr="00CE5093" w:rsidRDefault="005C003E" w:rsidP="00F550AF">
            <w:pPr>
              <w:spacing w:before="0"/>
              <w:rPr>
                <w:szCs w:val="24"/>
              </w:rPr>
            </w:pPr>
            <w:r w:rsidRPr="00CE5093">
              <w:rPr>
                <w:b/>
                <w:bCs/>
              </w:rPr>
              <w:t>Télécopie</w:t>
            </w:r>
            <w:r w:rsidRPr="00CE5093">
              <w:t>:</w:t>
            </w:r>
            <w:r w:rsidRPr="00CE5093">
              <w:rPr>
                <w:b/>
                <w:bCs/>
              </w:rPr>
              <w:br/>
              <w:t>Courriel</w:t>
            </w:r>
            <w:r w:rsidRPr="00CE5093">
              <w:rPr>
                <w:bCs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6A54CB6C" w14:textId="77777777" w:rsidR="005C003E" w:rsidRPr="00CE5093" w:rsidRDefault="005C003E" w:rsidP="00F550AF">
            <w:pPr>
              <w:spacing w:before="0"/>
              <w:rPr>
                <w:szCs w:val="24"/>
              </w:rPr>
            </w:pPr>
          </w:p>
        </w:tc>
      </w:tr>
      <w:tr w:rsidR="008D620E" w:rsidRPr="00CE5093" w14:paraId="0A1537E5" w14:textId="77777777" w:rsidTr="008D620E">
        <w:tc>
          <w:tcPr>
            <w:tcW w:w="1276" w:type="dxa"/>
            <w:shd w:val="clear" w:color="auto" w:fill="auto"/>
          </w:tcPr>
          <w:p w14:paraId="61097955" w14:textId="77777777" w:rsidR="008D620E" w:rsidRPr="00CE5093" w:rsidRDefault="008D620E" w:rsidP="00F550AF">
            <w:pPr>
              <w:tabs>
                <w:tab w:val="clear" w:pos="794"/>
                <w:tab w:val="clear" w:pos="1191"/>
              </w:tabs>
              <w:spacing w:before="0"/>
            </w:pPr>
          </w:p>
        </w:tc>
        <w:tc>
          <w:tcPr>
            <w:tcW w:w="1004" w:type="dxa"/>
            <w:tcBorders>
              <w:right w:val="single" w:sz="8" w:space="0" w:color="auto"/>
            </w:tcBorders>
            <w:shd w:val="clear" w:color="auto" w:fill="auto"/>
          </w:tcPr>
          <w:p w14:paraId="4380A3FF" w14:textId="77777777" w:rsidR="008D620E" w:rsidRPr="00CE5093" w:rsidRDefault="008D620E" w:rsidP="00F550AF">
            <w:pPr>
              <w:spacing w:before="0"/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3920399D" w14:textId="77777777" w:rsidR="008D620E" w:rsidRPr="00CE5093" w:rsidRDefault="008D620E" w:rsidP="00F550AF">
            <w:pPr>
              <w:spacing w:before="0"/>
              <w:rPr>
                <w:b/>
                <w:bCs/>
              </w:rPr>
            </w:pPr>
            <w:r w:rsidRPr="00CE5093">
              <w:rPr>
                <w:b/>
                <w:bCs/>
              </w:rPr>
              <w:t>Date:</w:t>
            </w:r>
          </w:p>
        </w:tc>
        <w:tc>
          <w:tcPr>
            <w:tcW w:w="2976" w:type="dxa"/>
            <w:shd w:val="clear" w:color="auto" w:fill="auto"/>
          </w:tcPr>
          <w:p w14:paraId="244F1CEB" w14:textId="0ECEEA19" w:rsidR="008D620E" w:rsidRPr="00CE5093" w:rsidRDefault="008D620E" w:rsidP="00F550AF">
            <w:pPr>
              <w:spacing w:before="0"/>
              <w:ind w:right="-284"/>
              <w:rPr>
                <w:bCs/>
                <w:highlight w:val="green"/>
              </w:rPr>
            </w:pPr>
            <w:r w:rsidRPr="00CE5093">
              <w:rPr>
                <w:bCs/>
                <w:highlight w:val="green"/>
              </w:rPr>
              <w:t>[</w:t>
            </w:r>
            <w:r w:rsidR="00CA471B" w:rsidRPr="00CE5093">
              <w:rPr>
                <w:bCs/>
                <w:highlight w:val="green"/>
              </w:rPr>
              <w:t>Lieu</w:t>
            </w:r>
            <w:r w:rsidRPr="00CE5093">
              <w:rPr>
                <w:bCs/>
                <w:highlight w:val="green"/>
              </w:rPr>
              <w:t>,] [Date]</w:t>
            </w:r>
          </w:p>
        </w:tc>
      </w:tr>
    </w:tbl>
    <w:p w14:paraId="3B9C288D" w14:textId="77777777" w:rsidR="005C003E" w:rsidRPr="00CE5093" w:rsidRDefault="005C003E" w:rsidP="00F550AF">
      <w:pPr>
        <w:spacing w:before="360"/>
      </w:pPr>
      <w:r w:rsidRPr="00CE5093">
        <w:t>Madame, Monsieur,</w:t>
      </w:r>
    </w:p>
    <w:p w14:paraId="70CC7892" w14:textId="0A729811" w:rsidR="005C003E" w:rsidRPr="00CE5093" w:rsidRDefault="005C003E" w:rsidP="007A72A3">
      <w:pPr>
        <w:spacing w:after="240"/>
      </w:pPr>
      <w:r w:rsidRPr="00CE5093">
        <w:t xml:space="preserve">Dans le cadre de la consultation des </w:t>
      </w:r>
      <w:r w:rsidR="00923755" w:rsidRPr="00CE5093">
        <w:t>États</w:t>
      </w:r>
      <w:r w:rsidRPr="00CE5093">
        <w:t xml:space="preserve"> Membres au sujet </w:t>
      </w:r>
      <w:r w:rsidR="009A2042" w:rsidRPr="00CE5093">
        <w:t xml:space="preserve">des </w:t>
      </w:r>
      <w:r w:rsidRPr="00CE5093">
        <w:t>projet</w:t>
      </w:r>
      <w:r w:rsidR="009A2042" w:rsidRPr="00CE5093">
        <w:t>s</w:t>
      </w:r>
      <w:r w:rsidRPr="00CE5093">
        <w:t xml:space="preserve"> de </w:t>
      </w:r>
      <w:r w:rsidR="009A2042" w:rsidRPr="00CE5093">
        <w:t>texte</w:t>
      </w:r>
      <w:r w:rsidR="00B87198" w:rsidRPr="00CE5093">
        <w:t>s</w:t>
      </w:r>
      <w:r w:rsidR="009A2042" w:rsidRPr="00CE5093">
        <w:t xml:space="preserve"> </w:t>
      </w:r>
      <w:r w:rsidRPr="00CE5093">
        <w:t>déterminé</w:t>
      </w:r>
      <w:r w:rsidR="00B87198" w:rsidRPr="00CE5093">
        <w:t>s</w:t>
      </w:r>
      <w:r w:rsidRPr="00CE5093">
        <w:t xml:space="preserve"> dont il est question dans la Circulaire TSB </w:t>
      </w:r>
      <w:r w:rsidR="00667A9B" w:rsidRPr="00CE5093">
        <w:t>2</w:t>
      </w:r>
      <w:r w:rsidR="009B7BF0" w:rsidRPr="00CE5093">
        <w:t>2</w:t>
      </w:r>
      <w:r w:rsidR="00667A9B" w:rsidRPr="00CE5093">
        <w:t>9</w:t>
      </w:r>
      <w:r w:rsidRPr="00CE5093">
        <w:t>, je vous indique par la présente l'opinion de mon Administration, qui figure dans le tableau ci-après.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7503"/>
      </w:tblGrid>
      <w:tr w:rsidR="005C003E" w:rsidRPr="00CE5093" w14:paraId="490A2E57" w14:textId="77777777" w:rsidTr="00F550A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6F3A6096" w14:textId="77777777" w:rsidR="005C003E" w:rsidRPr="00CE5093" w:rsidRDefault="005C003E" w:rsidP="007A72A3">
            <w:pPr>
              <w:spacing w:before="40" w:after="4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03" w:type="dxa"/>
            <w:shd w:val="clear" w:color="auto" w:fill="auto"/>
            <w:vAlign w:val="center"/>
          </w:tcPr>
          <w:p w14:paraId="2D985BE5" w14:textId="77777777" w:rsidR="005C003E" w:rsidRPr="00CE5093" w:rsidRDefault="005C003E" w:rsidP="007A72A3">
            <w:pPr>
              <w:pStyle w:val="TableHead"/>
              <w:keepNext w:val="0"/>
              <w:spacing w:before="40" w:after="40"/>
            </w:pPr>
            <w:r w:rsidRPr="00CE5093">
              <w:t>Cochez l'une des deux cases</w:t>
            </w:r>
            <w:r w:rsidR="00DA68B9" w:rsidRPr="00CE5093">
              <w:t xml:space="preserve"> pour chaque texte</w:t>
            </w:r>
          </w:p>
        </w:tc>
      </w:tr>
      <w:tr w:rsidR="00E22541" w:rsidRPr="00CE5093" w14:paraId="5990C914" w14:textId="77777777" w:rsidTr="00F550AF">
        <w:trPr>
          <w:trHeight w:val="748"/>
        </w:trPr>
        <w:tc>
          <w:tcPr>
            <w:tcW w:w="2137" w:type="dxa"/>
            <w:vMerge w:val="restart"/>
            <w:shd w:val="clear" w:color="auto" w:fill="auto"/>
            <w:vAlign w:val="center"/>
          </w:tcPr>
          <w:p w14:paraId="26A0AAC1" w14:textId="0FA833DB" w:rsidR="00E22541" w:rsidRPr="00CE5093" w:rsidRDefault="00DA68B9" w:rsidP="007A72A3">
            <w:pPr>
              <w:pStyle w:val="TableHead"/>
              <w:keepNext w:val="0"/>
              <w:spacing w:before="40" w:after="40"/>
            </w:pPr>
            <w:r w:rsidRPr="00CE5093">
              <w:t xml:space="preserve">Projet de </w:t>
            </w:r>
            <w:r w:rsidR="00E22541" w:rsidRPr="00CE5093">
              <w:t xml:space="preserve">Recommandation UIT-T </w:t>
            </w:r>
            <w:r w:rsidR="009B7BF0" w:rsidRPr="00CE5093">
              <w:rPr>
                <w:bCs/>
              </w:rPr>
              <w:t>E.156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7CC37E35" w14:textId="7A7E2BB0" w:rsidR="00E22541" w:rsidRPr="00CE5093" w:rsidRDefault="00E22541" w:rsidP="007A72A3">
            <w:pPr>
              <w:pStyle w:val="TableText"/>
              <w:spacing w:before="80"/>
              <w:ind w:left="567" w:hanging="567"/>
              <w:rPr>
                <w:szCs w:val="22"/>
              </w:rPr>
            </w:pPr>
            <w:r w:rsidRPr="00CE509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093">
              <w:rPr>
                <w:szCs w:val="22"/>
              </w:rPr>
              <w:instrText xml:space="preserve"> FORMCHECKBOX </w:instrText>
            </w:r>
            <w:r w:rsidR="00CD089B">
              <w:rPr>
                <w:szCs w:val="22"/>
              </w:rPr>
            </w:r>
            <w:r w:rsidR="00CD089B">
              <w:rPr>
                <w:szCs w:val="22"/>
              </w:rPr>
              <w:fldChar w:fldCharType="separate"/>
            </w:r>
            <w:r w:rsidRPr="00CE5093">
              <w:rPr>
                <w:szCs w:val="22"/>
              </w:rPr>
              <w:fldChar w:fldCharType="end"/>
            </w: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</w:r>
            <w:r w:rsidRPr="00CE5093">
              <w:rPr>
                <w:b/>
                <w:bCs/>
                <w:szCs w:val="22"/>
              </w:rPr>
              <w:t>autorise</w:t>
            </w:r>
            <w:r w:rsidRPr="00CE5093">
              <w:rPr>
                <w:szCs w:val="22"/>
              </w:rPr>
              <w:t xml:space="preserve"> la Commission d'études </w:t>
            </w:r>
            <w:r w:rsidR="009B7BF0" w:rsidRPr="00CE5093">
              <w:rPr>
                <w:szCs w:val="22"/>
              </w:rPr>
              <w:t>2</w:t>
            </w:r>
            <w:r w:rsidRPr="00CE5093">
              <w:rPr>
                <w:szCs w:val="22"/>
              </w:rPr>
              <w:t xml:space="preserve"> à procéder à l'examen de ce document en vue de son approbation (dans ce cas, sélectionnez l'une des deux options ⃝):</w:t>
            </w:r>
          </w:p>
          <w:p w14:paraId="72CDBE1F" w14:textId="77777777" w:rsidR="00E22541" w:rsidRPr="00CE5093" w:rsidRDefault="00E22541" w:rsidP="007A72A3">
            <w:pPr>
              <w:pStyle w:val="TableText"/>
              <w:rPr>
                <w:szCs w:val="22"/>
              </w:rPr>
            </w:pP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  <w:t>⃝</w:t>
            </w:r>
            <w:r w:rsidRPr="00CE5093">
              <w:rPr>
                <w:szCs w:val="22"/>
              </w:rPr>
              <w:tab/>
              <w:t>Pas de commentaire ou de proposition de modification</w:t>
            </w:r>
          </w:p>
          <w:p w14:paraId="5A03A9AA" w14:textId="2A91B018" w:rsidR="00507517" w:rsidRPr="00CE5093" w:rsidRDefault="00E22541" w:rsidP="007A72A3">
            <w:pPr>
              <w:pStyle w:val="TableText"/>
              <w:spacing w:after="80"/>
              <w:ind w:left="851" w:hanging="851"/>
              <w:rPr>
                <w:szCs w:val="22"/>
              </w:rPr>
            </w:pP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  <w:t>⃝</w:t>
            </w:r>
            <w:r w:rsidRPr="00CE5093">
              <w:rPr>
                <w:szCs w:val="22"/>
              </w:rPr>
              <w:tab/>
              <w:t>Des commentaires ou propositions de modification sont joints à la présente</w:t>
            </w:r>
          </w:p>
        </w:tc>
      </w:tr>
      <w:tr w:rsidR="00E22541" w:rsidRPr="00CE5093" w14:paraId="4DE84B32" w14:textId="77777777" w:rsidTr="00F550AF">
        <w:trPr>
          <w:trHeight w:val="748"/>
        </w:trPr>
        <w:tc>
          <w:tcPr>
            <w:tcW w:w="2137" w:type="dxa"/>
            <w:vMerge/>
            <w:shd w:val="clear" w:color="auto" w:fill="auto"/>
            <w:vAlign w:val="center"/>
          </w:tcPr>
          <w:p w14:paraId="227EFACE" w14:textId="77777777" w:rsidR="00E22541" w:rsidRPr="00CE5093" w:rsidRDefault="00E22541" w:rsidP="007A72A3">
            <w:pPr>
              <w:pStyle w:val="TableHead"/>
              <w:keepNext w:val="0"/>
              <w:spacing w:before="40" w:after="40"/>
            </w:pPr>
          </w:p>
        </w:tc>
        <w:tc>
          <w:tcPr>
            <w:tcW w:w="7503" w:type="dxa"/>
            <w:shd w:val="clear" w:color="auto" w:fill="auto"/>
            <w:vAlign w:val="center"/>
          </w:tcPr>
          <w:p w14:paraId="7C6871F2" w14:textId="421DC62A" w:rsidR="00E22541" w:rsidRPr="00CE5093" w:rsidRDefault="00E22541" w:rsidP="007A72A3">
            <w:pPr>
              <w:pStyle w:val="TableText"/>
              <w:spacing w:before="80" w:after="80"/>
              <w:ind w:left="567" w:hanging="567"/>
              <w:rPr>
                <w:szCs w:val="22"/>
              </w:rPr>
            </w:pPr>
            <w:r w:rsidRPr="00CE509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093">
              <w:rPr>
                <w:szCs w:val="22"/>
              </w:rPr>
              <w:instrText xml:space="preserve"> FORMCHECKBOX </w:instrText>
            </w:r>
            <w:r w:rsidR="00CD089B">
              <w:rPr>
                <w:szCs w:val="22"/>
              </w:rPr>
            </w:r>
            <w:r w:rsidR="00CD089B">
              <w:rPr>
                <w:szCs w:val="22"/>
              </w:rPr>
              <w:fldChar w:fldCharType="separate"/>
            </w:r>
            <w:r w:rsidRPr="00CE5093">
              <w:rPr>
                <w:szCs w:val="22"/>
              </w:rPr>
              <w:fldChar w:fldCharType="end"/>
            </w: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</w:r>
            <w:r w:rsidRPr="00CE5093">
              <w:rPr>
                <w:b/>
                <w:bCs/>
                <w:szCs w:val="22"/>
              </w:rPr>
              <w:t>n'autorise pas</w:t>
            </w:r>
            <w:r w:rsidRPr="00CE5093">
              <w:rPr>
                <w:szCs w:val="22"/>
              </w:rPr>
              <w:t xml:space="preserve"> la Commission d'études </w:t>
            </w:r>
            <w:r w:rsidR="009B7BF0" w:rsidRPr="00CE5093">
              <w:rPr>
                <w:szCs w:val="22"/>
              </w:rPr>
              <w:t>2</w:t>
            </w:r>
            <w:r w:rsidRPr="00CE5093">
              <w:rPr>
                <w:szCs w:val="22"/>
              </w:rPr>
              <w:t xml:space="preserve"> à procéder à l'examen de ce document en vue de son approbation (les motifs de cette décision et une description des éventuelles modifications qui permettraient la poursuite des travaux sont joints à la présente)</w:t>
            </w:r>
          </w:p>
        </w:tc>
      </w:tr>
      <w:tr w:rsidR="009B7BF0" w:rsidRPr="00CE5093" w14:paraId="0ED4C8CE" w14:textId="77777777" w:rsidTr="00F550AF">
        <w:trPr>
          <w:trHeight w:val="748"/>
        </w:trPr>
        <w:tc>
          <w:tcPr>
            <w:tcW w:w="2137" w:type="dxa"/>
            <w:vMerge w:val="restart"/>
            <w:shd w:val="clear" w:color="auto" w:fill="auto"/>
            <w:vAlign w:val="center"/>
          </w:tcPr>
          <w:p w14:paraId="5896138E" w14:textId="1A2E79FE" w:rsidR="009B7BF0" w:rsidRPr="00CE5093" w:rsidRDefault="00E30E4A" w:rsidP="007A72A3">
            <w:pPr>
              <w:pStyle w:val="TableHead"/>
              <w:keepNext w:val="0"/>
              <w:spacing w:before="40" w:after="40"/>
            </w:pPr>
            <w:r w:rsidRPr="00CE5093">
              <w:rPr>
                <w:bCs/>
              </w:rPr>
              <w:t>Projet de Recommandation UIT-T</w:t>
            </w:r>
            <w:r w:rsidR="009B7BF0" w:rsidRPr="00CE5093">
              <w:rPr>
                <w:bCs/>
              </w:rPr>
              <w:t xml:space="preserve"> </w:t>
            </w:r>
            <w:r w:rsidR="009B7BF0" w:rsidRPr="00CE5093">
              <w:t>E.164.2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7751DF36" w14:textId="77777777" w:rsidR="00344C2A" w:rsidRPr="00CE5093" w:rsidRDefault="00344C2A" w:rsidP="007A72A3">
            <w:pPr>
              <w:pStyle w:val="TableText"/>
              <w:spacing w:before="80"/>
              <w:ind w:left="567" w:hanging="567"/>
              <w:rPr>
                <w:szCs w:val="22"/>
              </w:rPr>
            </w:pPr>
            <w:r w:rsidRPr="00CE509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093">
              <w:rPr>
                <w:szCs w:val="22"/>
              </w:rPr>
              <w:instrText xml:space="preserve"> FORMCHECKBOX </w:instrText>
            </w:r>
            <w:r w:rsidR="00CD089B">
              <w:rPr>
                <w:szCs w:val="22"/>
              </w:rPr>
            </w:r>
            <w:r w:rsidR="00CD089B">
              <w:rPr>
                <w:szCs w:val="22"/>
              </w:rPr>
              <w:fldChar w:fldCharType="separate"/>
            </w:r>
            <w:r w:rsidRPr="00CE5093">
              <w:rPr>
                <w:szCs w:val="22"/>
              </w:rPr>
              <w:fldChar w:fldCharType="end"/>
            </w: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</w:r>
            <w:r w:rsidRPr="00CE5093">
              <w:rPr>
                <w:b/>
                <w:bCs/>
                <w:szCs w:val="22"/>
              </w:rPr>
              <w:t>autorise</w:t>
            </w:r>
            <w:r w:rsidRPr="00CE5093">
              <w:rPr>
                <w:szCs w:val="22"/>
              </w:rPr>
              <w:t xml:space="preserve"> la Commission d'études 2 à procéder à l'examen de ce document en vue de son approbation (dans ce cas, sélectionnez l'une des deux options ⃝):</w:t>
            </w:r>
          </w:p>
          <w:p w14:paraId="1AED06E4" w14:textId="77777777" w:rsidR="00344C2A" w:rsidRPr="00CE5093" w:rsidRDefault="00344C2A" w:rsidP="007A72A3">
            <w:pPr>
              <w:pStyle w:val="TableText"/>
              <w:rPr>
                <w:szCs w:val="22"/>
              </w:rPr>
            </w:pP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  <w:t>⃝</w:t>
            </w:r>
            <w:r w:rsidRPr="00CE5093">
              <w:rPr>
                <w:szCs w:val="22"/>
              </w:rPr>
              <w:tab/>
              <w:t>Pas de commentaire ou de proposition de modification</w:t>
            </w:r>
          </w:p>
          <w:p w14:paraId="10790C2D" w14:textId="122E1E71" w:rsidR="009B7BF0" w:rsidRPr="00CE5093" w:rsidRDefault="00344C2A" w:rsidP="007A72A3">
            <w:pPr>
              <w:pStyle w:val="TableText"/>
              <w:spacing w:after="80"/>
              <w:ind w:left="851" w:hanging="851"/>
              <w:rPr>
                <w:rFonts w:ascii="Calibri" w:hAnsi="Calibri"/>
                <w:szCs w:val="22"/>
              </w:rPr>
            </w:pP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  <w:t>⃝</w:t>
            </w:r>
            <w:r w:rsidRPr="00CE5093">
              <w:rPr>
                <w:szCs w:val="22"/>
              </w:rPr>
              <w:tab/>
              <w:t>Des commentaires ou propositions de modification sont joints à la présente</w:t>
            </w:r>
          </w:p>
        </w:tc>
      </w:tr>
      <w:tr w:rsidR="009B7BF0" w:rsidRPr="00CE5093" w14:paraId="7BDD53D4" w14:textId="77777777" w:rsidTr="00F550AF">
        <w:trPr>
          <w:trHeight w:val="748"/>
        </w:trPr>
        <w:tc>
          <w:tcPr>
            <w:tcW w:w="2137" w:type="dxa"/>
            <w:vMerge/>
            <w:shd w:val="clear" w:color="auto" w:fill="auto"/>
            <w:vAlign w:val="center"/>
          </w:tcPr>
          <w:p w14:paraId="51D57343" w14:textId="77777777" w:rsidR="009B7BF0" w:rsidRPr="00CE5093" w:rsidRDefault="009B7BF0" w:rsidP="007A72A3">
            <w:pPr>
              <w:pStyle w:val="TableHead"/>
              <w:keepNext w:val="0"/>
              <w:spacing w:before="40" w:after="40"/>
              <w:rPr>
                <w:bCs/>
              </w:rPr>
            </w:pPr>
          </w:p>
        </w:tc>
        <w:tc>
          <w:tcPr>
            <w:tcW w:w="7503" w:type="dxa"/>
            <w:shd w:val="clear" w:color="auto" w:fill="auto"/>
            <w:vAlign w:val="center"/>
          </w:tcPr>
          <w:p w14:paraId="04B3AC15" w14:textId="43AB53AD" w:rsidR="009B7BF0" w:rsidRPr="00CE5093" w:rsidRDefault="00344C2A" w:rsidP="007A72A3">
            <w:pPr>
              <w:pStyle w:val="TableText"/>
              <w:spacing w:before="80" w:after="80"/>
              <w:ind w:left="567" w:hanging="567"/>
              <w:rPr>
                <w:szCs w:val="22"/>
              </w:rPr>
            </w:pPr>
            <w:r w:rsidRPr="00CE509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093">
              <w:rPr>
                <w:szCs w:val="22"/>
              </w:rPr>
              <w:instrText xml:space="preserve"> FORMCHECKBOX </w:instrText>
            </w:r>
            <w:r w:rsidR="00CD089B">
              <w:rPr>
                <w:szCs w:val="22"/>
              </w:rPr>
            </w:r>
            <w:r w:rsidR="00CD089B">
              <w:rPr>
                <w:szCs w:val="22"/>
              </w:rPr>
              <w:fldChar w:fldCharType="separate"/>
            </w:r>
            <w:r w:rsidRPr="00CE5093">
              <w:rPr>
                <w:szCs w:val="22"/>
              </w:rPr>
              <w:fldChar w:fldCharType="end"/>
            </w: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</w:r>
            <w:r w:rsidRPr="00CE5093">
              <w:rPr>
                <w:b/>
                <w:bCs/>
                <w:szCs w:val="22"/>
              </w:rPr>
              <w:t>n'autorise pas</w:t>
            </w:r>
            <w:r w:rsidRPr="00CE5093">
              <w:rPr>
                <w:szCs w:val="22"/>
              </w:rPr>
              <w:t xml:space="preserve"> la Commission d'études 2 à procéder à l'examen de ce document en vue de son approbation (les motifs de cette décision et une description des éventuelles modifications qui permettraient la poursuite des travaux sont joints à la présente)</w:t>
            </w:r>
          </w:p>
        </w:tc>
      </w:tr>
      <w:tr w:rsidR="005C003E" w:rsidRPr="00CE5093" w14:paraId="01D6702C" w14:textId="77777777" w:rsidTr="00F550AF">
        <w:trPr>
          <w:trHeight w:val="748"/>
        </w:trPr>
        <w:tc>
          <w:tcPr>
            <w:tcW w:w="2137" w:type="dxa"/>
            <w:vMerge w:val="restart"/>
            <w:shd w:val="clear" w:color="auto" w:fill="auto"/>
            <w:vAlign w:val="center"/>
          </w:tcPr>
          <w:p w14:paraId="6399A7C9" w14:textId="7B9167C4" w:rsidR="005C003E" w:rsidRPr="00CE5093" w:rsidRDefault="009C7EA4" w:rsidP="00F550AF">
            <w:pPr>
              <w:pStyle w:val="TableHead"/>
              <w:spacing w:before="40" w:after="40"/>
            </w:pPr>
            <w:r w:rsidRPr="00CE5093">
              <w:lastRenderedPageBreak/>
              <w:t xml:space="preserve">Projet </w:t>
            </w:r>
            <w:r w:rsidR="00344C2A" w:rsidRPr="00CE5093">
              <w:t xml:space="preserve">d'amendement 2 à la </w:t>
            </w:r>
            <w:r w:rsidR="00AC44FD" w:rsidRPr="00CE5093">
              <w:t>Recommandation</w:t>
            </w:r>
            <w:r w:rsidRPr="00CE5093">
              <w:t xml:space="preserve"> </w:t>
            </w:r>
            <w:r w:rsidR="00AC44FD" w:rsidRPr="00CE5093">
              <w:t xml:space="preserve">UIT-T </w:t>
            </w:r>
            <w:r w:rsidR="00BC7095" w:rsidRPr="00CE5093">
              <w:t>E.212 (2016)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18C6B612" w14:textId="7D1CDC97" w:rsidR="005C003E" w:rsidRPr="00CE5093" w:rsidRDefault="005C003E" w:rsidP="007A72A3">
            <w:pPr>
              <w:pStyle w:val="TableText"/>
              <w:spacing w:before="80"/>
              <w:ind w:left="567" w:hanging="567"/>
              <w:rPr>
                <w:szCs w:val="22"/>
              </w:rPr>
            </w:pPr>
            <w:r w:rsidRPr="00CE509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093">
              <w:rPr>
                <w:szCs w:val="22"/>
              </w:rPr>
              <w:instrText xml:space="preserve"> FORMCHECKBOX </w:instrText>
            </w:r>
            <w:r w:rsidR="00CD089B">
              <w:rPr>
                <w:szCs w:val="22"/>
              </w:rPr>
            </w:r>
            <w:r w:rsidR="00CD089B">
              <w:rPr>
                <w:szCs w:val="22"/>
              </w:rPr>
              <w:fldChar w:fldCharType="separate"/>
            </w:r>
            <w:r w:rsidRPr="00CE5093">
              <w:rPr>
                <w:szCs w:val="22"/>
              </w:rPr>
              <w:fldChar w:fldCharType="end"/>
            </w: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</w:r>
            <w:r w:rsidRPr="00CE5093">
              <w:rPr>
                <w:b/>
                <w:bCs/>
                <w:szCs w:val="22"/>
              </w:rPr>
              <w:t>autorise</w:t>
            </w:r>
            <w:r w:rsidRPr="00CE5093">
              <w:rPr>
                <w:szCs w:val="22"/>
              </w:rPr>
              <w:t xml:space="preserve"> la Commission d'études </w:t>
            </w:r>
            <w:r w:rsidR="00993CC0" w:rsidRPr="00CE5093">
              <w:rPr>
                <w:szCs w:val="22"/>
              </w:rPr>
              <w:t>2</w:t>
            </w:r>
            <w:r w:rsidRPr="00CE5093">
              <w:rPr>
                <w:szCs w:val="22"/>
              </w:rPr>
              <w:t xml:space="preserve"> à procéder à l'examen de ce document en vue de son approbation (dans ce cas, sélectionnez l'une des deux options ⃝):</w:t>
            </w:r>
          </w:p>
          <w:p w14:paraId="1A43812C" w14:textId="5C9C54DE" w:rsidR="005C003E" w:rsidRPr="00CE5093" w:rsidRDefault="00993CC0" w:rsidP="00F550AF">
            <w:pPr>
              <w:pStyle w:val="TableText"/>
              <w:rPr>
                <w:szCs w:val="22"/>
              </w:rPr>
            </w:pP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  <w:t>⃝</w:t>
            </w:r>
            <w:r w:rsidRPr="00CE5093">
              <w:rPr>
                <w:szCs w:val="22"/>
              </w:rPr>
              <w:tab/>
            </w:r>
            <w:r w:rsidR="005C003E" w:rsidRPr="00CE5093">
              <w:rPr>
                <w:szCs w:val="22"/>
              </w:rPr>
              <w:t>Pas de commentaire ou de proposition de modification</w:t>
            </w:r>
          </w:p>
          <w:p w14:paraId="2ABF240A" w14:textId="77777777" w:rsidR="005C003E" w:rsidRPr="00CE5093" w:rsidRDefault="005C003E" w:rsidP="007A72A3">
            <w:pPr>
              <w:pStyle w:val="TableText"/>
              <w:spacing w:after="80"/>
              <w:ind w:left="851" w:hanging="851"/>
              <w:rPr>
                <w:szCs w:val="22"/>
              </w:rPr>
            </w:pP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  <w:t>⃝</w:t>
            </w:r>
            <w:r w:rsidRPr="00CE5093">
              <w:rPr>
                <w:szCs w:val="22"/>
              </w:rPr>
              <w:tab/>
              <w:t>Des commentaires ou propositions de modification sont joints à la présente</w:t>
            </w:r>
          </w:p>
        </w:tc>
      </w:tr>
      <w:tr w:rsidR="005C003E" w:rsidRPr="00CE5093" w14:paraId="425A4544" w14:textId="77777777" w:rsidTr="00F550AF">
        <w:trPr>
          <w:trHeight w:val="747"/>
        </w:trPr>
        <w:tc>
          <w:tcPr>
            <w:tcW w:w="2137" w:type="dxa"/>
            <w:vMerge/>
            <w:shd w:val="clear" w:color="auto" w:fill="auto"/>
            <w:vAlign w:val="center"/>
          </w:tcPr>
          <w:p w14:paraId="1A9A07FA" w14:textId="77777777" w:rsidR="005C003E" w:rsidRPr="00CE5093" w:rsidRDefault="005C003E" w:rsidP="00F550AF">
            <w:pPr>
              <w:spacing w:before="40" w:after="4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03" w:type="dxa"/>
            <w:shd w:val="clear" w:color="auto" w:fill="auto"/>
            <w:vAlign w:val="center"/>
          </w:tcPr>
          <w:p w14:paraId="2230B9F2" w14:textId="41724535" w:rsidR="005C003E" w:rsidRPr="00CE5093" w:rsidRDefault="005C003E" w:rsidP="007A72A3">
            <w:pPr>
              <w:pStyle w:val="TableText"/>
              <w:spacing w:before="80" w:after="80"/>
              <w:ind w:left="567" w:hanging="567"/>
              <w:rPr>
                <w:szCs w:val="22"/>
              </w:rPr>
            </w:pPr>
            <w:r w:rsidRPr="00CE509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093">
              <w:rPr>
                <w:szCs w:val="22"/>
              </w:rPr>
              <w:instrText xml:space="preserve"> FORMCHECKBOX </w:instrText>
            </w:r>
            <w:r w:rsidR="00CD089B">
              <w:rPr>
                <w:szCs w:val="22"/>
              </w:rPr>
            </w:r>
            <w:r w:rsidR="00CD089B">
              <w:rPr>
                <w:szCs w:val="22"/>
              </w:rPr>
              <w:fldChar w:fldCharType="separate"/>
            </w:r>
            <w:r w:rsidRPr="00CE5093">
              <w:rPr>
                <w:szCs w:val="22"/>
              </w:rPr>
              <w:fldChar w:fldCharType="end"/>
            </w: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</w:r>
            <w:r w:rsidRPr="00CE5093">
              <w:rPr>
                <w:b/>
                <w:bCs/>
                <w:szCs w:val="22"/>
              </w:rPr>
              <w:t>n'autorise pas</w:t>
            </w:r>
            <w:r w:rsidRPr="00CE5093">
              <w:rPr>
                <w:szCs w:val="22"/>
              </w:rPr>
              <w:t xml:space="preserve"> la Commission d'études </w:t>
            </w:r>
            <w:r w:rsidR="00993CC0" w:rsidRPr="00CE5093">
              <w:rPr>
                <w:szCs w:val="22"/>
              </w:rPr>
              <w:t xml:space="preserve">2 </w:t>
            </w:r>
            <w:r w:rsidRPr="00CE5093">
              <w:rPr>
                <w:szCs w:val="22"/>
              </w:rPr>
              <w:t>à procéder à l'examen de ce document en vue de son approbation (les motifs de cette décision et une description des éventuelles modifications qui permettraient la poursuite des travaux sont joints à la présente)</w:t>
            </w:r>
          </w:p>
        </w:tc>
      </w:tr>
      <w:tr w:rsidR="00D5002D" w:rsidRPr="00CE5093" w14:paraId="42B16AF2" w14:textId="77777777" w:rsidTr="00F550AF">
        <w:trPr>
          <w:trHeight w:val="747"/>
        </w:trPr>
        <w:tc>
          <w:tcPr>
            <w:tcW w:w="2137" w:type="dxa"/>
            <w:vMerge w:val="restart"/>
            <w:shd w:val="clear" w:color="auto" w:fill="auto"/>
            <w:vAlign w:val="center"/>
          </w:tcPr>
          <w:p w14:paraId="0C4648BB" w14:textId="1FFA26B4" w:rsidR="00D5002D" w:rsidRPr="00CE5093" w:rsidRDefault="00D5002D" w:rsidP="00F550AF">
            <w:pPr>
              <w:keepNext/>
              <w:keepLines/>
              <w:spacing w:before="60" w:after="60"/>
              <w:jc w:val="center"/>
              <w:rPr>
                <w:b/>
                <w:sz w:val="22"/>
              </w:rPr>
            </w:pPr>
            <w:r w:rsidRPr="00CE5093">
              <w:rPr>
                <w:b/>
                <w:sz w:val="22"/>
              </w:rPr>
              <w:t xml:space="preserve">Projet </w:t>
            </w:r>
            <w:r w:rsidR="00B96671" w:rsidRPr="00CE5093">
              <w:rPr>
                <w:b/>
                <w:sz w:val="22"/>
              </w:rPr>
              <w:t>d'amendement 1 à la</w:t>
            </w:r>
            <w:r w:rsidRPr="00CE5093">
              <w:rPr>
                <w:b/>
                <w:sz w:val="22"/>
              </w:rPr>
              <w:t xml:space="preserve"> Recommandation </w:t>
            </w:r>
            <w:r w:rsidR="00A126AC" w:rsidRPr="00CE5093">
              <w:rPr>
                <w:b/>
                <w:sz w:val="22"/>
              </w:rPr>
              <w:t xml:space="preserve">UIT-T </w:t>
            </w:r>
            <w:r w:rsidR="00993CC0" w:rsidRPr="00CE5093">
              <w:rPr>
                <w:b/>
                <w:sz w:val="22"/>
              </w:rPr>
              <w:t>E.218 (2004)</w:t>
            </w:r>
          </w:p>
        </w:tc>
        <w:tc>
          <w:tcPr>
            <w:tcW w:w="7503" w:type="dxa"/>
            <w:shd w:val="clear" w:color="auto" w:fill="auto"/>
            <w:vAlign w:val="center"/>
          </w:tcPr>
          <w:p w14:paraId="3548A801" w14:textId="7A39E9E4" w:rsidR="00D5002D" w:rsidRPr="00CE5093" w:rsidRDefault="00D5002D" w:rsidP="007A72A3">
            <w:pPr>
              <w:pStyle w:val="TableText"/>
              <w:spacing w:before="80"/>
              <w:ind w:left="567" w:hanging="567"/>
              <w:rPr>
                <w:szCs w:val="22"/>
              </w:rPr>
            </w:pPr>
            <w:r w:rsidRPr="00CE509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093">
              <w:rPr>
                <w:szCs w:val="22"/>
              </w:rPr>
              <w:instrText xml:space="preserve"> FORMCHECKBOX </w:instrText>
            </w:r>
            <w:r w:rsidR="00CD089B">
              <w:rPr>
                <w:szCs w:val="22"/>
              </w:rPr>
            </w:r>
            <w:r w:rsidR="00CD089B">
              <w:rPr>
                <w:szCs w:val="22"/>
              </w:rPr>
              <w:fldChar w:fldCharType="separate"/>
            </w:r>
            <w:r w:rsidRPr="00CE5093">
              <w:rPr>
                <w:szCs w:val="22"/>
              </w:rPr>
              <w:fldChar w:fldCharType="end"/>
            </w: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</w:r>
            <w:r w:rsidRPr="00CE5093">
              <w:rPr>
                <w:b/>
                <w:bCs/>
                <w:szCs w:val="22"/>
              </w:rPr>
              <w:t>autorise</w:t>
            </w:r>
            <w:r w:rsidRPr="00CE5093">
              <w:rPr>
                <w:szCs w:val="22"/>
              </w:rPr>
              <w:t xml:space="preserve"> la Commission d'études </w:t>
            </w:r>
            <w:r w:rsidR="00993CC0" w:rsidRPr="00CE5093">
              <w:rPr>
                <w:szCs w:val="22"/>
              </w:rPr>
              <w:t>2</w:t>
            </w:r>
            <w:r w:rsidRPr="00CE5093">
              <w:rPr>
                <w:szCs w:val="22"/>
              </w:rPr>
              <w:t xml:space="preserve"> à procéder à l'examen de ce document en vue de son approbation (dans ce cas, sélectionnez l'une des deux options ⃝):</w:t>
            </w:r>
          </w:p>
          <w:p w14:paraId="3F61F9D1" w14:textId="77777777" w:rsidR="00D5002D" w:rsidRPr="00CE5093" w:rsidRDefault="00D5002D" w:rsidP="00F550AF">
            <w:pPr>
              <w:pStyle w:val="TableText"/>
              <w:rPr>
                <w:szCs w:val="22"/>
              </w:rPr>
            </w:pP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  <w:t>⃝</w:t>
            </w:r>
            <w:r w:rsidRPr="00CE5093">
              <w:rPr>
                <w:szCs w:val="22"/>
              </w:rPr>
              <w:tab/>
              <w:t>Pas de commentaire ou de proposition de modification</w:t>
            </w:r>
          </w:p>
          <w:p w14:paraId="7F60E155" w14:textId="2CB99D65" w:rsidR="00D5002D" w:rsidRPr="00CE5093" w:rsidRDefault="00D5002D" w:rsidP="007A72A3">
            <w:pPr>
              <w:pStyle w:val="TableText"/>
              <w:spacing w:before="120" w:after="80"/>
              <w:ind w:left="851" w:hanging="851"/>
              <w:rPr>
                <w:szCs w:val="22"/>
              </w:rPr>
            </w:pP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  <w:t>⃝</w:t>
            </w:r>
            <w:r w:rsidRPr="00CE5093">
              <w:rPr>
                <w:szCs w:val="22"/>
              </w:rPr>
              <w:tab/>
              <w:t>Des commentaires ou propositions de modification sont joints à la présente</w:t>
            </w:r>
          </w:p>
        </w:tc>
      </w:tr>
      <w:tr w:rsidR="00D5002D" w:rsidRPr="00CE5093" w14:paraId="6683F7AA" w14:textId="77777777" w:rsidTr="00F550AF">
        <w:trPr>
          <w:trHeight w:val="747"/>
        </w:trPr>
        <w:tc>
          <w:tcPr>
            <w:tcW w:w="2137" w:type="dxa"/>
            <w:vMerge/>
            <w:shd w:val="clear" w:color="auto" w:fill="auto"/>
            <w:vAlign w:val="center"/>
          </w:tcPr>
          <w:p w14:paraId="5888664D" w14:textId="77777777" w:rsidR="00D5002D" w:rsidRPr="00CE5093" w:rsidRDefault="00D5002D" w:rsidP="00F550AF">
            <w:pPr>
              <w:spacing w:before="40" w:after="40"/>
              <w:jc w:val="center"/>
            </w:pPr>
          </w:p>
        </w:tc>
        <w:tc>
          <w:tcPr>
            <w:tcW w:w="7503" w:type="dxa"/>
            <w:shd w:val="clear" w:color="auto" w:fill="auto"/>
            <w:vAlign w:val="center"/>
          </w:tcPr>
          <w:p w14:paraId="03C98F1D" w14:textId="5E0A350B" w:rsidR="00D5002D" w:rsidRPr="00CE5093" w:rsidRDefault="00D5002D" w:rsidP="007A72A3">
            <w:pPr>
              <w:pStyle w:val="TableText"/>
              <w:spacing w:before="80" w:after="80"/>
              <w:ind w:left="567" w:hanging="567"/>
              <w:rPr>
                <w:szCs w:val="22"/>
              </w:rPr>
            </w:pPr>
            <w:r w:rsidRPr="00CE509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093">
              <w:rPr>
                <w:szCs w:val="22"/>
              </w:rPr>
              <w:instrText xml:space="preserve"> FORMCHECKBOX </w:instrText>
            </w:r>
            <w:r w:rsidR="00CD089B">
              <w:rPr>
                <w:szCs w:val="22"/>
              </w:rPr>
            </w:r>
            <w:r w:rsidR="00CD089B">
              <w:rPr>
                <w:szCs w:val="22"/>
              </w:rPr>
              <w:fldChar w:fldCharType="separate"/>
            </w:r>
            <w:r w:rsidRPr="00CE5093">
              <w:rPr>
                <w:szCs w:val="22"/>
              </w:rPr>
              <w:fldChar w:fldCharType="end"/>
            </w: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</w:r>
            <w:r w:rsidRPr="00CE5093">
              <w:rPr>
                <w:b/>
                <w:bCs/>
                <w:szCs w:val="22"/>
              </w:rPr>
              <w:t>n'autorise pas</w:t>
            </w:r>
            <w:r w:rsidRPr="00CE5093">
              <w:rPr>
                <w:szCs w:val="22"/>
              </w:rPr>
              <w:t xml:space="preserve"> la Commission d'études </w:t>
            </w:r>
            <w:r w:rsidR="00993CC0" w:rsidRPr="00CE5093">
              <w:rPr>
                <w:szCs w:val="22"/>
              </w:rPr>
              <w:t>2</w:t>
            </w:r>
            <w:r w:rsidRPr="00CE5093">
              <w:rPr>
                <w:szCs w:val="22"/>
              </w:rPr>
              <w:t xml:space="preserve"> à procéder à l'examen de ce document en vue de son approbation (les motifs de cette décision et une description des éventuelles modifications qui permettraient la poursuite des travaux sont joints à la présente)</w:t>
            </w:r>
          </w:p>
        </w:tc>
      </w:tr>
      <w:tr w:rsidR="00993CC0" w:rsidRPr="00CE5093" w14:paraId="5D4842E4" w14:textId="77777777" w:rsidTr="00F550AF">
        <w:trPr>
          <w:trHeight w:val="747"/>
        </w:trPr>
        <w:tc>
          <w:tcPr>
            <w:tcW w:w="2137" w:type="dxa"/>
            <w:vMerge w:val="restart"/>
            <w:shd w:val="clear" w:color="auto" w:fill="auto"/>
            <w:vAlign w:val="center"/>
          </w:tcPr>
          <w:p w14:paraId="409C8465" w14:textId="6DD58395" w:rsidR="00993CC0" w:rsidRPr="00CE5093" w:rsidRDefault="0010275B" w:rsidP="00F550AF">
            <w:pPr>
              <w:keepNext/>
              <w:keepLines/>
              <w:spacing w:before="60" w:after="60"/>
              <w:jc w:val="center"/>
            </w:pPr>
            <w:r w:rsidRPr="00CE5093">
              <w:rPr>
                <w:b/>
                <w:sz w:val="22"/>
              </w:rPr>
              <w:t>Projet de Recommandation</w:t>
            </w:r>
            <w:r w:rsidR="00BD6130" w:rsidRPr="00CE5093">
              <w:rPr>
                <w:b/>
                <w:sz w:val="22"/>
              </w:rPr>
              <w:t xml:space="preserve"> UIT-T</w:t>
            </w:r>
            <w:r w:rsidR="00993CC0" w:rsidRPr="00CE5093">
              <w:rPr>
                <w:b/>
                <w:sz w:val="22"/>
              </w:rPr>
              <w:t xml:space="preserve"> M.3362</w:t>
            </w:r>
            <w:r w:rsidR="00993CC0" w:rsidRPr="00CE5093">
              <w:rPr>
                <w:b/>
                <w:sz w:val="22"/>
              </w:rPr>
              <w:br/>
              <w:t>(ex Mrtafm)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9F5F" w14:textId="77777777" w:rsidR="000C5383" w:rsidRPr="00CE5093" w:rsidRDefault="000C5383" w:rsidP="007A72A3">
            <w:pPr>
              <w:pStyle w:val="TableText"/>
              <w:spacing w:before="80"/>
              <w:ind w:left="567" w:hanging="567"/>
              <w:rPr>
                <w:szCs w:val="22"/>
              </w:rPr>
            </w:pPr>
            <w:r w:rsidRPr="00CE509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093">
              <w:rPr>
                <w:szCs w:val="22"/>
              </w:rPr>
              <w:instrText xml:space="preserve"> FORMCHECKBOX </w:instrText>
            </w:r>
            <w:r w:rsidR="00CD089B">
              <w:rPr>
                <w:szCs w:val="22"/>
              </w:rPr>
            </w:r>
            <w:r w:rsidR="00CD089B">
              <w:rPr>
                <w:szCs w:val="22"/>
              </w:rPr>
              <w:fldChar w:fldCharType="separate"/>
            </w:r>
            <w:r w:rsidRPr="00CE5093">
              <w:rPr>
                <w:szCs w:val="22"/>
              </w:rPr>
              <w:fldChar w:fldCharType="end"/>
            </w: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</w:r>
            <w:r w:rsidRPr="00CE5093">
              <w:rPr>
                <w:b/>
                <w:bCs/>
                <w:szCs w:val="22"/>
              </w:rPr>
              <w:t>autorise</w:t>
            </w:r>
            <w:r w:rsidRPr="00CE5093">
              <w:rPr>
                <w:szCs w:val="22"/>
              </w:rPr>
              <w:t xml:space="preserve"> la Commission d'études 2 à procéder à l'examen de ce document en vue de son approbation (dans ce cas, sélectionnez l'une des deux options ⃝):</w:t>
            </w:r>
          </w:p>
          <w:p w14:paraId="5B53E770" w14:textId="77777777" w:rsidR="000C5383" w:rsidRPr="00CE5093" w:rsidRDefault="000C5383" w:rsidP="00F550AF">
            <w:pPr>
              <w:pStyle w:val="TableText"/>
              <w:rPr>
                <w:szCs w:val="22"/>
              </w:rPr>
            </w:pP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  <w:t>⃝</w:t>
            </w:r>
            <w:r w:rsidRPr="00CE5093">
              <w:rPr>
                <w:szCs w:val="22"/>
              </w:rPr>
              <w:tab/>
              <w:t>Pas de commentaire ou de proposition de modification</w:t>
            </w:r>
          </w:p>
          <w:p w14:paraId="4F8FDE19" w14:textId="3CE28B0E" w:rsidR="00993CC0" w:rsidRPr="00CE5093" w:rsidRDefault="000C5383" w:rsidP="007A72A3">
            <w:pPr>
              <w:pStyle w:val="TableText"/>
              <w:spacing w:after="80"/>
              <w:ind w:left="851" w:hanging="851"/>
              <w:rPr>
                <w:szCs w:val="22"/>
              </w:rPr>
            </w:pP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  <w:t>⃝</w:t>
            </w:r>
            <w:r w:rsidRPr="00CE5093">
              <w:rPr>
                <w:szCs w:val="22"/>
              </w:rPr>
              <w:tab/>
              <w:t>Des commentaires ou propositions de modification sont joints à la présente</w:t>
            </w:r>
          </w:p>
        </w:tc>
      </w:tr>
      <w:tr w:rsidR="00993CC0" w:rsidRPr="00CE5093" w14:paraId="0C3CB1E2" w14:textId="77777777" w:rsidTr="004F7A46">
        <w:trPr>
          <w:trHeight w:val="747"/>
        </w:trPr>
        <w:tc>
          <w:tcPr>
            <w:tcW w:w="2137" w:type="dxa"/>
            <w:vMerge/>
            <w:shd w:val="clear" w:color="auto" w:fill="auto"/>
            <w:vAlign w:val="center"/>
          </w:tcPr>
          <w:p w14:paraId="62E17403" w14:textId="77777777" w:rsidR="00993CC0" w:rsidRPr="00CE5093" w:rsidRDefault="00993CC0" w:rsidP="00F550AF">
            <w:pPr>
              <w:spacing w:before="40" w:after="40"/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8023" w14:textId="3DDF67BC" w:rsidR="00993CC0" w:rsidRPr="00CE5093" w:rsidRDefault="000C5383" w:rsidP="007A72A3">
            <w:pPr>
              <w:pStyle w:val="TableText"/>
              <w:spacing w:before="80" w:after="80"/>
              <w:ind w:left="567" w:hanging="567"/>
              <w:rPr>
                <w:szCs w:val="22"/>
              </w:rPr>
            </w:pPr>
            <w:r w:rsidRPr="00CE5093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093">
              <w:rPr>
                <w:szCs w:val="22"/>
              </w:rPr>
              <w:instrText xml:space="preserve"> FORMCHECKBOX </w:instrText>
            </w:r>
            <w:r w:rsidR="00CD089B">
              <w:rPr>
                <w:szCs w:val="22"/>
              </w:rPr>
            </w:r>
            <w:r w:rsidR="00CD089B">
              <w:rPr>
                <w:szCs w:val="22"/>
              </w:rPr>
              <w:fldChar w:fldCharType="separate"/>
            </w:r>
            <w:r w:rsidRPr="00CE5093">
              <w:rPr>
                <w:szCs w:val="22"/>
              </w:rPr>
              <w:fldChar w:fldCharType="end"/>
            </w:r>
            <w:r w:rsidRPr="00CE5093">
              <w:rPr>
                <w:szCs w:val="22"/>
              </w:rPr>
              <w:tab/>
            </w:r>
            <w:r w:rsidRPr="00CE5093">
              <w:rPr>
                <w:szCs w:val="22"/>
              </w:rPr>
              <w:tab/>
            </w:r>
            <w:r w:rsidRPr="00CE5093">
              <w:rPr>
                <w:b/>
                <w:bCs/>
                <w:szCs w:val="22"/>
              </w:rPr>
              <w:t>n'autorise pas</w:t>
            </w:r>
            <w:r w:rsidRPr="00CE5093">
              <w:rPr>
                <w:szCs w:val="22"/>
              </w:rPr>
              <w:t xml:space="preserve"> la Commission d'études 2 à procéder à l'examen de ce document en vue de son approbation (les motifs de cette décision et une description des éventuelles modifications qui permettraient la poursuite des travaux sont joints à la présente)</w:t>
            </w:r>
          </w:p>
        </w:tc>
      </w:tr>
    </w:tbl>
    <w:p w14:paraId="1C201F11" w14:textId="77777777" w:rsidR="005C003E" w:rsidRPr="00CE5093" w:rsidRDefault="005C003E" w:rsidP="007A72A3">
      <w:pPr>
        <w:keepNext/>
        <w:keepLines/>
        <w:spacing w:before="360"/>
      </w:pPr>
      <w:r w:rsidRPr="00CE5093">
        <w:t>Veuillez agréer, Madame, Monsieur, l'assurance de ma considération distinguée.</w:t>
      </w:r>
    </w:p>
    <w:p w14:paraId="17548F18" w14:textId="633DB23A" w:rsidR="00036F4F" w:rsidRDefault="005C003E" w:rsidP="00F550AF">
      <w:pPr>
        <w:keepNext/>
        <w:keepLines/>
        <w:spacing w:before="840"/>
      </w:pPr>
      <w:r w:rsidRPr="00CE5093">
        <w:rPr>
          <w:szCs w:val="24"/>
          <w:highlight w:val="green"/>
        </w:rPr>
        <w:t>[Nom]</w:t>
      </w:r>
      <w:r w:rsidRPr="00CE5093">
        <w:rPr>
          <w:szCs w:val="24"/>
          <w:highlight w:val="green"/>
        </w:rPr>
        <w:br/>
        <w:t>[Rôle/titre officiel]</w:t>
      </w:r>
      <w:r w:rsidRPr="00CE5093">
        <w:rPr>
          <w:szCs w:val="24"/>
        </w:rPr>
        <w:br/>
      </w:r>
      <w:r w:rsidRPr="00CE5093">
        <w:t xml:space="preserve">Administration de </w:t>
      </w:r>
      <w:r w:rsidRPr="00CE5093">
        <w:rPr>
          <w:highlight w:val="green"/>
        </w:rPr>
        <w:t>[</w:t>
      </w:r>
      <w:r w:rsidR="00923755" w:rsidRPr="00CE5093">
        <w:rPr>
          <w:highlight w:val="green"/>
        </w:rPr>
        <w:t>État</w:t>
      </w:r>
      <w:r w:rsidRPr="00CE5093">
        <w:rPr>
          <w:highlight w:val="green"/>
        </w:rPr>
        <w:t xml:space="preserve"> Membre]</w:t>
      </w:r>
    </w:p>
    <w:p w14:paraId="50EB43E5" w14:textId="77777777" w:rsidR="007A72A3" w:rsidRPr="00CE5093" w:rsidRDefault="007A72A3" w:rsidP="007A72A3"/>
    <w:p w14:paraId="588BA3DA" w14:textId="77777777" w:rsidR="00FC0C45" w:rsidRPr="00CE5093" w:rsidRDefault="00FC0C45" w:rsidP="00F550AF">
      <w:pPr>
        <w:jc w:val="center"/>
      </w:pPr>
      <w:r w:rsidRPr="00CE5093">
        <w:t>______________</w:t>
      </w:r>
    </w:p>
    <w:sectPr w:rsidR="00FC0C45" w:rsidRPr="00CE5093" w:rsidSect="00A15179">
      <w:headerReference w:type="default" r:id="rId18"/>
      <w:footerReference w:type="first" r:id="rId19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B6042" w14:textId="77777777" w:rsidR="005C003E" w:rsidRDefault="005C003E">
      <w:r>
        <w:separator/>
      </w:r>
    </w:p>
  </w:endnote>
  <w:endnote w:type="continuationSeparator" w:id="0">
    <w:p w14:paraId="598A9FAA" w14:textId="77777777" w:rsidR="005C003E" w:rsidRDefault="005C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44E9E" w14:textId="77777777" w:rsidR="005120A2" w:rsidRPr="00F632E9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B46FE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FB46FE">
      <w:rPr>
        <w:color w:val="0070C0"/>
        <w:sz w:val="18"/>
        <w:szCs w:val="18"/>
        <w:lang w:val="fr-CH"/>
      </w:rPr>
      <w:t xml:space="preserve"> •</w:t>
    </w:r>
    <w:r w:rsidRPr="00FB46FE">
      <w:rPr>
        <w:color w:val="0070C0"/>
        <w:sz w:val="18"/>
        <w:szCs w:val="18"/>
        <w:lang w:val="fr-CH"/>
      </w:rPr>
      <w:t xml:space="preserve"> CH</w:t>
    </w:r>
    <w:r w:rsidRPr="00FB46FE">
      <w:rPr>
        <w:color w:val="0070C0"/>
        <w:sz w:val="18"/>
        <w:szCs w:val="18"/>
        <w:lang w:val="fr-CH"/>
      </w:rPr>
      <w:noBreakHyphen/>
      <w:t>1211 Genève 20</w:t>
    </w:r>
    <w:r w:rsidR="00085F5A" w:rsidRPr="00FB46FE">
      <w:rPr>
        <w:color w:val="0070C0"/>
        <w:sz w:val="18"/>
        <w:szCs w:val="18"/>
        <w:lang w:val="fr-CH"/>
      </w:rPr>
      <w:t xml:space="preserve"> •</w:t>
    </w:r>
    <w:r w:rsidRPr="00FB46FE">
      <w:rPr>
        <w:color w:val="0070C0"/>
        <w:sz w:val="18"/>
        <w:szCs w:val="18"/>
        <w:lang w:val="fr-CH"/>
      </w:rPr>
      <w:t xml:space="preserve"> Suisse </w:t>
    </w:r>
    <w:r w:rsidRPr="00FB46FE">
      <w:rPr>
        <w:color w:val="0070C0"/>
        <w:sz w:val="18"/>
        <w:szCs w:val="18"/>
        <w:lang w:val="fr-CH"/>
      </w:rPr>
      <w:br/>
      <w:t>Tél</w:t>
    </w:r>
    <w:r w:rsidR="00085F5A" w:rsidRPr="00FB46FE">
      <w:rPr>
        <w:color w:val="0070C0"/>
        <w:sz w:val="18"/>
        <w:szCs w:val="18"/>
        <w:lang w:val="fr-CH"/>
      </w:rPr>
      <w:t>.</w:t>
    </w:r>
    <w:r w:rsidRPr="00FB46FE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FB46FE">
      <w:rPr>
        <w:color w:val="0070C0"/>
        <w:sz w:val="18"/>
        <w:szCs w:val="18"/>
        <w:lang w:val="fr-CH"/>
      </w:rPr>
      <w:t>Courriel</w:t>
    </w:r>
    <w:r w:rsidRPr="00FB46FE">
      <w:rPr>
        <w:color w:val="0070C0"/>
        <w:sz w:val="18"/>
        <w:szCs w:val="18"/>
        <w:lang w:val="fr-CH"/>
      </w:rPr>
      <w:t xml:space="preserve">: </w:t>
    </w:r>
    <w:hyperlink r:id="rId1" w:history="1">
      <w:r w:rsidRPr="00FB46FE">
        <w:rPr>
          <w:rStyle w:val="Hyperlink"/>
          <w:color w:val="0070C0"/>
          <w:sz w:val="18"/>
          <w:szCs w:val="18"/>
        </w:rPr>
        <w:t>itumail@itu.int</w:t>
      </w:r>
    </w:hyperlink>
    <w:r w:rsidRPr="00FB46FE">
      <w:rPr>
        <w:color w:val="0070C0"/>
        <w:sz w:val="18"/>
        <w:szCs w:val="18"/>
        <w:lang w:val="fr-CH"/>
      </w:rPr>
      <w:t xml:space="preserve"> • </w:t>
    </w:r>
    <w:hyperlink r:id="rId2" w:history="1">
      <w:r w:rsidRPr="00FB46FE">
        <w:rPr>
          <w:rStyle w:val="Hyperlink"/>
          <w:color w:val="0070C0"/>
          <w:sz w:val="18"/>
          <w:szCs w:val="18"/>
        </w:rPr>
        <w:t>www.itu.int</w:t>
      </w:r>
    </w:hyperlink>
    <w:r w:rsidRPr="00FB46FE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5F410" w14:textId="77777777" w:rsidR="005C003E" w:rsidRDefault="005C003E">
      <w:r>
        <w:t>____________________</w:t>
      </w:r>
    </w:p>
  </w:footnote>
  <w:footnote w:type="continuationSeparator" w:id="0">
    <w:p w14:paraId="5D062A18" w14:textId="77777777" w:rsidR="005C003E" w:rsidRDefault="005C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BACB3" w14:textId="6C3AA35B" w:rsidR="00697BC1" w:rsidRPr="00697BC1" w:rsidRDefault="00CD089B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>
          <w:rPr>
            <w:noProof/>
            <w:sz w:val="18"/>
            <w:szCs w:val="16"/>
          </w:rPr>
          <w:t>6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B15A1D">
      <w:rPr>
        <w:noProof/>
        <w:sz w:val="18"/>
        <w:szCs w:val="16"/>
      </w:rPr>
      <w:br/>
      <w:t xml:space="preserve">Circulaire TSB </w:t>
    </w:r>
    <w:r w:rsidR="00667A9B">
      <w:rPr>
        <w:noProof/>
        <w:sz w:val="18"/>
        <w:szCs w:val="16"/>
      </w:rPr>
      <w:t>2</w:t>
    </w:r>
    <w:r w:rsidR="00D42E48">
      <w:rPr>
        <w:noProof/>
        <w:sz w:val="18"/>
        <w:szCs w:val="16"/>
      </w:rPr>
      <w:t>2</w:t>
    </w:r>
    <w:r w:rsidR="00667A9B">
      <w:rPr>
        <w:noProof/>
        <w:sz w:val="18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6AF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2C68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083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482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E5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0AD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C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60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F61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4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3E"/>
    <w:rsid w:val="000039EE"/>
    <w:rsid w:val="00005622"/>
    <w:rsid w:val="000070B3"/>
    <w:rsid w:val="00011A30"/>
    <w:rsid w:val="000168E9"/>
    <w:rsid w:val="000203E4"/>
    <w:rsid w:val="0002519E"/>
    <w:rsid w:val="00030D94"/>
    <w:rsid w:val="00035B43"/>
    <w:rsid w:val="00035CDD"/>
    <w:rsid w:val="00036F4F"/>
    <w:rsid w:val="000529BD"/>
    <w:rsid w:val="0006119A"/>
    <w:rsid w:val="000726A1"/>
    <w:rsid w:val="00073FC6"/>
    <w:rsid w:val="000758B3"/>
    <w:rsid w:val="00085F5A"/>
    <w:rsid w:val="000A1B93"/>
    <w:rsid w:val="000B0D96"/>
    <w:rsid w:val="000B59D8"/>
    <w:rsid w:val="000C1F6B"/>
    <w:rsid w:val="000C25CC"/>
    <w:rsid w:val="000C5383"/>
    <w:rsid w:val="000C56BE"/>
    <w:rsid w:val="000D2A6D"/>
    <w:rsid w:val="000E1C2E"/>
    <w:rsid w:val="001026FD"/>
    <w:rsid w:val="0010275B"/>
    <w:rsid w:val="001077FD"/>
    <w:rsid w:val="0011415C"/>
    <w:rsid w:val="00115DD7"/>
    <w:rsid w:val="0012668A"/>
    <w:rsid w:val="001312BC"/>
    <w:rsid w:val="00141CCA"/>
    <w:rsid w:val="001430D3"/>
    <w:rsid w:val="0015606F"/>
    <w:rsid w:val="00167472"/>
    <w:rsid w:val="00167F92"/>
    <w:rsid w:val="0017071F"/>
    <w:rsid w:val="00173738"/>
    <w:rsid w:val="00190D0B"/>
    <w:rsid w:val="001A70C7"/>
    <w:rsid w:val="001B42A3"/>
    <w:rsid w:val="001B79A3"/>
    <w:rsid w:val="001C05D1"/>
    <w:rsid w:val="001D3122"/>
    <w:rsid w:val="001D4A19"/>
    <w:rsid w:val="001E4B08"/>
    <w:rsid w:val="001F4731"/>
    <w:rsid w:val="00201EEB"/>
    <w:rsid w:val="002022E1"/>
    <w:rsid w:val="002152A3"/>
    <w:rsid w:val="002209C5"/>
    <w:rsid w:val="002210E7"/>
    <w:rsid w:val="0023067E"/>
    <w:rsid w:val="00231E85"/>
    <w:rsid w:val="00232F51"/>
    <w:rsid w:val="00235417"/>
    <w:rsid w:val="0024248C"/>
    <w:rsid w:val="00264FEA"/>
    <w:rsid w:val="00285183"/>
    <w:rsid w:val="002A2775"/>
    <w:rsid w:val="002C43E3"/>
    <w:rsid w:val="002D0527"/>
    <w:rsid w:val="002E395D"/>
    <w:rsid w:val="002E7FEF"/>
    <w:rsid w:val="002F70C4"/>
    <w:rsid w:val="00301A2D"/>
    <w:rsid w:val="003131F0"/>
    <w:rsid w:val="00327A86"/>
    <w:rsid w:val="003300F6"/>
    <w:rsid w:val="00333A80"/>
    <w:rsid w:val="00341117"/>
    <w:rsid w:val="00344C2A"/>
    <w:rsid w:val="00354D3B"/>
    <w:rsid w:val="0035601E"/>
    <w:rsid w:val="003561A2"/>
    <w:rsid w:val="0036126E"/>
    <w:rsid w:val="00364E95"/>
    <w:rsid w:val="00370EBB"/>
    <w:rsid w:val="00372875"/>
    <w:rsid w:val="00373CFD"/>
    <w:rsid w:val="003849C4"/>
    <w:rsid w:val="003A3DB6"/>
    <w:rsid w:val="003B1E80"/>
    <w:rsid w:val="003B270E"/>
    <w:rsid w:val="003B2B63"/>
    <w:rsid w:val="003B66E8"/>
    <w:rsid w:val="003C22BD"/>
    <w:rsid w:val="004033F1"/>
    <w:rsid w:val="00403593"/>
    <w:rsid w:val="00413EBB"/>
    <w:rsid w:val="00414B0C"/>
    <w:rsid w:val="00423C21"/>
    <w:rsid w:val="004257AC"/>
    <w:rsid w:val="0043711B"/>
    <w:rsid w:val="00442474"/>
    <w:rsid w:val="004755B0"/>
    <w:rsid w:val="00481473"/>
    <w:rsid w:val="00481E46"/>
    <w:rsid w:val="00494326"/>
    <w:rsid w:val="004977C9"/>
    <w:rsid w:val="004A0BA7"/>
    <w:rsid w:val="004A1500"/>
    <w:rsid w:val="004B2A17"/>
    <w:rsid w:val="004B732E"/>
    <w:rsid w:val="004C1627"/>
    <w:rsid w:val="004C387B"/>
    <w:rsid w:val="004C3CF9"/>
    <w:rsid w:val="004D0215"/>
    <w:rsid w:val="004D51F4"/>
    <w:rsid w:val="004D64E0"/>
    <w:rsid w:val="004D7188"/>
    <w:rsid w:val="004D7190"/>
    <w:rsid w:val="004E6779"/>
    <w:rsid w:val="00507517"/>
    <w:rsid w:val="00507E73"/>
    <w:rsid w:val="0051082E"/>
    <w:rsid w:val="005120A2"/>
    <w:rsid w:val="0051210D"/>
    <w:rsid w:val="005136D2"/>
    <w:rsid w:val="00517A03"/>
    <w:rsid w:val="00521D6B"/>
    <w:rsid w:val="005238E2"/>
    <w:rsid w:val="00531A7C"/>
    <w:rsid w:val="005328A3"/>
    <w:rsid w:val="0054069F"/>
    <w:rsid w:val="00545515"/>
    <w:rsid w:val="00561CF1"/>
    <w:rsid w:val="0056318D"/>
    <w:rsid w:val="00565A03"/>
    <w:rsid w:val="00566F98"/>
    <w:rsid w:val="00575A92"/>
    <w:rsid w:val="00597A2D"/>
    <w:rsid w:val="005A101C"/>
    <w:rsid w:val="005A3DD9"/>
    <w:rsid w:val="005B1DFC"/>
    <w:rsid w:val="005B4025"/>
    <w:rsid w:val="005C003E"/>
    <w:rsid w:val="005C46CE"/>
    <w:rsid w:val="005D1662"/>
    <w:rsid w:val="005D306E"/>
    <w:rsid w:val="005D601A"/>
    <w:rsid w:val="005E2EDD"/>
    <w:rsid w:val="00601682"/>
    <w:rsid w:val="00603470"/>
    <w:rsid w:val="00605E17"/>
    <w:rsid w:val="006167A1"/>
    <w:rsid w:val="00617A90"/>
    <w:rsid w:val="006220F6"/>
    <w:rsid w:val="00625E79"/>
    <w:rsid w:val="00627443"/>
    <w:rsid w:val="00627D81"/>
    <w:rsid w:val="006333F7"/>
    <w:rsid w:val="006427A1"/>
    <w:rsid w:val="0064417F"/>
    <w:rsid w:val="0064430B"/>
    <w:rsid w:val="00644463"/>
    <w:rsid w:val="00644741"/>
    <w:rsid w:val="0064737C"/>
    <w:rsid w:val="00656972"/>
    <w:rsid w:val="00665292"/>
    <w:rsid w:val="00667A9B"/>
    <w:rsid w:val="00697BC1"/>
    <w:rsid w:val="006A0909"/>
    <w:rsid w:val="006A17A1"/>
    <w:rsid w:val="006A6FFE"/>
    <w:rsid w:val="006C5A91"/>
    <w:rsid w:val="006D09B6"/>
    <w:rsid w:val="006D1C67"/>
    <w:rsid w:val="006D736D"/>
    <w:rsid w:val="006F02E0"/>
    <w:rsid w:val="006F5816"/>
    <w:rsid w:val="006F60FA"/>
    <w:rsid w:val="007103D2"/>
    <w:rsid w:val="00714E06"/>
    <w:rsid w:val="00716BBC"/>
    <w:rsid w:val="00726F49"/>
    <w:rsid w:val="007321BC"/>
    <w:rsid w:val="00755870"/>
    <w:rsid w:val="00760063"/>
    <w:rsid w:val="007636B6"/>
    <w:rsid w:val="00773530"/>
    <w:rsid w:val="00775E4B"/>
    <w:rsid w:val="00780D61"/>
    <w:rsid w:val="007945E0"/>
    <w:rsid w:val="0079553B"/>
    <w:rsid w:val="00795679"/>
    <w:rsid w:val="00797B16"/>
    <w:rsid w:val="007A40FE"/>
    <w:rsid w:val="007A72A3"/>
    <w:rsid w:val="007C7918"/>
    <w:rsid w:val="007D58D0"/>
    <w:rsid w:val="00803052"/>
    <w:rsid w:val="00810105"/>
    <w:rsid w:val="008117F5"/>
    <w:rsid w:val="008157E0"/>
    <w:rsid w:val="00827686"/>
    <w:rsid w:val="008313B2"/>
    <w:rsid w:val="00832D6D"/>
    <w:rsid w:val="008346B4"/>
    <w:rsid w:val="00850477"/>
    <w:rsid w:val="00854E1D"/>
    <w:rsid w:val="008704F4"/>
    <w:rsid w:val="008867F1"/>
    <w:rsid w:val="00886A96"/>
    <w:rsid w:val="00887FA6"/>
    <w:rsid w:val="00890899"/>
    <w:rsid w:val="008944D2"/>
    <w:rsid w:val="00894A27"/>
    <w:rsid w:val="0089549A"/>
    <w:rsid w:val="008C3C22"/>
    <w:rsid w:val="008C4397"/>
    <w:rsid w:val="008C465A"/>
    <w:rsid w:val="008D010C"/>
    <w:rsid w:val="008D620E"/>
    <w:rsid w:val="008F2C9B"/>
    <w:rsid w:val="008F3879"/>
    <w:rsid w:val="00900F04"/>
    <w:rsid w:val="00907576"/>
    <w:rsid w:val="0091073A"/>
    <w:rsid w:val="00912597"/>
    <w:rsid w:val="00914890"/>
    <w:rsid w:val="00923755"/>
    <w:rsid w:val="00923CD6"/>
    <w:rsid w:val="00935AA8"/>
    <w:rsid w:val="009367D6"/>
    <w:rsid w:val="009503BF"/>
    <w:rsid w:val="00952773"/>
    <w:rsid w:val="00952E17"/>
    <w:rsid w:val="00953551"/>
    <w:rsid w:val="0095603B"/>
    <w:rsid w:val="0096170A"/>
    <w:rsid w:val="00971C9A"/>
    <w:rsid w:val="00977FD1"/>
    <w:rsid w:val="00980BAB"/>
    <w:rsid w:val="00983AB7"/>
    <w:rsid w:val="00986CC2"/>
    <w:rsid w:val="00993CC0"/>
    <w:rsid w:val="00994B61"/>
    <w:rsid w:val="009A2042"/>
    <w:rsid w:val="009B21E2"/>
    <w:rsid w:val="009B4DE4"/>
    <w:rsid w:val="009B6978"/>
    <w:rsid w:val="009B7BF0"/>
    <w:rsid w:val="009C7EA4"/>
    <w:rsid w:val="009D51FA"/>
    <w:rsid w:val="009E1156"/>
    <w:rsid w:val="009E6EFB"/>
    <w:rsid w:val="009F0F55"/>
    <w:rsid w:val="009F1995"/>
    <w:rsid w:val="009F1E23"/>
    <w:rsid w:val="009F4465"/>
    <w:rsid w:val="00A1002C"/>
    <w:rsid w:val="00A126AC"/>
    <w:rsid w:val="00A12A1E"/>
    <w:rsid w:val="00A15179"/>
    <w:rsid w:val="00A17292"/>
    <w:rsid w:val="00A1734A"/>
    <w:rsid w:val="00A215DF"/>
    <w:rsid w:val="00A3077D"/>
    <w:rsid w:val="00A45E2A"/>
    <w:rsid w:val="00A51537"/>
    <w:rsid w:val="00A5280F"/>
    <w:rsid w:val="00A5645A"/>
    <w:rsid w:val="00A60FC1"/>
    <w:rsid w:val="00A713DC"/>
    <w:rsid w:val="00A77AAA"/>
    <w:rsid w:val="00A82DE5"/>
    <w:rsid w:val="00A87423"/>
    <w:rsid w:val="00A90414"/>
    <w:rsid w:val="00A9514D"/>
    <w:rsid w:val="00A97C37"/>
    <w:rsid w:val="00AA131B"/>
    <w:rsid w:val="00AB35D0"/>
    <w:rsid w:val="00AC37B5"/>
    <w:rsid w:val="00AC44FD"/>
    <w:rsid w:val="00AC48E4"/>
    <w:rsid w:val="00AC5981"/>
    <w:rsid w:val="00AC5F42"/>
    <w:rsid w:val="00AD24D0"/>
    <w:rsid w:val="00AD752F"/>
    <w:rsid w:val="00AE5299"/>
    <w:rsid w:val="00AF08A4"/>
    <w:rsid w:val="00AF17BB"/>
    <w:rsid w:val="00AF1F69"/>
    <w:rsid w:val="00B004A6"/>
    <w:rsid w:val="00B01877"/>
    <w:rsid w:val="00B15A1D"/>
    <w:rsid w:val="00B21FD3"/>
    <w:rsid w:val="00B23491"/>
    <w:rsid w:val="00B26CE8"/>
    <w:rsid w:val="00B27B41"/>
    <w:rsid w:val="00B42659"/>
    <w:rsid w:val="00B61199"/>
    <w:rsid w:val="00B63C18"/>
    <w:rsid w:val="00B63DC7"/>
    <w:rsid w:val="00B84E9A"/>
    <w:rsid w:val="00B8573E"/>
    <w:rsid w:val="00B87198"/>
    <w:rsid w:val="00B94C70"/>
    <w:rsid w:val="00B96671"/>
    <w:rsid w:val="00BA1630"/>
    <w:rsid w:val="00BB16F9"/>
    <w:rsid w:val="00BB24C0"/>
    <w:rsid w:val="00BC7095"/>
    <w:rsid w:val="00BD11C3"/>
    <w:rsid w:val="00BD27FB"/>
    <w:rsid w:val="00BD6130"/>
    <w:rsid w:val="00BD6ECF"/>
    <w:rsid w:val="00BE2399"/>
    <w:rsid w:val="00BE5C46"/>
    <w:rsid w:val="00BF2991"/>
    <w:rsid w:val="00BF542D"/>
    <w:rsid w:val="00C1248C"/>
    <w:rsid w:val="00C15274"/>
    <w:rsid w:val="00C1752F"/>
    <w:rsid w:val="00C26AF1"/>
    <w:rsid w:val="00C26F2E"/>
    <w:rsid w:val="00C302E3"/>
    <w:rsid w:val="00C34071"/>
    <w:rsid w:val="00C3738F"/>
    <w:rsid w:val="00C45376"/>
    <w:rsid w:val="00C6110F"/>
    <w:rsid w:val="00C73FED"/>
    <w:rsid w:val="00C9028F"/>
    <w:rsid w:val="00CA0416"/>
    <w:rsid w:val="00CA471B"/>
    <w:rsid w:val="00CB1125"/>
    <w:rsid w:val="00CC66F9"/>
    <w:rsid w:val="00CD042E"/>
    <w:rsid w:val="00CD089B"/>
    <w:rsid w:val="00CD1185"/>
    <w:rsid w:val="00CD5CE3"/>
    <w:rsid w:val="00CD61EC"/>
    <w:rsid w:val="00CE5093"/>
    <w:rsid w:val="00CF2560"/>
    <w:rsid w:val="00CF3BA6"/>
    <w:rsid w:val="00CF5B46"/>
    <w:rsid w:val="00D42E48"/>
    <w:rsid w:val="00D452CD"/>
    <w:rsid w:val="00D46B68"/>
    <w:rsid w:val="00D5002D"/>
    <w:rsid w:val="00D542A5"/>
    <w:rsid w:val="00D65120"/>
    <w:rsid w:val="00D6742F"/>
    <w:rsid w:val="00DA10F8"/>
    <w:rsid w:val="00DA3339"/>
    <w:rsid w:val="00DA68B9"/>
    <w:rsid w:val="00DB2673"/>
    <w:rsid w:val="00DC3D47"/>
    <w:rsid w:val="00DD2EBA"/>
    <w:rsid w:val="00DD77DA"/>
    <w:rsid w:val="00DF089E"/>
    <w:rsid w:val="00DF3790"/>
    <w:rsid w:val="00E02897"/>
    <w:rsid w:val="00E0588E"/>
    <w:rsid w:val="00E06501"/>
    <w:rsid w:val="00E06C61"/>
    <w:rsid w:val="00E13DB3"/>
    <w:rsid w:val="00E22541"/>
    <w:rsid w:val="00E2408B"/>
    <w:rsid w:val="00E30162"/>
    <w:rsid w:val="00E30C36"/>
    <w:rsid w:val="00E30E4A"/>
    <w:rsid w:val="00E47744"/>
    <w:rsid w:val="00E62CEA"/>
    <w:rsid w:val="00E7180B"/>
    <w:rsid w:val="00E72AE1"/>
    <w:rsid w:val="00E92196"/>
    <w:rsid w:val="00E96604"/>
    <w:rsid w:val="00E966DF"/>
    <w:rsid w:val="00E96ECC"/>
    <w:rsid w:val="00E9716E"/>
    <w:rsid w:val="00EA0F2C"/>
    <w:rsid w:val="00EB353C"/>
    <w:rsid w:val="00ED6A7A"/>
    <w:rsid w:val="00EE1734"/>
    <w:rsid w:val="00EE4C36"/>
    <w:rsid w:val="00EE58AE"/>
    <w:rsid w:val="00EF45C3"/>
    <w:rsid w:val="00EF5BD3"/>
    <w:rsid w:val="00EF6568"/>
    <w:rsid w:val="00F018E4"/>
    <w:rsid w:val="00F036A2"/>
    <w:rsid w:val="00F06B11"/>
    <w:rsid w:val="00F17C9C"/>
    <w:rsid w:val="00F24676"/>
    <w:rsid w:val="00F25E69"/>
    <w:rsid w:val="00F26CE5"/>
    <w:rsid w:val="00F33DCD"/>
    <w:rsid w:val="00F346CE"/>
    <w:rsid w:val="00F34F98"/>
    <w:rsid w:val="00F359B1"/>
    <w:rsid w:val="00F40540"/>
    <w:rsid w:val="00F426F2"/>
    <w:rsid w:val="00F513FE"/>
    <w:rsid w:val="00F550AF"/>
    <w:rsid w:val="00F67402"/>
    <w:rsid w:val="00F739B9"/>
    <w:rsid w:val="00F73F80"/>
    <w:rsid w:val="00F766A2"/>
    <w:rsid w:val="00F80F6F"/>
    <w:rsid w:val="00F9451D"/>
    <w:rsid w:val="00FA604E"/>
    <w:rsid w:val="00FB46FE"/>
    <w:rsid w:val="00FC0C45"/>
    <w:rsid w:val="00FF0174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12E8CA2"/>
  <w15:docId w15:val="{250EA53B-17A4-40EB-AAE3-7E23E956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CommentReference">
    <w:name w:val="annotation reference"/>
    <w:rsid w:val="005C003E"/>
    <w:rPr>
      <w:sz w:val="16"/>
      <w:szCs w:val="16"/>
    </w:rPr>
  </w:style>
  <w:style w:type="paragraph" w:customStyle="1" w:styleId="Headingb0">
    <w:name w:val="Heading_b"/>
    <w:basedOn w:val="Normal"/>
    <w:next w:val="Normal"/>
    <w:qFormat/>
    <w:rsid w:val="005C003E"/>
    <w:pPr>
      <w:keepNext/>
      <w:spacing w:before="160"/>
    </w:pPr>
    <w:rPr>
      <w:rFonts w:ascii="Calibri" w:hAnsi="Calibri"/>
      <w:b/>
      <w:lang w:val="en-GB"/>
    </w:rPr>
  </w:style>
  <w:style w:type="paragraph" w:customStyle="1" w:styleId="Annextitle0">
    <w:name w:val="Annex_title"/>
    <w:basedOn w:val="Normal"/>
    <w:next w:val="Normal"/>
    <w:rsid w:val="005C003E"/>
    <w:pPr>
      <w:keepNext/>
      <w:keepLines/>
      <w:spacing w:before="240" w:after="280"/>
      <w:jc w:val="center"/>
    </w:pPr>
    <w:rPr>
      <w:rFonts w:ascii="Calibri" w:hAnsi="Calibri"/>
      <w:b/>
      <w:sz w:val="28"/>
      <w:lang w:val="en-GB"/>
    </w:rPr>
  </w:style>
  <w:style w:type="character" w:styleId="FollowedHyperlink">
    <w:name w:val="FollowedHyperlink"/>
    <w:basedOn w:val="DefaultParagraphFont"/>
    <w:semiHidden/>
    <w:unhideWhenUsed/>
    <w:rsid w:val="001D4A19"/>
    <w:rPr>
      <w:color w:val="800080" w:themeColor="followedHyperlink"/>
      <w:u w:val="single"/>
    </w:rPr>
  </w:style>
  <w:style w:type="character" w:customStyle="1" w:styleId="Recdef">
    <w:name w:val="Rec_def"/>
    <w:rsid w:val="00231E85"/>
    <w:rPr>
      <w:rFonts w:ascii="Calibri" w:hAnsi="Calibri"/>
      <w:b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474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354D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399"/>
    <w:rPr>
      <w:color w:val="605E5C"/>
      <w:shd w:val="clear" w:color="auto" w:fill="E1DFDD"/>
    </w:rPr>
  </w:style>
  <w:style w:type="character" w:customStyle="1" w:styleId="enumlev1Char">
    <w:name w:val="enumlev1 Char"/>
    <w:link w:val="enumlev1"/>
    <w:locked/>
    <w:rsid w:val="00DD2EBA"/>
    <w:rPr>
      <w:rFonts w:asciiTheme="minorHAnsi" w:hAnsiTheme="minorHAnsi"/>
      <w:sz w:val="24"/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73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011A30"/>
    <w:rPr>
      <w:rFonts w:asciiTheme="minorHAnsi" w:hAnsiTheme="minorHAnsi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4C16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1627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17-SG02-R-002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02-R-0020" TargetMode="External"/><Relationship Id="rId17" Type="http://schemas.openxmlformats.org/officeDocument/2006/relationships/hyperlink" Target="mailto:tsbdir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p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2-R-0019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SG02-R-0023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s://www.itu.int/md/T17-SG02-R-002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9967-F804-4991-9E5B-D41AE9F3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69</TotalTime>
  <Pages>6</Pages>
  <Words>1805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12443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Braud, Olivia</cp:lastModifiedBy>
  <cp:revision>12</cp:revision>
  <cp:lastPrinted>2020-02-20T09:54:00Z</cp:lastPrinted>
  <dcterms:created xsi:type="dcterms:W3CDTF">2020-02-17T09:38:00Z</dcterms:created>
  <dcterms:modified xsi:type="dcterms:W3CDTF">2020-02-20T09:55:00Z</dcterms:modified>
</cp:coreProperties>
</file>