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726D290D" w14:textId="77777777" w:rsidTr="00D517B2">
        <w:trPr>
          <w:cantSplit/>
          <w:trHeight w:val="1134"/>
        </w:trPr>
        <w:tc>
          <w:tcPr>
            <w:tcW w:w="798" w:type="pct"/>
          </w:tcPr>
          <w:p w14:paraId="780F6368" w14:textId="10299133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  <w:lang w:val="en-GB" w:eastAsia="en-GB"/>
              </w:rPr>
              <w:drawing>
                <wp:inline distT="0" distB="0" distL="0" distR="0" wp14:anchorId="3B500B49" wp14:editId="04761CF5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01657995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2CF5F2B7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D517B2" w:rsidRPr="00D517B2" w14:paraId="39E3DAD0" w14:textId="77777777" w:rsidTr="00873469">
        <w:trPr>
          <w:cantSplit/>
          <w:trHeight w:val="142"/>
          <w:jc w:val="center"/>
        </w:trPr>
        <w:tc>
          <w:tcPr>
            <w:tcW w:w="796" w:type="pct"/>
          </w:tcPr>
          <w:p w14:paraId="60CCC381" w14:textId="7981BD8E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2A752420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6AF7A78E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02A1A57B" w14:textId="77777777" w:rsidTr="00D517B2">
        <w:trPr>
          <w:cantSplit/>
          <w:trHeight w:val="148"/>
          <w:jc w:val="center"/>
        </w:trPr>
        <w:tc>
          <w:tcPr>
            <w:tcW w:w="796" w:type="pct"/>
          </w:tcPr>
          <w:p w14:paraId="754E2A83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52C1D255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70AEF2B3" w14:textId="6FF83528" w:rsidR="00D517B2" w:rsidRPr="00D517B2" w:rsidRDefault="00873469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>جنيف،</w:t>
            </w:r>
            <w:r w:rsidR="002B0363">
              <w:rPr>
                <w:rFonts w:hint="cs"/>
                <w:position w:val="2"/>
                <w:rtl/>
              </w:rPr>
              <w:t xml:space="preserve"> </w:t>
            </w:r>
            <w:r w:rsidR="00D64F87">
              <w:rPr>
                <w:position w:val="2"/>
              </w:rPr>
              <w:t>9</w:t>
            </w:r>
            <w:r w:rsidR="002B0363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D64F87">
              <w:rPr>
                <w:rFonts w:hint="cs"/>
                <w:position w:val="2"/>
                <w:rtl/>
                <w:lang w:bidi="ar-EG"/>
              </w:rPr>
              <w:t>مارس</w:t>
            </w:r>
            <w:r w:rsidR="002B0363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2B0363">
              <w:rPr>
                <w:position w:val="2"/>
                <w:lang w:bidi="ar-EG"/>
              </w:rPr>
              <w:t>2020</w:t>
            </w:r>
          </w:p>
        </w:tc>
      </w:tr>
      <w:tr w:rsidR="00E84438" w:rsidRPr="00D517B2" w14:paraId="1A446B34" w14:textId="77777777" w:rsidTr="00E84438">
        <w:trPr>
          <w:cantSplit/>
          <w:trHeight w:val="831"/>
          <w:jc w:val="center"/>
        </w:trPr>
        <w:tc>
          <w:tcPr>
            <w:tcW w:w="796" w:type="pct"/>
          </w:tcPr>
          <w:p w14:paraId="0E561B41" w14:textId="6D74651B" w:rsidR="00E84438" w:rsidRPr="00D517B2" w:rsidRDefault="00E84438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D517B2">
              <w:rPr>
                <w:rFonts w:hint="cs"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17AC7281" w14:textId="029663F8" w:rsidR="00D64F87" w:rsidRPr="00D64F87" w:rsidRDefault="00D64F87" w:rsidP="00640EF3">
            <w:pPr>
              <w:spacing w:before="80" w:line="300" w:lineRule="exact"/>
              <w:jc w:val="left"/>
              <w:rPr>
                <w:b/>
                <w:position w:val="2"/>
                <w:rtl/>
                <w:lang w:val="en-GB"/>
              </w:rPr>
            </w:pPr>
            <w:r w:rsidRPr="00D64F87">
              <w:rPr>
                <w:rFonts w:hint="cs"/>
                <w:bCs/>
                <w:position w:val="2"/>
                <w:rtl/>
              </w:rPr>
              <w:t>الإضافة</w:t>
            </w:r>
            <w:r>
              <w:rPr>
                <w:rFonts w:hint="cs"/>
                <w:b/>
                <w:position w:val="2"/>
                <w:rtl/>
              </w:rPr>
              <w:t xml:space="preserve"> </w:t>
            </w:r>
            <w:r>
              <w:rPr>
                <w:b/>
                <w:position w:val="2"/>
              </w:rPr>
              <w:t>1</w:t>
            </w:r>
            <w:r>
              <w:rPr>
                <w:rFonts w:hint="cs"/>
                <w:b/>
                <w:position w:val="2"/>
                <w:rtl/>
                <w:lang w:val="en-GB"/>
              </w:rPr>
              <w:t xml:space="preserve"> </w:t>
            </w:r>
            <w:r w:rsidRPr="00D64F87">
              <w:rPr>
                <w:rFonts w:hint="cs"/>
                <w:bCs/>
                <w:position w:val="2"/>
                <w:rtl/>
                <w:lang w:val="en-GB"/>
              </w:rPr>
              <w:t>للرسالة المعممة</w:t>
            </w:r>
          </w:p>
          <w:p w14:paraId="18604F9B" w14:textId="383656CB" w:rsidR="00E84438" w:rsidRPr="00D517B2" w:rsidRDefault="00E84438" w:rsidP="00640EF3">
            <w:pPr>
              <w:spacing w:before="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b/>
                <w:position w:val="2"/>
              </w:rPr>
              <w:t>TSB </w:t>
            </w:r>
            <w:r>
              <w:rPr>
                <w:b/>
                <w:position w:val="2"/>
              </w:rPr>
              <w:t>Circular</w:t>
            </w:r>
            <w:r w:rsidRPr="00D517B2">
              <w:rPr>
                <w:b/>
                <w:position w:val="2"/>
              </w:rPr>
              <w:t xml:space="preserve"> </w:t>
            </w:r>
            <w:r w:rsidR="002B0363">
              <w:rPr>
                <w:b/>
                <w:position w:val="2"/>
              </w:rPr>
              <w:t>226</w:t>
            </w:r>
            <w:r>
              <w:rPr>
                <w:b/>
                <w:position w:val="2"/>
              </w:rPr>
              <w:br/>
            </w:r>
            <w:r w:rsidR="00E70B38">
              <w:rPr>
                <w:bCs/>
                <w:position w:val="2"/>
              </w:rPr>
              <w:t>TSB Events/XY</w:t>
            </w:r>
          </w:p>
        </w:tc>
        <w:tc>
          <w:tcPr>
            <w:tcW w:w="2206" w:type="pct"/>
            <w:vMerge w:val="restart"/>
          </w:tcPr>
          <w:p w14:paraId="41DAA043" w14:textId="77777777" w:rsidR="00E84438" w:rsidRPr="00D517B2" w:rsidRDefault="00E84438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>إلى:</w:t>
            </w:r>
          </w:p>
          <w:p w14:paraId="7B42F198" w14:textId="7A04B64D" w:rsidR="00E84438" w:rsidRDefault="00E84438" w:rsidP="00D517B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2B0363">
              <w:rPr>
                <w:rFonts w:hint="cs"/>
                <w:position w:val="2"/>
                <w:rtl/>
              </w:rPr>
              <w:t>-</w:t>
            </w:r>
            <w:r w:rsidRPr="002B0363">
              <w:rPr>
                <w:position w:val="2"/>
                <w:rtl/>
              </w:rPr>
              <w:tab/>
            </w:r>
            <w:r w:rsidRPr="002B0363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294B5AF1" w14:textId="77777777" w:rsidR="002B0363" w:rsidRPr="0077776D" w:rsidRDefault="002B0363" w:rsidP="002B0363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lang w:bidi="ar-EG"/>
              </w:rPr>
            </w:pPr>
            <w:r w:rsidRPr="0077776D">
              <w:rPr>
                <w:rFonts w:hint="cs"/>
                <w:rtl/>
              </w:rPr>
              <w:t>-</w:t>
            </w:r>
            <w:r w:rsidRPr="0077776D">
              <w:rPr>
                <w:rtl/>
              </w:rPr>
              <w:tab/>
            </w:r>
            <w:r w:rsidRPr="0077776D">
              <w:rPr>
                <w:rFonts w:hint="cs"/>
                <w:rtl/>
                <w:lang w:bidi="ar-EG"/>
              </w:rPr>
              <w:t xml:space="preserve">أعضاء قطاع تقييس الاتصالات </w:t>
            </w:r>
            <w:r w:rsidRPr="0077776D">
              <w:rPr>
                <w:rFonts w:hint="cs"/>
                <w:rtl/>
              </w:rPr>
              <w:t>في الاتحاد</w:t>
            </w:r>
            <w:r w:rsidRPr="0077776D">
              <w:rPr>
                <w:rFonts w:hint="cs"/>
                <w:rtl/>
                <w:lang w:bidi="ar-EG"/>
              </w:rPr>
              <w:t>؛</w:t>
            </w:r>
          </w:p>
          <w:p w14:paraId="4AEC977B" w14:textId="77777777" w:rsidR="002B0363" w:rsidRPr="0077776D" w:rsidRDefault="002B0363" w:rsidP="002B0363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lang w:bidi="ar-EG"/>
              </w:rPr>
            </w:pPr>
            <w:r w:rsidRPr="0077776D">
              <w:rPr>
                <w:rFonts w:hint="cs"/>
                <w:rtl/>
              </w:rPr>
              <w:t>-</w:t>
            </w:r>
            <w:r w:rsidRPr="0077776D">
              <w:rPr>
                <w:rtl/>
              </w:rPr>
              <w:tab/>
            </w:r>
            <w:r w:rsidRPr="0077776D">
              <w:rPr>
                <w:rFonts w:hint="cs"/>
                <w:rtl/>
              </w:rPr>
              <w:t>المنتسبين إلى قطاع تقييس الاتصالات؛</w:t>
            </w:r>
          </w:p>
          <w:p w14:paraId="16356A87" w14:textId="389A8EC9" w:rsidR="00E84438" w:rsidRPr="00D517B2" w:rsidRDefault="002B0363" w:rsidP="00E70B3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77776D">
              <w:rPr>
                <w:rFonts w:hint="cs"/>
                <w:rtl/>
              </w:rPr>
              <w:t>-</w:t>
            </w:r>
            <w:r w:rsidRPr="0077776D">
              <w:rPr>
                <w:rtl/>
              </w:rPr>
              <w:tab/>
            </w:r>
            <w:r w:rsidRPr="0077776D">
              <w:rPr>
                <w:rFonts w:hint="cs"/>
                <w:rtl/>
              </w:rPr>
              <w:t>الهيئات الأكاديمية المنضمة إلى</w:t>
            </w:r>
            <w:r w:rsidRPr="0077776D">
              <w:rPr>
                <w:rFonts w:hint="cs"/>
                <w:rtl/>
                <w:lang w:bidi="ar-EG"/>
              </w:rPr>
              <w:t xml:space="preserve"> الاتحاد</w:t>
            </w:r>
          </w:p>
        </w:tc>
      </w:tr>
      <w:tr w:rsidR="002B0363" w:rsidRPr="00D517B2" w14:paraId="0428E2E3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40C77537" w14:textId="35D91D27" w:rsidR="002B0363" w:rsidRPr="00D517B2" w:rsidRDefault="002B0363" w:rsidP="00D517B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>
              <w:rPr>
                <w:rFonts w:hint="cs"/>
                <w:position w:val="2"/>
                <w:rtl/>
                <w:lang w:bidi="ar-EG"/>
              </w:rPr>
              <w:t>للاتصال:</w:t>
            </w:r>
          </w:p>
        </w:tc>
        <w:tc>
          <w:tcPr>
            <w:tcW w:w="1998" w:type="pct"/>
          </w:tcPr>
          <w:p w14:paraId="3EE8996B" w14:textId="2CC290C3" w:rsidR="002B0363" w:rsidRPr="00D517B2" w:rsidRDefault="002B0363" w:rsidP="002B0363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2B0363">
              <w:rPr>
                <w:rFonts w:hint="cs"/>
                <w:b/>
                <w:bCs/>
                <w:position w:val="2"/>
                <w:rtl/>
              </w:rPr>
              <w:t>شاويا</w:t>
            </w:r>
            <w:r w:rsidRPr="002B0363">
              <w:rPr>
                <w:b/>
                <w:bCs/>
                <w:position w:val="2"/>
                <w:rtl/>
              </w:rPr>
              <w:t xml:space="preserve"> يانغ</w:t>
            </w:r>
            <w:r w:rsidRPr="002B0363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 w:rsidRPr="002B0363">
              <w:rPr>
                <w:b/>
                <w:bCs/>
                <w:position w:val="2"/>
              </w:rPr>
              <w:t>(Xiaoya YANG)</w:t>
            </w:r>
          </w:p>
        </w:tc>
        <w:tc>
          <w:tcPr>
            <w:tcW w:w="2206" w:type="pct"/>
            <w:vMerge/>
          </w:tcPr>
          <w:p w14:paraId="7C5280EC" w14:textId="77777777" w:rsidR="002B0363" w:rsidRPr="00D517B2" w:rsidRDefault="002B0363" w:rsidP="00D517B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D517B2" w:rsidRPr="00D517B2" w14:paraId="04822156" w14:textId="77777777" w:rsidTr="00D517B2">
        <w:trPr>
          <w:cantSplit/>
          <w:trHeight w:val="340"/>
          <w:jc w:val="center"/>
        </w:trPr>
        <w:tc>
          <w:tcPr>
            <w:tcW w:w="796" w:type="pct"/>
          </w:tcPr>
          <w:p w14:paraId="4DD1702C" w14:textId="32FCCDC2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D517B2">
              <w:rPr>
                <w:rFonts w:hint="cs"/>
                <w:position w:val="2"/>
                <w:rtl/>
                <w:lang w:bidi="ar-EG"/>
              </w:rPr>
              <w:t>ال</w:t>
            </w:r>
            <w:r w:rsidRPr="00D517B2">
              <w:rPr>
                <w:rFonts w:hint="cs"/>
                <w:position w:val="2"/>
                <w:rtl/>
                <w:lang w:bidi="ar-SY"/>
              </w:rPr>
              <w:t>هاتف</w:t>
            </w:r>
            <w:r w:rsidRPr="00D517B2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998" w:type="pct"/>
          </w:tcPr>
          <w:p w14:paraId="76C9305B" w14:textId="34F0C175" w:rsidR="00D517B2" w:rsidRPr="00D517B2" w:rsidRDefault="002B0363" w:rsidP="002B0363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2B0363">
              <w:rPr>
                <w:position w:val="2"/>
              </w:rPr>
              <w:t>+41 22 730 6206</w:t>
            </w:r>
          </w:p>
        </w:tc>
        <w:tc>
          <w:tcPr>
            <w:tcW w:w="2206" w:type="pct"/>
            <w:vMerge/>
          </w:tcPr>
          <w:p w14:paraId="1F51143D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D517B2" w:rsidRPr="00D517B2" w14:paraId="2D4B63D1" w14:textId="77777777" w:rsidTr="002B0363">
        <w:trPr>
          <w:cantSplit/>
          <w:trHeight w:val="413"/>
          <w:jc w:val="center"/>
        </w:trPr>
        <w:tc>
          <w:tcPr>
            <w:tcW w:w="796" w:type="pct"/>
          </w:tcPr>
          <w:p w14:paraId="0F458410" w14:textId="4DC2DEA1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>الفاكس:</w:t>
            </w:r>
          </w:p>
        </w:tc>
        <w:tc>
          <w:tcPr>
            <w:tcW w:w="1998" w:type="pct"/>
          </w:tcPr>
          <w:p w14:paraId="78E8068B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D517B2">
              <w:rPr>
                <w:position w:val="2"/>
              </w:rPr>
              <w:t>+41 22 730 5853</w:t>
            </w:r>
          </w:p>
        </w:tc>
        <w:tc>
          <w:tcPr>
            <w:tcW w:w="2206" w:type="pct"/>
            <w:vMerge/>
          </w:tcPr>
          <w:p w14:paraId="784FED31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2B0363" w:rsidRPr="00D517B2" w14:paraId="43D171FF" w14:textId="77777777" w:rsidTr="00D517B2">
        <w:trPr>
          <w:cantSplit/>
          <w:jc w:val="center"/>
        </w:trPr>
        <w:tc>
          <w:tcPr>
            <w:tcW w:w="796" w:type="pct"/>
          </w:tcPr>
          <w:p w14:paraId="033126C6" w14:textId="59FE1538" w:rsidR="002B0363" w:rsidRPr="00D517B2" w:rsidRDefault="002B0363" w:rsidP="002B0363">
            <w:pPr>
              <w:spacing w:before="80" w:after="6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</w:tcPr>
          <w:p w14:paraId="0FA92012" w14:textId="6560CB5B" w:rsidR="002B0363" w:rsidRPr="00D517B2" w:rsidRDefault="00BC156D" w:rsidP="002B0363">
            <w:pPr>
              <w:spacing w:before="80" w:after="60" w:line="300" w:lineRule="exact"/>
              <w:jc w:val="left"/>
              <w:rPr>
                <w:position w:val="2"/>
              </w:rPr>
            </w:pPr>
            <w:hyperlink r:id="rId9" w:history="1">
              <w:r w:rsidR="002B0363" w:rsidRPr="0077776D">
                <w:rPr>
                  <w:rStyle w:val="Hyperlink"/>
                </w:rPr>
                <w:t>tsbevents@itu.int</w:t>
              </w:r>
            </w:hyperlink>
          </w:p>
        </w:tc>
        <w:tc>
          <w:tcPr>
            <w:tcW w:w="2206" w:type="pct"/>
          </w:tcPr>
          <w:p w14:paraId="18DE117F" w14:textId="77777777" w:rsidR="002B0363" w:rsidRPr="002B0363" w:rsidRDefault="002B0363" w:rsidP="002B036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2B0363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1A51F1E8" w14:textId="4DD4CE22" w:rsidR="002B0363" w:rsidRPr="00E70B38" w:rsidRDefault="002B0363" w:rsidP="002B036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spacing w:val="-4"/>
                <w:position w:val="2"/>
                <w:rtl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</w:r>
            <w:r w:rsidRPr="00E70B38">
              <w:rPr>
                <w:rFonts w:hint="cs"/>
                <w:spacing w:val="-4"/>
                <w:position w:val="2"/>
                <w:rtl/>
              </w:rPr>
              <w:t>رؤساء لجان دراسات قطاع تقييس الاتصالات ونوابهم؛</w:t>
            </w:r>
          </w:p>
          <w:p w14:paraId="54BA10AB" w14:textId="77777777" w:rsidR="002B0363" w:rsidRDefault="002B0363" w:rsidP="002B036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2B0363">
              <w:rPr>
                <w:rFonts w:hint="cs"/>
                <w:position w:val="2"/>
                <w:rtl/>
              </w:rPr>
              <w:t>-</w:t>
            </w:r>
            <w:r w:rsidRPr="002B0363">
              <w:rPr>
                <w:position w:val="2"/>
                <w:rtl/>
              </w:rPr>
              <w:tab/>
              <w:t>مدير</w:t>
            </w:r>
            <w:r w:rsidRPr="002B0363">
              <w:rPr>
                <w:rFonts w:hint="cs"/>
                <w:position w:val="2"/>
                <w:rtl/>
              </w:rPr>
              <w:t>ة</w:t>
            </w:r>
            <w:r w:rsidRPr="002B0363">
              <w:rPr>
                <w:position w:val="2"/>
                <w:rtl/>
              </w:rPr>
              <w:t xml:space="preserve"> مكتب تنمية الاتصالات</w:t>
            </w:r>
            <w:r w:rsidRPr="002B0363">
              <w:rPr>
                <w:rFonts w:hint="cs"/>
                <w:position w:val="2"/>
                <w:rtl/>
              </w:rPr>
              <w:t>؛</w:t>
            </w:r>
          </w:p>
          <w:p w14:paraId="66401779" w14:textId="1B740072" w:rsidR="002B0363" w:rsidRPr="00D517B2" w:rsidRDefault="002B0363" w:rsidP="00E70B38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>
              <w:rPr>
                <w:rFonts w:hint="cs"/>
                <w:position w:val="2"/>
                <w:rtl/>
              </w:rPr>
              <w:t>-</w:t>
            </w:r>
            <w:r w:rsidRPr="002B0363">
              <w:rPr>
                <w:position w:val="2"/>
                <w:rtl/>
              </w:rPr>
              <w:tab/>
              <w:t>مدير مكتب الاتصالات الراديوية</w:t>
            </w:r>
          </w:p>
        </w:tc>
      </w:tr>
      <w:tr w:rsidR="002B0363" w:rsidRPr="00D517B2" w14:paraId="300B6AEE" w14:textId="77777777" w:rsidTr="00D517B2">
        <w:trPr>
          <w:cantSplit/>
          <w:jc w:val="center"/>
        </w:trPr>
        <w:tc>
          <w:tcPr>
            <w:tcW w:w="796" w:type="pct"/>
          </w:tcPr>
          <w:p w14:paraId="797D2A35" w14:textId="431B46A5" w:rsidR="002B0363" w:rsidRPr="00D517B2" w:rsidRDefault="002B0363" w:rsidP="002B0363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  <w:tc>
          <w:tcPr>
            <w:tcW w:w="1998" w:type="pct"/>
          </w:tcPr>
          <w:p w14:paraId="51C91AA7" w14:textId="77777777" w:rsidR="002B0363" w:rsidRDefault="002B0363" w:rsidP="002B0363">
            <w:pPr>
              <w:spacing w:before="80" w:after="60" w:line="300" w:lineRule="exact"/>
              <w:jc w:val="left"/>
            </w:pPr>
          </w:p>
        </w:tc>
        <w:tc>
          <w:tcPr>
            <w:tcW w:w="2206" w:type="pct"/>
          </w:tcPr>
          <w:p w14:paraId="2B106BFC" w14:textId="77777777" w:rsidR="002B0363" w:rsidRPr="002B0363" w:rsidRDefault="002B0363" w:rsidP="002B036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</w:p>
        </w:tc>
      </w:tr>
      <w:tr w:rsidR="002B0363" w:rsidRPr="00D517B2" w14:paraId="7C6D072F" w14:textId="77777777" w:rsidTr="00D517B2">
        <w:trPr>
          <w:cantSplit/>
          <w:jc w:val="center"/>
        </w:trPr>
        <w:tc>
          <w:tcPr>
            <w:tcW w:w="796" w:type="pct"/>
          </w:tcPr>
          <w:p w14:paraId="550F12D6" w14:textId="3C64BC28" w:rsidR="002B0363" w:rsidRPr="00D517B2" w:rsidRDefault="002B0363" w:rsidP="002B0363">
            <w:pPr>
              <w:spacing w:before="80" w:after="60" w:line="300" w:lineRule="exact"/>
              <w:jc w:val="left"/>
              <w:rPr>
                <w:position w:val="2"/>
                <w:rtl/>
                <w:lang w:bidi="ar-SY"/>
              </w:rPr>
            </w:pPr>
            <w:r w:rsidRPr="00D517B2">
              <w:rPr>
                <w:rFonts w:hint="cs"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3E52755B" w14:textId="21EB5DEA" w:rsidR="002B0363" w:rsidRPr="00D517B2" w:rsidRDefault="008470CE" w:rsidP="002B0363">
            <w:pPr>
              <w:spacing w:before="80" w:after="60" w:line="300" w:lineRule="exact"/>
              <w:rPr>
                <w:position w:val="2"/>
                <w:rtl/>
              </w:rPr>
            </w:pPr>
            <w:r w:rsidRPr="00541595">
              <w:rPr>
                <w:rFonts w:hint="cs"/>
                <w:b/>
                <w:bCs/>
                <w:spacing w:val="-6"/>
                <w:position w:val="2"/>
                <w:rtl/>
              </w:rPr>
              <w:t xml:space="preserve">تأجيل </w:t>
            </w:r>
            <w:r w:rsidR="002B0363" w:rsidRPr="00541595">
              <w:rPr>
                <w:rFonts w:hint="cs"/>
                <w:b/>
                <w:bCs/>
                <w:spacing w:val="-6"/>
                <w:position w:val="2"/>
                <w:rtl/>
              </w:rPr>
              <w:t xml:space="preserve">ورشة العمل المشتركة بين لجنة الدراسات </w:t>
            </w:r>
            <w:r w:rsidR="002B0363" w:rsidRPr="00541595">
              <w:rPr>
                <w:b/>
                <w:bCs/>
                <w:spacing w:val="-6"/>
                <w:position w:val="2"/>
              </w:rPr>
              <w:t>17</w:t>
            </w:r>
            <w:r w:rsidR="002B0363" w:rsidRPr="00541595">
              <w:rPr>
                <w:rFonts w:hint="cs"/>
                <w:b/>
                <w:bCs/>
                <w:spacing w:val="-6"/>
                <w:position w:val="2"/>
                <w:rtl/>
              </w:rPr>
              <w:t xml:space="preserve"> لقطاع تقييس الاتصالات/اللجنة التقنية </w:t>
            </w:r>
            <w:r w:rsidR="002B0363" w:rsidRPr="00541595">
              <w:rPr>
                <w:b/>
                <w:bCs/>
                <w:spacing w:val="-6"/>
                <w:position w:val="2"/>
              </w:rPr>
              <w:t>ISO TC 307</w:t>
            </w:r>
            <w:r w:rsidR="002B0363" w:rsidRPr="00541595">
              <w:rPr>
                <w:rFonts w:hint="cs"/>
                <w:b/>
                <w:bCs/>
                <w:spacing w:val="-6"/>
                <w:position w:val="2"/>
                <w:rtl/>
              </w:rPr>
              <w:t xml:space="preserve"> </w:t>
            </w:r>
            <w:r w:rsidR="00637B39" w:rsidRPr="00541595">
              <w:rPr>
                <w:rFonts w:hint="cs"/>
                <w:b/>
                <w:bCs/>
                <w:spacing w:val="-6"/>
                <w:position w:val="2"/>
                <w:rtl/>
              </w:rPr>
              <w:t>للمنظمة الدولية</w:t>
            </w:r>
            <w:r w:rsidR="002B0363" w:rsidRPr="00541595">
              <w:rPr>
                <w:rFonts w:hint="cs"/>
                <w:b/>
                <w:bCs/>
                <w:spacing w:val="-6"/>
                <w:position w:val="2"/>
                <w:rtl/>
              </w:rPr>
              <w:t xml:space="preserve"> </w:t>
            </w:r>
            <w:r w:rsidR="00637B39" w:rsidRPr="00541595">
              <w:rPr>
                <w:rFonts w:hint="cs"/>
                <w:b/>
                <w:bCs/>
                <w:spacing w:val="-6"/>
                <w:position w:val="2"/>
                <w:rtl/>
              </w:rPr>
              <w:t>ل</w:t>
            </w:r>
            <w:r w:rsidR="002B0363" w:rsidRPr="00541595">
              <w:rPr>
                <w:rFonts w:hint="cs"/>
                <w:b/>
                <w:bCs/>
                <w:spacing w:val="-6"/>
                <w:position w:val="2"/>
                <w:rtl/>
              </w:rPr>
              <w:t>لتوحيد القياسي بشأن "</w:t>
            </w:r>
            <w:r w:rsidR="002B0363" w:rsidRPr="00541595">
              <w:rPr>
                <w:rFonts w:hint="cs"/>
                <w:b/>
                <w:bCs/>
                <w:spacing w:val="-6"/>
                <w:position w:val="2"/>
                <w:rtl/>
                <w:lang w:bidi="ar-SY"/>
              </w:rPr>
              <w:t>أمن تكنولوجيا</w:t>
            </w:r>
            <w:r w:rsidR="002B0363" w:rsidRPr="00541595">
              <w:rPr>
                <w:rFonts w:hint="cs"/>
                <w:b/>
                <w:bCs/>
                <w:spacing w:val="-6"/>
                <w:position w:val="2"/>
                <w:rtl/>
                <w:lang w:bidi="ar-EG"/>
              </w:rPr>
              <w:t>ت</w:t>
            </w:r>
            <w:r w:rsidR="002B0363" w:rsidRPr="00541595">
              <w:rPr>
                <w:rFonts w:hint="cs"/>
                <w:b/>
                <w:bCs/>
                <w:spacing w:val="-6"/>
                <w:position w:val="2"/>
                <w:rtl/>
                <w:lang w:bidi="ar-SY"/>
              </w:rPr>
              <w:t xml:space="preserve"> السجلات الموزعة، إدارة الهوية والخصوصية</w:t>
            </w:r>
            <w:r w:rsidR="002B0363" w:rsidRPr="00541595">
              <w:rPr>
                <w:rFonts w:hint="cs"/>
                <w:b/>
                <w:bCs/>
                <w:spacing w:val="-6"/>
                <w:position w:val="2"/>
                <w:rtl/>
              </w:rPr>
              <w:t>"</w:t>
            </w:r>
            <w:r w:rsidR="002B0363" w:rsidRPr="00637B39">
              <w:rPr>
                <w:b/>
                <w:bCs/>
                <w:spacing w:val="-2"/>
                <w:position w:val="2"/>
                <w:rtl/>
              </w:rPr>
              <w:br/>
            </w:r>
            <w:r w:rsidR="002B0363" w:rsidRPr="002B0363">
              <w:rPr>
                <w:rFonts w:hint="cs"/>
                <w:b/>
                <w:bCs/>
                <w:position w:val="2"/>
                <w:rtl/>
              </w:rPr>
              <w:t>جنيف، سويسرا،</w:t>
            </w:r>
            <w:r w:rsidR="002B0363" w:rsidRPr="002B0363">
              <w:rPr>
                <w:rFonts w:hint="cs"/>
                <w:b/>
                <w:bCs/>
                <w:position w:val="2"/>
                <w:rtl/>
                <w:lang w:bidi="ar"/>
              </w:rPr>
              <w:t xml:space="preserve"> </w:t>
            </w:r>
            <w:r w:rsidR="002B0363" w:rsidRPr="002B0363">
              <w:rPr>
                <w:b/>
                <w:bCs/>
                <w:position w:val="2"/>
              </w:rPr>
              <w:t>16</w:t>
            </w:r>
            <w:r w:rsidR="002B0363" w:rsidRPr="002B0363">
              <w:rPr>
                <w:rFonts w:hint="cs"/>
                <w:b/>
                <w:bCs/>
                <w:position w:val="2"/>
                <w:rtl/>
              </w:rPr>
              <w:t xml:space="preserve"> مارس</w:t>
            </w:r>
            <w:r w:rsidR="002B0363" w:rsidRPr="002B0363">
              <w:rPr>
                <w:b/>
                <w:bCs/>
                <w:position w:val="2"/>
                <w:rtl/>
              </w:rPr>
              <w:t xml:space="preserve"> </w:t>
            </w:r>
            <w:r w:rsidR="002B0363" w:rsidRPr="002B0363">
              <w:rPr>
                <w:b/>
                <w:bCs/>
                <w:position w:val="2"/>
              </w:rPr>
              <w:t>2020</w:t>
            </w:r>
          </w:p>
        </w:tc>
      </w:tr>
    </w:tbl>
    <w:p w14:paraId="61AF26E1" w14:textId="219F9962" w:rsidR="00D517B2" w:rsidRPr="00D517B2" w:rsidRDefault="00D517B2" w:rsidP="00E70B38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17735DA2" w14:textId="6A070596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0571F8C1" w14:textId="68A9230F" w:rsidR="00311D96" w:rsidRDefault="002B0363" w:rsidP="00311D96">
      <w:pPr>
        <w:rPr>
          <w:rtl/>
        </w:rPr>
      </w:pPr>
      <w:r w:rsidRPr="0077776D">
        <w:rPr>
          <w:lang w:bidi="ar-SY"/>
        </w:rPr>
        <w:t>1</w:t>
      </w:r>
      <w:r w:rsidRPr="0077776D">
        <w:rPr>
          <w:rtl/>
        </w:rPr>
        <w:tab/>
      </w:r>
      <w:r w:rsidR="00311D96">
        <w:rPr>
          <w:rFonts w:hint="cs"/>
          <w:rtl/>
        </w:rPr>
        <w:t xml:space="preserve">نتيجة لتفشي فيروس كورونا </w:t>
      </w:r>
      <w:r w:rsidR="00311D96">
        <w:t>(COVID-19)</w:t>
      </w:r>
      <w:r w:rsidR="00311D96">
        <w:rPr>
          <w:rFonts w:hint="cs"/>
          <w:rtl/>
          <w:lang w:bidi="ar-EG"/>
        </w:rPr>
        <w:t xml:space="preserve">، </w:t>
      </w:r>
      <w:r w:rsidR="006F10E3">
        <w:rPr>
          <w:rFonts w:hint="cs"/>
          <w:b/>
          <w:bCs/>
          <w:rtl/>
          <w:lang w:bidi="ar-EG"/>
        </w:rPr>
        <w:t>تأجلت، حتى إشعار آخر،</w:t>
      </w:r>
      <w:r w:rsidRPr="0077776D">
        <w:rPr>
          <w:rFonts w:hint="cs"/>
          <w:rtl/>
        </w:rPr>
        <w:t xml:space="preserve"> </w:t>
      </w:r>
      <w:r w:rsidRPr="00682FD3">
        <w:rPr>
          <w:rFonts w:hint="cs"/>
          <w:rtl/>
        </w:rPr>
        <w:t xml:space="preserve">ورشة العمل المشتركة بين </w:t>
      </w:r>
      <w:r w:rsidRPr="00682FD3">
        <w:rPr>
          <w:rFonts w:hint="cs"/>
          <w:spacing w:val="-2"/>
          <w:rtl/>
          <w:lang w:bidi="ar-SY"/>
        </w:rPr>
        <w:t>لجنة الدراسات</w:t>
      </w:r>
      <w:r w:rsidR="009D7A10">
        <w:rPr>
          <w:rFonts w:hint="eastAsia"/>
          <w:spacing w:val="-2"/>
          <w:rtl/>
          <w:lang w:bidi="ar-SY"/>
        </w:rPr>
        <w:t> </w:t>
      </w:r>
      <w:r w:rsidRPr="00682FD3">
        <w:rPr>
          <w:spacing w:val="-2"/>
          <w:lang w:bidi="ar-SY"/>
        </w:rPr>
        <w:t>17</w:t>
      </w:r>
      <w:r w:rsidRPr="00682FD3">
        <w:rPr>
          <w:rFonts w:hint="cs"/>
          <w:spacing w:val="-2"/>
          <w:rtl/>
          <w:lang w:val="en-GB"/>
        </w:rPr>
        <w:t xml:space="preserve"> لقطاع تقييس الاتصالات و</w:t>
      </w:r>
      <w:r w:rsidRPr="00682FD3">
        <w:rPr>
          <w:rFonts w:hint="cs"/>
          <w:spacing w:val="-2"/>
          <w:rtl/>
        </w:rPr>
        <w:t xml:space="preserve">اللجنة التقنية </w:t>
      </w:r>
      <w:r w:rsidRPr="00682FD3">
        <w:rPr>
          <w:spacing w:val="-2"/>
          <w:lang w:val="en-GB"/>
        </w:rPr>
        <w:t>ISO</w:t>
      </w:r>
      <w:r w:rsidRPr="00682FD3">
        <w:rPr>
          <w:spacing w:val="-2"/>
        </w:rPr>
        <w:t> </w:t>
      </w:r>
      <w:r w:rsidRPr="00682FD3">
        <w:rPr>
          <w:spacing w:val="-2"/>
          <w:lang w:val="en-GB"/>
        </w:rPr>
        <w:t>TC 307</w:t>
      </w:r>
      <w:r w:rsidRPr="00682FD3">
        <w:rPr>
          <w:rFonts w:hint="cs"/>
          <w:spacing w:val="-2"/>
          <w:rtl/>
          <w:lang w:val="en-GB"/>
        </w:rPr>
        <w:t xml:space="preserve"> </w:t>
      </w:r>
      <w:r w:rsidR="001E1A48">
        <w:rPr>
          <w:rFonts w:hint="cs"/>
          <w:spacing w:val="-2"/>
          <w:rtl/>
          <w:lang w:val="en-GB"/>
        </w:rPr>
        <w:t>للمنظمة الدولية للتوحيد</w:t>
      </w:r>
      <w:r w:rsidRPr="00682FD3">
        <w:rPr>
          <w:rFonts w:hint="cs"/>
          <w:spacing w:val="-2"/>
          <w:rtl/>
          <w:lang w:val="en-GB"/>
        </w:rPr>
        <w:t xml:space="preserve"> القياسي </w:t>
      </w:r>
      <w:r w:rsidRPr="00682FD3">
        <w:rPr>
          <w:rtl/>
        </w:rPr>
        <w:t xml:space="preserve">بشأن </w:t>
      </w:r>
      <w:r w:rsidRPr="00682FD3">
        <w:rPr>
          <w:rFonts w:hint="cs"/>
          <w:rtl/>
        </w:rPr>
        <w:t>"</w:t>
      </w:r>
      <w:r w:rsidRPr="00682FD3">
        <w:rPr>
          <w:rFonts w:hint="cs"/>
          <w:spacing w:val="4"/>
          <w:rtl/>
          <w:lang w:bidi="ar-SY"/>
        </w:rPr>
        <w:t>أمن تكنولوجيا</w:t>
      </w:r>
      <w:r w:rsidRPr="00682FD3">
        <w:rPr>
          <w:rFonts w:hint="cs"/>
          <w:spacing w:val="4"/>
          <w:rtl/>
          <w:lang w:bidi="ar-EG"/>
        </w:rPr>
        <w:t>ت</w:t>
      </w:r>
      <w:r w:rsidRPr="00682FD3">
        <w:rPr>
          <w:rFonts w:hint="cs"/>
          <w:spacing w:val="4"/>
          <w:rtl/>
          <w:lang w:bidi="ar-SY"/>
        </w:rPr>
        <w:t xml:space="preserve"> السجلات الموزعة، إدارة الهوية والخصوصية</w:t>
      </w:r>
      <w:r w:rsidRPr="00682FD3">
        <w:rPr>
          <w:rFonts w:hint="cs"/>
          <w:rtl/>
        </w:rPr>
        <w:t>"</w:t>
      </w:r>
      <w:r w:rsidRPr="0077776D">
        <w:rPr>
          <w:rFonts w:hint="cs"/>
          <w:rtl/>
          <w:lang w:bidi="ar-EG"/>
        </w:rPr>
        <w:t xml:space="preserve"> </w:t>
      </w:r>
      <w:r w:rsidR="00311D96">
        <w:rPr>
          <w:rFonts w:hint="cs"/>
          <w:rtl/>
          <w:lang w:bidi="ar-EG"/>
        </w:rPr>
        <w:t>التي كانت من المفترض أن تُعقد</w:t>
      </w:r>
      <w:r w:rsidRPr="0077776D">
        <w:rPr>
          <w:rFonts w:hint="cs"/>
          <w:rtl/>
          <w:lang w:bidi="ar-EG"/>
        </w:rPr>
        <w:t xml:space="preserve"> في</w:t>
      </w:r>
      <w:r w:rsidRPr="0077776D">
        <w:rPr>
          <w:rFonts w:hint="eastAsia"/>
          <w:rtl/>
          <w:lang w:bidi="ar-EG"/>
        </w:rPr>
        <w:t> </w:t>
      </w:r>
      <w:r w:rsidRPr="0077776D">
        <w:t>16</w:t>
      </w:r>
      <w:r w:rsidRPr="0077776D">
        <w:rPr>
          <w:rFonts w:hint="eastAsia"/>
          <w:rtl/>
          <w:lang w:bidi="ar-EG"/>
        </w:rPr>
        <w:t> </w:t>
      </w:r>
      <w:r w:rsidRPr="0077776D">
        <w:rPr>
          <w:rFonts w:hint="cs"/>
          <w:rtl/>
          <w:lang w:bidi="ar-SY"/>
        </w:rPr>
        <w:t>مارس </w:t>
      </w:r>
      <w:r w:rsidRPr="0077776D">
        <w:rPr>
          <w:lang w:bidi="ar-SY"/>
        </w:rPr>
        <w:t>2020</w:t>
      </w:r>
      <w:r w:rsidRPr="0077776D">
        <w:rPr>
          <w:rFonts w:hint="cs"/>
          <w:rtl/>
        </w:rPr>
        <w:t xml:space="preserve"> في مقر الاتحاد، في جنيف بسويسرا</w:t>
      </w:r>
      <w:r w:rsidR="00311D96">
        <w:rPr>
          <w:rFonts w:hint="cs"/>
          <w:rtl/>
        </w:rPr>
        <w:t>. وسيُعلن عن موعد ومكان الانعقاد الجديد لاحقاً.</w:t>
      </w:r>
    </w:p>
    <w:p w14:paraId="0A2ECD3A" w14:textId="76C39117" w:rsidR="002B0363" w:rsidRPr="0077776D" w:rsidRDefault="002B0363" w:rsidP="005D6385">
      <w:pPr>
        <w:rPr>
          <w:rtl/>
          <w:lang w:bidi="ar-EG"/>
        </w:rPr>
      </w:pPr>
      <w:r w:rsidRPr="0077776D">
        <w:rPr>
          <w:rFonts w:hint="cs"/>
          <w:rtl/>
          <w:lang w:bidi="ar-SY"/>
        </w:rPr>
        <w:t xml:space="preserve">ويرد مزيد من التفاصيل بشأن اجتماع لجنة الدراسات </w:t>
      </w:r>
      <w:r w:rsidRPr="0077776D">
        <w:rPr>
          <w:lang w:bidi="ar-SY"/>
        </w:rPr>
        <w:t>17</w:t>
      </w:r>
      <w:r w:rsidRPr="0077776D">
        <w:rPr>
          <w:rFonts w:hint="cs"/>
          <w:rtl/>
          <w:lang w:bidi="ar-SY"/>
        </w:rPr>
        <w:t xml:space="preserve"> لقطاع تقييس الاتصالات في صفحتها الرئيسية في العنوان التالي: </w:t>
      </w:r>
      <w:hyperlink r:id="rId10" w:history="1">
        <w:r w:rsidRPr="0077776D">
          <w:rPr>
            <w:rStyle w:val="Hyperlink"/>
          </w:rPr>
          <w:t>https://www.itu.int/en/ITU-T/studygroups/2017-2020/17/Pages/default.aspx</w:t>
        </w:r>
      </w:hyperlink>
      <w:r w:rsidRPr="0077776D">
        <w:rPr>
          <w:rFonts w:hint="cs"/>
          <w:rtl/>
          <w:lang w:bidi="ar-SY"/>
        </w:rPr>
        <w:t>.</w:t>
      </w:r>
    </w:p>
    <w:p w14:paraId="0B3328E9" w14:textId="749E0E1B" w:rsidR="00D64F87" w:rsidRDefault="00311D96" w:rsidP="005D6385">
      <w:pPr>
        <w:ind w:left="-57"/>
        <w:jc w:val="left"/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لمزيد من المعلومات أو في حال وجود تساؤلات، يُرجى الاتصال بالعنوان التالي: </w:t>
      </w:r>
      <w:hyperlink r:id="rId11" w:history="1">
        <w:r w:rsidR="00D64F87" w:rsidRPr="00F101BA">
          <w:rPr>
            <w:rStyle w:val="Hyperlink"/>
          </w:rPr>
          <w:t>tsbevents@itu.int</w:t>
        </w:r>
      </w:hyperlink>
      <w:r w:rsidR="00D64F87">
        <w:rPr>
          <w:rFonts w:hint="cs"/>
          <w:rtl/>
        </w:rPr>
        <w:t>.</w:t>
      </w:r>
    </w:p>
    <w:p w14:paraId="6D401AEB" w14:textId="09EB35B9" w:rsidR="00E84438" w:rsidRDefault="00BC156D" w:rsidP="00E84438">
      <w:pPr>
        <w:spacing w:before="240"/>
        <w:ind w:left="-57"/>
        <w:jc w:val="left"/>
        <w:rPr>
          <w:rtl/>
          <w:lang w:bidi="ar-EG"/>
        </w:rPr>
      </w:pPr>
      <w:r>
        <w:rPr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41AB11DC" wp14:editId="43FF802D">
            <wp:simplePos x="0" y="0"/>
            <wp:positionH relativeFrom="margin">
              <wp:posOffset>5299710</wp:posOffset>
            </wp:positionH>
            <wp:positionV relativeFrom="paragraph">
              <wp:posOffset>320887</wp:posOffset>
            </wp:positionV>
            <wp:extent cx="905933" cy="627184"/>
            <wp:effectExtent l="0" t="0" r="8890" b="1905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 ARA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344" cy="631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438" w:rsidRPr="00D517B2">
        <w:rPr>
          <w:rFonts w:hint="cs"/>
          <w:rtl/>
          <w:lang w:bidi="ar-EG"/>
        </w:rPr>
        <w:t>وتفضلوا بقبول فائق التقدير والاحترام.</w:t>
      </w:r>
      <w:r w:rsidR="008955BB">
        <w:rPr>
          <w:rtl/>
          <w:lang w:bidi="ar-EG"/>
        </w:rPr>
        <w:tab/>
      </w:r>
    </w:p>
    <w:p w14:paraId="40EBA128" w14:textId="49923AEB" w:rsidR="008955BB" w:rsidRPr="00D517B2" w:rsidRDefault="008955BB" w:rsidP="00E84438">
      <w:pPr>
        <w:spacing w:before="240"/>
        <w:ind w:left="-57"/>
        <w:jc w:val="left"/>
        <w:rPr>
          <w:rtl/>
          <w:lang w:bidi="ar-EG"/>
        </w:rPr>
      </w:pPr>
    </w:p>
    <w:p w14:paraId="4087F85E" w14:textId="160FD8FB" w:rsidR="00596808" w:rsidRPr="00D517B2" w:rsidRDefault="00E84438" w:rsidP="008955BB">
      <w:pPr>
        <w:spacing w:before="360"/>
        <w:jc w:val="left"/>
        <w:rPr>
          <w:rtl/>
        </w:rPr>
      </w:pPr>
      <w:r w:rsidRPr="00D517B2">
        <w:rPr>
          <w:rFonts w:hint="cs"/>
          <w:rtl/>
          <w:lang w:bidi="ar-SY"/>
        </w:rPr>
        <w:t>تشيساب</w:t>
      </w:r>
      <w:r w:rsidRPr="00D517B2">
        <w:rPr>
          <w:rtl/>
          <w:lang w:bidi="ar-SY"/>
        </w:rPr>
        <w:t xml:space="preserve"> </w:t>
      </w:r>
      <w:r w:rsidRPr="00D517B2">
        <w:rPr>
          <w:rFonts w:hint="cs"/>
          <w:rtl/>
          <w:lang w:bidi="ar-SY"/>
        </w:rPr>
        <w:t>لي</w:t>
      </w:r>
      <w:r w:rsidRPr="00D517B2">
        <w:rPr>
          <w:rtl/>
          <w:lang w:bidi="ar-SY"/>
        </w:rPr>
        <w:br/>
      </w:r>
      <w:r w:rsidRPr="00D517B2">
        <w:rPr>
          <w:rFonts w:hint="cs"/>
          <w:rtl/>
          <w:lang w:bidi="ar-SY"/>
        </w:rPr>
        <w:t>مدير</w:t>
      </w:r>
      <w:r w:rsidRPr="00D517B2">
        <w:rPr>
          <w:rtl/>
          <w:lang w:bidi="ar-SY"/>
        </w:rPr>
        <w:t xml:space="preserve"> </w:t>
      </w:r>
      <w:r w:rsidRPr="00D517B2">
        <w:rPr>
          <w:rFonts w:hint="cs"/>
          <w:rtl/>
          <w:lang w:bidi="ar-SY"/>
        </w:rPr>
        <w:t>مكتب</w:t>
      </w:r>
      <w:r w:rsidRPr="00D517B2">
        <w:rPr>
          <w:rtl/>
          <w:lang w:bidi="ar-SY"/>
        </w:rPr>
        <w:t xml:space="preserve"> </w:t>
      </w:r>
      <w:r w:rsidRPr="00D517B2">
        <w:rPr>
          <w:rFonts w:hint="cs"/>
          <w:rtl/>
          <w:lang w:bidi="ar-SY"/>
        </w:rPr>
        <w:t>تقييس</w:t>
      </w:r>
      <w:r w:rsidRPr="00D517B2">
        <w:rPr>
          <w:rtl/>
          <w:lang w:bidi="ar-SY"/>
        </w:rPr>
        <w:t xml:space="preserve"> </w:t>
      </w:r>
      <w:r w:rsidRPr="00D517B2">
        <w:rPr>
          <w:rFonts w:hint="cs"/>
          <w:rtl/>
          <w:lang w:bidi="ar-SY"/>
        </w:rPr>
        <w:t>الاتصالات</w:t>
      </w:r>
    </w:p>
    <w:sectPr w:rsidR="00596808" w:rsidRPr="00D517B2" w:rsidSect="008955BB">
      <w:headerReference w:type="default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9DB60" w14:textId="77777777" w:rsidR="00397AAA" w:rsidRDefault="00397AAA" w:rsidP="006C3242">
      <w:pPr>
        <w:spacing w:before="0" w:line="240" w:lineRule="auto"/>
      </w:pPr>
      <w:r>
        <w:separator/>
      </w:r>
    </w:p>
  </w:endnote>
  <w:endnote w:type="continuationSeparator" w:id="0">
    <w:p w14:paraId="4B300465" w14:textId="77777777" w:rsidR="00397AAA" w:rsidRDefault="00397AAA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2BCBE" w14:textId="32D1BA1E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73C09" w14:textId="77777777" w:rsidR="00596808" w:rsidRPr="005D6385" w:rsidRDefault="00596808" w:rsidP="00596808"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jc w:val="center"/>
      <w:textAlignment w:val="baseline"/>
      <w:rPr>
        <w:rFonts w:eastAsia="Times New Roman"/>
        <w:sz w:val="18"/>
        <w:szCs w:val="18"/>
        <w:lang w:val="fr-CH" w:eastAsia="en-US"/>
      </w:rPr>
    </w:pPr>
    <w:r w:rsidRPr="005D6385">
      <w:rPr>
        <w:rFonts w:eastAsia="Times New Roman"/>
        <w:sz w:val="18"/>
        <w:szCs w:val="18"/>
        <w:lang w:val="fr-CH" w:eastAsia="en-US"/>
      </w:rPr>
      <w:t xml:space="preserve">International </w:t>
    </w:r>
    <w:proofErr w:type="spellStart"/>
    <w:r w:rsidRPr="005D6385">
      <w:rPr>
        <w:rFonts w:eastAsia="Times New Roman"/>
        <w:sz w:val="18"/>
        <w:szCs w:val="18"/>
        <w:lang w:val="fr-CH" w:eastAsia="en-US"/>
      </w:rPr>
      <w:t>Telecommunication</w:t>
    </w:r>
    <w:proofErr w:type="spellEnd"/>
    <w:r w:rsidRPr="005D6385">
      <w:rPr>
        <w:rFonts w:eastAsia="Times New Roman"/>
        <w:sz w:val="18"/>
        <w:szCs w:val="18"/>
        <w:lang w:val="fr-CH" w:eastAsia="en-US"/>
      </w:rPr>
      <w:t xml:space="preserve"> Union • Place des Nations • CH</w:t>
    </w:r>
    <w:r w:rsidRPr="005D6385">
      <w:rPr>
        <w:rFonts w:eastAsia="Times New Roman"/>
        <w:sz w:val="18"/>
        <w:szCs w:val="18"/>
        <w:lang w:val="fr-CH" w:eastAsia="en-US"/>
      </w:rPr>
      <w:noBreakHyphen/>
      <w:t xml:space="preserve">1211 Geneva 20 • Switzerland </w:t>
    </w:r>
    <w:r w:rsidRPr="005D6385">
      <w:rPr>
        <w:rFonts w:eastAsia="Times New Roman"/>
        <w:sz w:val="18"/>
        <w:szCs w:val="18"/>
        <w:lang w:val="fr-CH" w:eastAsia="en-US"/>
      </w:rPr>
      <w:br/>
      <w:t xml:space="preserve">Tel: +41 22 730 5111 • Fax: +41 22 733 7256 • E-mail: </w:t>
    </w:r>
    <w:hyperlink r:id="rId1" w:history="1">
      <w:r w:rsidRPr="005D6385">
        <w:rPr>
          <w:rStyle w:val="Hyperlink"/>
          <w:rFonts w:eastAsia="Times New Roman"/>
          <w:sz w:val="18"/>
          <w:szCs w:val="18"/>
          <w:lang w:val="fr-CH" w:eastAsia="en-US"/>
        </w:rPr>
        <w:t>itumail@itu.int</w:t>
      </w:r>
    </w:hyperlink>
    <w:r w:rsidRPr="005D6385">
      <w:rPr>
        <w:rFonts w:eastAsia="Times New Roman"/>
        <w:sz w:val="18"/>
        <w:szCs w:val="18"/>
        <w:lang w:val="fr-CH" w:eastAsia="en-US"/>
      </w:rPr>
      <w:t xml:space="preserve"> • </w:t>
    </w:r>
    <w:hyperlink r:id="rId2" w:history="1">
      <w:r w:rsidRPr="005D6385">
        <w:rPr>
          <w:rStyle w:val="Hyperlink"/>
          <w:rFonts w:eastAsia="Times New Roman"/>
          <w:sz w:val="18"/>
          <w:szCs w:val="18"/>
          <w:lang w:val="fr-CH" w:eastAsia="en-US"/>
        </w:rPr>
        <w:t>www.itu.int</w:t>
      </w:r>
    </w:hyperlink>
    <w:r w:rsidRPr="005D6385">
      <w:rPr>
        <w:rFonts w:eastAsia="Times New Roman"/>
        <w:sz w:val="18"/>
        <w:szCs w:val="18"/>
        <w:lang w:val="fr-CH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B0012" w14:textId="77777777" w:rsidR="00397AAA" w:rsidRDefault="00397AAA" w:rsidP="006C3242">
      <w:pPr>
        <w:spacing w:before="0" w:line="240" w:lineRule="auto"/>
      </w:pPr>
      <w:r>
        <w:separator/>
      </w:r>
    </w:p>
  </w:footnote>
  <w:footnote w:type="continuationSeparator" w:id="0">
    <w:p w14:paraId="4D7FCF39" w14:textId="77777777" w:rsidR="00397AAA" w:rsidRDefault="00397AAA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704DF" w14:textId="78B266D1" w:rsidR="00447F32" w:rsidRPr="00596808" w:rsidRDefault="00596808" w:rsidP="00E84438">
    <w:pPr>
      <w:pStyle w:val="Header"/>
      <w:spacing w:after="12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="00993EAA">
      <w:rPr>
        <w:noProof/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Pr="002F00A9">
      <w:rPr>
        <w:rFonts w:asciiTheme="minorHAnsi" w:hAnsiTheme="minorHAnsi" w:cstheme="minorHAnsi"/>
        <w:sz w:val="18"/>
        <w:szCs w:val="18"/>
        <w:rtl/>
        <w:lang w:bidi="ar-EG"/>
      </w:rPr>
      <w:t xml:space="preserve">الرسالة </w:t>
    </w:r>
    <w:r w:rsidR="00E84438" w:rsidRPr="002F00A9">
      <w:rPr>
        <w:rFonts w:asciiTheme="minorHAnsi" w:hAnsiTheme="minorHAnsi" w:cstheme="minorHAnsi"/>
        <w:sz w:val="18"/>
        <w:szCs w:val="18"/>
        <w:rtl/>
        <w:lang w:bidi="ar-EG"/>
      </w:rPr>
      <w:t>المعممة</w:t>
    </w:r>
    <w:r w:rsidRPr="002F00A9">
      <w:rPr>
        <w:rFonts w:asciiTheme="minorHAnsi" w:hAnsiTheme="minorHAnsi" w:cstheme="minorHAnsi"/>
        <w:sz w:val="18"/>
        <w:szCs w:val="18"/>
        <w:rtl/>
        <w:lang w:bidi="ar-EG"/>
      </w:rPr>
      <w:t xml:space="preserve"> </w:t>
    </w:r>
    <w:r w:rsidR="00280174">
      <w:rPr>
        <w:rFonts w:asciiTheme="minorHAnsi" w:hAnsiTheme="minorHAnsi" w:cstheme="minorHAnsi"/>
        <w:sz w:val="18"/>
        <w:szCs w:val="18"/>
      </w:rPr>
      <w:t>(Add.1)</w:t>
    </w:r>
    <w:r w:rsidR="00400EC6" w:rsidRPr="002F00A9">
      <w:rPr>
        <w:rFonts w:asciiTheme="minorHAnsi" w:hAnsiTheme="minorHAnsi" w:cstheme="minorHAnsi"/>
        <w:sz w:val="18"/>
        <w:szCs w:val="18"/>
        <w:rtl/>
        <w:lang w:val="en-GB"/>
      </w:rPr>
      <w:t xml:space="preserve"> </w:t>
    </w:r>
    <w:r w:rsidR="00280174" w:rsidRPr="002F00A9">
      <w:rPr>
        <w:rFonts w:asciiTheme="minorHAnsi" w:hAnsiTheme="minorHAnsi" w:cstheme="minorHAnsi"/>
        <w:sz w:val="18"/>
        <w:szCs w:val="18"/>
        <w:rtl/>
        <w:lang w:val="en-GB"/>
      </w:rPr>
      <w:t>226</w:t>
    </w:r>
    <w:r w:rsidR="00280174">
      <w:rPr>
        <w:rFonts w:asciiTheme="minorHAnsi" w:hAnsiTheme="minorHAnsi" w:cstheme="minorHAnsi"/>
        <w:sz w:val="18"/>
        <w:szCs w:val="18"/>
      </w:rPr>
      <w:t xml:space="preserve"> </w:t>
    </w:r>
    <w:r w:rsidR="003A3046" w:rsidRPr="002F00A9">
      <w:rPr>
        <w:rFonts w:asciiTheme="minorHAnsi" w:hAnsiTheme="minorHAnsi" w:cstheme="minorHAnsi"/>
        <w:sz w:val="18"/>
        <w:szCs w:val="18"/>
        <w:rtl/>
        <w:lang w:val="en-GB"/>
      </w:rPr>
      <w:t>لمكتب</w:t>
    </w:r>
    <w:r w:rsidR="00400EC6" w:rsidRPr="002F00A9">
      <w:rPr>
        <w:rFonts w:asciiTheme="minorHAnsi" w:hAnsiTheme="minorHAnsi" w:cstheme="minorHAnsi"/>
        <w:sz w:val="18"/>
        <w:szCs w:val="18"/>
        <w:rtl/>
        <w:lang w:val="en-GB"/>
      </w:rPr>
      <w:t xml:space="preserve">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EE"/>
    <w:rsid w:val="00057AD2"/>
    <w:rsid w:val="0006468A"/>
    <w:rsid w:val="00090574"/>
    <w:rsid w:val="00097290"/>
    <w:rsid w:val="000C1C0E"/>
    <w:rsid w:val="000C548A"/>
    <w:rsid w:val="00146FE2"/>
    <w:rsid w:val="001C0169"/>
    <w:rsid w:val="001D1D50"/>
    <w:rsid w:val="001D6745"/>
    <w:rsid w:val="001E1A48"/>
    <w:rsid w:val="001E446E"/>
    <w:rsid w:val="002154EE"/>
    <w:rsid w:val="002276D2"/>
    <w:rsid w:val="0023283D"/>
    <w:rsid w:val="0026373E"/>
    <w:rsid w:val="00271C43"/>
    <w:rsid w:val="00276C3B"/>
    <w:rsid w:val="00280174"/>
    <w:rsid w:val="00290728"/>
    <w:rsid w:val="002978F4"/>
    <w:rsid w:val="002B028D"/>
    <w:rsid w:val="002B0363"/>
    <w:rsid w:val="002E196B"/>
    <w:rsid w:val="002E6541"/>
    <w:rsid w:val="002F00A9"/>
    <w:rsid w:val="0030567E"/>
    <w:rsid w:val="00311D96"/>
    <w:rsid w:val="00323767"/>
    <w:rsid w:val="00334924"/>
    <w:rsid w:val="003409BC"/>
    <w:rsid w:val="00357185"/>
    <w:rsid w:val="00383829"/>
    <w:rsid w:val="00397AAA"/>
    <w:rsid w:val="003A3046"/>
    <w:rsid w:val="003F4B29"/>
    <w:rsid w:val="00400EC6"/>
    <w:rsid w:val="0042686F"/>
    <w:rsid w:val="004317D8"/>
    <w:rsid w:val="00434183"/>
    <w:rsid w:val="00443869"/>
    <w:rsid w:val="00447F32"/>
    <w:rsid w:val="004E11DC"/>
    <w:rsid w:val="00525DDD"/>
    <w:rsid w:val="005409AC"/>
    <w:rsid w:val="00541595"/>
    <w:rsid w:val="0055516A"/>
    <w:rsid w:val="0058491B"/>
    <w:rsid w:val="00584C2C"/>
    <w:rsid w:val="00592EA5"/>
    <w:rsid w:val="00595B52"/>
    <w:rsid w:val="00596808"/>
    <w:rsid w:val="005A3170"/>
    <w:rsid w:val="005D6385"/>
    <w:rsid w:val="00637B39"/>
    <w:rsid w:val="00640EF3"/>
    <w:rsid w:val="00677396"/>
    <w:rsid w:val="00682FD3"/>
    <w:rsid w:val="0069200F"/>
    <w:rsid w:val="0069523B"/>
    <w:rsid w:val="006A65CB"/>
    <w:rsid w:val="006C1530"/>
    <w:rsid w:val="006C3242"/>
    <w:rsid w:val="006C7CC0"/>
    <w:rsid w:val="006F10E3"/>
    <w:rsid w:val="006F63F7"/>
    <w:rsid w:val="007025C7"/>
    <w:rsid w:val="00706D7A"/>
    <w:rsid w:val="00715F9F"/>
    <w:rsid w:val="00722F0D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470CE"/>
    <w:rsid w:val="008513CB"/>
    <w:rsid w:val="00866863"/>
    <w:rsid w:val="00873469"/>
    <w:rsid w:val="008955BB"/>
    <w:rsid w:val="008A7F84"/>
    <w:rsid w:val="008C23B2"/>
    <w:rsid w:val="008D3D18"/>
    <w:rsid w:val="0091702E"/>
    <w:rsid w:val="00923B0C"/>
    <w:rsid w:val="0094021C"/>
    <w:rsid w:val="00952F86"/>
    <w:rsid w:val="009758EE"/>
    <w:rsid w:val="00982B28"/>
    <w:rsid w:val="00993EAA"/>
    <w:rsid w:val="009D313F"/>
    <w:rsid w:val="009D7A10"/>
    <w:rsid w:val="00A47A5A"/>
    <w:rsid w:val="00A6683B"/>
    <w:rsid w:val="00A97F94"/>
    <w:rsid w:val="00AA7EA2"/>
    <w:rsid w:val="00AF6B5C"/>
    <w:rsid w:val="00B03099"/>
    <w:rsid w:val="00B05BC8"/>
    <w:rsid w:val="00B3433F"/>
    <w:rsid w:val="00B64B47"/>
    <w:rsid w:val="00BB0122"/>
    <w:rsid w:val="00BB0F08"/>
    <w:rsid w:val="00BC156D"/>
    <w:rsid w:val="00C002DE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22846"/>
    <w:rsid w:val="00D517B2"/>
    <w:rsid w:val="00D64F87"/>
    <w:rsid w:val="00D77D0F"/>
    <w:rsid w:val="00DA1CF0"/>
    <w:rsid w:val="00DC1E02"/>
    <w:rsid w:val="00DC24B4"/>
    <w:rsid w:val="00DC5FB0"/>
    <w:rsid w:val="00DD1EBB"/>
    <w:rsid w:val="00DF16DC"/>
    <w:rsid w:val="00E45211"/>
    <w:rsid w:val="00E473C5"/>
    <w:rsid w:val="00E70B38"/>
    <w:rsid w:val="00E84438"/>
    <w:rsid w:val="00E92863"/>
    <w:rsid w:val="00EB796D"/>
    <w:rsid w:val="00ED4AD5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FE1AF2"/>
  <w15:chartTrackingRefBased/>
  <w15:docId w15:val="{BC5104F2-3D02-40A9-ABA3-7A6E1B3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bevents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en/ITU-T/studygroups/2017-2020/17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2C9A-A325-402B-8C68-416E63AD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Abdullah</dc:creator>
  <cp:keywords/>
  <dc:description/>
  <cp:lastModifiedBy>Jenkins, Lia</cp:lastModifiedBy>
  <cp:revision>14</cp:revision>
  <cp:lastPrinted>2020-03-17T15:16:00Z</cp:lastPrinted>
  <dcterms:created xsi:type="dcterms:W3CDTF">2020-03-10T08:11:00Z</dcterms:created>
  <dcterms:modified xsi:type="dcterms:W3CDTF">2020-03-17T15:17:00Z</dcterms:modified>
</cp:coreProperties>
</file>