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14:paraId="26D7A6C4" w14:textId="77777777" w:rsidTr="00A65D3F">
        <w:trPr>
          <w:cantSplit/>
        </w:trPr>
        <w:tc>
          <w:tcPr>
            <w:tcW w:w="1410" w:type="dxa"/>
            <w:gridSpan w:val="2"/>
          </w:tcPr>
          <w:p w14:paraId="4E000884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093CD42B" wp14:editId="7DA4217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2539734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BDC8B4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268AA017" w14:textId="77777777" w:rsidTr="00A65D3F">
        <w:trPr>
          <w:cantSplit/>
        </w:trPr>
        <w:tc>
          <w:tcPr>
            <w:tcW w:w="1126" w:type="dxa"/>
          </w:tcPr>
          <w:p w14:paraId="3A2578BB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51" w:type="dxa"/>
            <w:gridSpan w:val="2"/>
          </w:tcPr>
          <w:p w14:paraId="4A957B5E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63AAB264" w14:textId="18FC4E6A" w:rsidR="007B6316" w:rsidRDefault="00190A36" w:rsidP="005619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8" w:hanging="230"/>
            </w:pPr>
            <w:r w:rsidRPr="00190A36">
              <w:rPr>
                <w:szCs w:val="24"/>
              </w:rPr>
              <w:t>Ginebra, 23 de diciembre de 2019</w:t>
            </w:r>
          </w:p>
        </w:tc>
      </w:tr>
      <w:tr w:rsidR="007B6316" w14:paraId="0FB900F1" w14:textId="77777777" w:rsidTr="00A65D3F">
        <w:trPr>
          <w:cantSplit/>
        </w:trPr>
        <w:tc>
          <w:tcPr>
            <w:tcW w:w="1126" w:type="dxa"/>
          </w:tcPr>
          <w:p w14:paraId="5174230F" w14:textId="42F5CBA4" w:rsidR="007B6316" w:rsidRPr="00135DDC" w:rsidRDefault="007B6316" w:rsidP="00135DDC">
            <w:pPr>
              <w:spacing w:before="40" w:after="40"/>
              <w:ind w:left="57"/>
            </w:pPr>
            <w:r w:rsidRPr="00135DDC">
              <w:t>Ref.:</w:t>
            </w:r>
          </w:p>
        </w:tc>
        <w:tc>
          <w:tcPr>
            <w:tcW w:w="3751" w:type="dxa"/>
            <w:gridSpan w:val="2"/>
          </w:tcPr>
          <w:p w14:paraId="44198708" w14:textId="0913A6C3" w:rsidR="007B6316" w:rsidRPr="00190A36" w:rsidRDefault="007B6316" w:rsidP="00135DDC">
            <w:pPr>
              <w:spacing w:before="40" w:after="40"/>
              <w:ind w:left="57"/>
              <w:rPr>
                <w:lang w:val="en-US"/>
              </w:rPr>
            </w:pPr>
            <w:r w:rsidRPr="00190A36">
              <w:rPr>
                <w:b/>
                <w:bCs/>
                <w:lang w:val="en-US"/>
              </w:rPr>
              <w:t xml:space="preserve">Circular TSB </w:t>
            </w:r>
            <w:r w:rsidR="00190A36" w:rsidRPr="00190A36">
              <w:rPr>
                <w:b/>
                <w:bCs/>
                <w:lang w:val="en-US"/>
              </w:rPr>
              <w:t>225</w:t>
            </w:r>
            <w:r w:rsidR="00A0071B" w:rsidRPr="00190A36">
              <w:rPr>
                <w:b/>
                <w:bCs/>
                <w:lang w:val="en-US"/>
              </w:rPr>
              <w:br/>
            </w:r>
            <w:r w:rsidR="00190A36" w:rsidRPr="00190A36">
              <w:rPr>
                <w:lang w:val="en-US"/>
              </w:rPr>
              <w:t>TSB Events/XY</w:t>
            </w:r>
          </w:p>
        </w:tc>
        <w:tc>
          <w:tcPr>
            <w:tcW w:w="5329" w:type="dxa"/>
            <w:vMerge w:val="restart"/>
          </w:tcPr>
          <w:p w14:paraId="50901BDC" w14:textId="14CEC926" w:rsidR="00135DDC" w:rsidRDefault="00135DDC" w:rsidP="00135DDC">
            <w:pPr>
              <w:tabs>
                <w:tab w:val="left" w:pos="4111"/>
              </w:tabs>
              <w:spacing w:before="40"/>
              <w:ind w:left="57"/>
            </w:pPr>
            <w:bookmarkStart w:id="0" w:name="Addressee_S"/>
            <w:bookmarkEnd w:id="0"/>
            <w:r>
              <w:rPr>
                <w:b/>
              </w:rPr>
              <w:t>A</w:t>
            </w:r>
            <w:r>
              <w:t>:</w:t>
            </w:r>
          </w:p>
          <w:p w14:paraId="17728805" w14:textId="77777777" w:rsidR="00A0071B" w:rsidRDefault="00135DDC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</w:r>
            <w:r w:rsidR="00A0071B">
              <w:t>las Administraciones de los Estados Miembros de la Unión;</w:t>
            </w:r>
          </w:p>
          <w:p w14:paraId="1FD8F658" w14:textId="3C675A54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los Miembros de Sector del UIT-T;</w:t>
            </w:r>
          </w:p>
          <w:p w14:paraId="616F4F3B" w14:textId="1B87039C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los Asociados del UIT-T;</w:t>
            </w:r>
          </w:p>
          <w:p w14:paraId="225E1E31" w14:textId="5DADF0D0" w:rsidR="007B6316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57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3D14AEC9" w14:textId="77777777" w:rsidTr="00A65D3F">
        <w:trPr>
          <w:cantSplit/>
        </w:trPr>
        <w:tc>
          <w:tcPr>
            <w:tcW w:w="1126" w:type="dxa"/>
          </w:tcPr>
          <w:p w14:paraId="4765C770" w14:textId="77777777" w:rsidR="007B6316" w:rsidRPr="00135DDC" w:rsidRDefault="007B6316" w:rsidP="00135DDC">
            <w:pPr>
              <w:spacing w:before="40" w:after="40"/>
              <w:ind w:left="57"/>
            </w:pPr>
            <w:r w:rsidRPr="00135DDC">
              <w:t>Tel.:</w:t>
            </w:r>
          </w:p>
        </w:tc>
        <w:tc>
          <w:tcPr>
            <w:tcW w:w="3751" w:type="dxa"/>
            <w:gridSpan w:val="2"/>
          </w:tcPr>
          <w:p w14:paraId="26A0DBC5" w14:textId="4FFC36C5" w:rsidR="007B6316" w:rsidRPr="00135DDC" w:rsidRDefault="00190A36" w:rsidP="00135DDC">
            <w:pPr>
              <w:spacing w:before="40" w:after="40"/>
              <w:ind w:left="57"/>
            </w:pPr>
            <w:r w:rsidRPr="00190A36">
              <w:t>+41 22 730 5860</w:t>
            </w:r>
          </w:p>
        </w:tc>
        <w:tc>
          <w:tcPr>
            <w:tcW w:w="5329" w:type="dxa"/>
            <w:vMerge/>
          </w:tcPr>
          <w:p w14:paraId="041BE45E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3B7505D3" w14:textId="77777777" w:rsidTr="00A65D3F">
        <w:trPr>
          <w:cantSplit/>
        </w:trPr>
        <w:tc>
          <w:tcPr>
            <w:tcW w:w="1126" w:type="dxa"/>
          </w:tcPr>
          <w:p w14:paraId="5D82172E" w14:textId="77777777" w:rsidR="007B6316" w:rsidRPr="00135DDC" w:rsidRDefault="007B6316" w:rsidP="00135DDC">
            <w:pPr>
              <w:spacing w:before="40" w:after="40"/>
              <w:ind w:left="57"/>
            </w:pPr>
            <w:r w:rsidRPr="00135DDC">
              <w:t>Fax:</w:t>
            </w:r>
          </w:p>
        </w:tc>
        <w:tc>
          <w:tcPr>
            <w:tcW w:w="3751" w:type="dxa"/>
            <w:gridSpan w:val="2"/>
          </w:tcPr>
          <w:p w14:paraId="62C02875" w14:textId="49C70696" w:rsidR="007B6316" w:rsidRPr="00135DDC" w:rsidRDefault="00190A36" w:rsidP="00135DDC">
            <w:pPr>
              <w:spacing w:before="40" w:after="40"/>
              <w:ind w:left="57"/>
            </w:pPr>
            <w:r w:rsidRPr="00190A36">
              <w:t>+41 22 730 5853</w:t>
            </w:r>
          </w:p>
        </w:tc>
        <w:tc>
          <w:tcPr>
            <w:tcW w:w="5329" w:type="dxa"/>
            <w:vMerge/>
          </w:tcPr>
          <w:p w14:paraId="00DD0E2A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091F3A94" w14:textId="77777777" w:rsidTr="00A65D3F">
        <w:trPr>
          <w:cantSplit/>
        </w:trPr>
        <w:tc>
          <w:tcPr>
            <w:tcW w:w="1126" w:type="dxa"/>
          </w:tcPr>
          <w:p w14:paraId="136D3BB5" w14:textId="77777777" w:rsidR="00C34772" w:rsidRPr="007B6316" w:rsidRDefault="00C34772" w:rsidP="00135DDC">
            <w:pPr>
              <w:spacing w:before="40" w:after="40"/>
              <w:ind w:left="57"/>
            </w:pPr>
            <w:r w:rsidRPr="007B6316">
              <w:t>Correo-e:</w:t>
            </w:r>
          </w:p>
        </w:tc>
        <w:tc>
          <w:tcPr>
            <w:tcW w:w="3751" w:type="dxa"/>
            <w:gridSpan w:val="2"/>
          </w:tcPr>
          <w:p w14:paraId="60985BB4" w14:textId="03B53C69" w:rsidR="00C34772" w:rsidRDefault="00157BCC" w:rsidP="00135DDC">
            <w:pPr>
              <w:spacing w:before="40" w:after="40"/>
              <w:ind w:left="57"/>
            </w:pPr>
            <w:hyperlink r:id="rId9" w:history="1">
              <w:r w:rsidR="00190A36" w:rsidRPr="00604B8A">
                <w:rPr>
                  <w:rStyle w:val="Hyperlink"/>
                </w:rPr>
                <w:t>tsbfgqit4n@itu.int</w:t>
              </w:r>
            </w:hyperlink>
          </w:p>
        </w:tc>
        <w:tc>
          <w:tcPr>
            <w:tcW w:w="5329" w:type="dxa"/>
          </w:tcPr>
          <w:p w14:paraId="5002F722" w14:textId="77777777" w:rsidR="00C34772" w:rsidRDefault="00C34772" w:rsidP="00135DDC">
            <w:pPr>
              <w:tabs>
                <w:tab w:val="left" w:pos="4111"/>
              </w:tabs>
              <w:spacing w:before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14:paraId="7BCF7A77" w14:textId="77777777" w:rsidR="00A0071B" w:rsidRDefault="00135DDC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</w:r>
            <w:r w:rsidR="00A0071B">
              <w:t>a los Presidentes y Vicepresidentes de las Comisiones de Estudio del UIT-T;</w:t>
            </w:r>
          </w:p>
          <w:p w14:paraId="619A28EE" w14:textId="3F7A6261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a la Directora de la Oficina de Desarrollo de las Telecomunicaciones;</w:t>
            </w:r>
          </w:p>
          <w:p w14:paraId="04353AD9" w14:textId="0B84D24A" w:rsidR="00C34772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7B6316" w:rsidRPr="0056199A" w14:paraId="345A9C90" w14:textId="77777777" w:rsidTr="00A65D3F">
        <w:trPr>
          <w:cantSplit/>
        </w:trPr>
        <w:tc>
          <w:tcPr>
            <w:tcW w:w="1126" w:type="dxa"/>
          </w:tcPr>
          <w:p w14:paraId="0E16E588" w14:textId="77777777" w:rsidR="007B6316" w:rsidRPr="0056199A" w:rsidRDefault="007B6316" w:rsidP="0056199A">
            <w:pPr>
              <w:spacing w:before="240" w:after="120"/>
              <w:ind w:left="58"/>
              <w:rPr>
                <w:b/>
              </w:rPr>
            </w:pPr>
            <w:r w:rsidRPr="0056199A">
              <w:rPr>
                <w:b/>
              </w:rPr>
              <w:t>Asunto:</w:t>
            </w:r>
          </w:p>
        </w:tc>
        <w:tc>
          <w:tcPr>
            <w:tcW w:w="9080" w:type="dxa"/>
            <w:gridSpan w:val="3"/>
          </w:tcPr>
          <w:p w14:paraId="1F705ADD" w14:textId="449BC9DB" w:rsidR="007B6316" w:rsidRPr="0056199A" w:rsidRDefault="00190A36" w:rsidP="0056199A">
            <w:pPr>
              <w:spacing w:before="240" w:after="120"/>
              <w:ind w:left="58"/>
              <w:rPr>
                <w:b/>
                <w:bCs/>
              </w:rPr>
            </w:pPr>
            <w:r w:rsidRPr="0056199A">
              <w:rPr>
                <w:b/>
                <w:bCs/>
              </w:rPr>
              <w:t>Taller de la UIT sobre "Tecnología de la información cuántica para redes" (17 de febrero de 2020) y 2ª reunión del FG-QIT4N (18-20 de febrero de 2020) en Riad (Arabia Saudita)</w:t>
            </w:r>
          </w:p>
        </w:tc>
      </w:tr>
    </w:tbl>
    <w:p w14:paraId="133516B5" w14:textId="6BD38C68" w:rsidR="00C34772" w:rsidRDefault="0056199A" w:rsidP="00135DDC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mío,</w:t>
      </w:r>
    </w:p>
    <w:p w14:paraId="51321FB3" w14:textId="0CA0FF02" w:rsidR="00190A36" w:rsidRPr="00190A36" w:rsidRDefault="00190A36" w:rsidP="00190A36">
      <w:pPr>
        <w:rPr>
          <w:bCs/>
        </w:rPr>
      </w:pPr>
      <w:r w:rsidRPr="00190A36">
        <w:rPr>
          <w:bCs/>
        </w:rPr>
        <w:t>1</w:t>
      </w:r>
      <w:r w:rsidRPr="00190A36">
        <w:rPr>
          <w:bCs/>
        </w:rPr>
        <w:tab/>
        <w:t>Me complace informarle que, por amable invitación del Reino de Arabia Saudita, la 2ª</w:t>
      </w:r>
      <w:r w:rsidR="00A65D3F">
        <w:rPr>
          <w:bCs/>
        </w:rPr>
        <w:t> </w:t>
      </w:r>
      <w:r w:rsidRPr="00190A36">
        <w:rPr>
          <w:bCs/>
        </w:rPr>
        <w:t xml:space="preserve">reunión del </w:t>
      </w:r>
      <w:hyperlink r:id="rId10" w:history="1">
        <w:r w:rsidRPr="00190A36">
          <w:rPr>
            <w:rStyle w:val="Hyperlink"/>
            <w:bCs/>
          </w:rPr>
          <w:t>Grupo Temático del UIT-T sobre tecnología de la información cuántica para redes (FG</w:t>
        </w:r>
        <w:r>
          <w:rPr>
            <w:rStyle w:val="Hyperlink"/>
            <w:bCs/>
          </w:rPr>
          <w:noBreakHyphen/>
        </w:r>
        <w:r w:rsidRPr="00190A36">
          <w:rPr>
            <w:rStyle w:val="Hyperlink"/>
            <w:bCs/>
          </w:rPr>
          <w:t>QIT4N)</w:t>
        </w:r>
      </w:hyperlink>
      <w:r w:rsidRPr="00190A36">
        <w:rPr>
          <w:bCs/>
        </w:rPr>
        <w:t xml:space="preserve"> tendrá lugar del 18 al 20 de febrero de 2020 en las instalaciones de la Comisión de Comunicaciones y Tecnología de la Información (CITC) en Riad (Arabia Saudita), precedido por un taller sobre </w:t>
      </w:r>
      <w:r>
        <w:rPr>
          <w:bCs/>
        </w:rPr>
        <w:t>"</w:t>
      </w:r>
      <w:r w:rsidRPr="00190A36">
        <w:rPr>
          <w:bCs/>
        </w:rPr>
        <w:t>Tecnología de la información cuántica para redes</w:t>
      </w:r>
      <w:r>
        <w:rPr>
          <w:bCs/>
        </w:rPr>
        <w:t>"</w:t>
      </w:r>
      <w:r w:rsidRPr="00190A36">
        <w:rPr>
          <w:bCs/>
        </w:rPr>
        <w:t>, que se celebrará el 17 de febrero de 2020 en el mismo lugar.</w:t>
      </w:r>
    </w:p>
    <w:p w14:paraId="0AF6F245" w14:textId="4E541DE5" w:rsidR="00190A36" w:rsidRPr="00190A36" w:rsidRDefault="00190A36" w:rsidP="00190A36">
      <w:pPr>
        <w:rPr>
          <w:bCs/>
        </w:rPr>
      </w:pPr>
      <w:r w:rsidRPr="00190A36">
        <w:rPr>
          <w:bCs/>
        </w:rPr>
        <w:t>2</w:t>
      </w:r>
      <w:r w:rsidRPr="00190A36">
        <w:rPr>
          <w:bCs/>
        </w:rPr>
        <w:tab/>
        <w:t>La reunión del Grupo Temático comenzará a las 09.30 horas del martes 18 de febrero de</w:t>
      </w:r>
      <w:r>
        <w:rPr>
          <w:bCs/>
        </w:rPr>
        <w:t> </w:t>
      </w:r>
      <w:r w:rsidRPr="00190A36">
        <w:rPr>
          <w:bCs/>
        </w:rPr>
        <w:t>2020. El taller empezará a las 09.30 horas del lunes 17 de febrero de 2020. La reunión y el taller se celebrarán únicamente en inglés.</w:t>
      </w:r>
    </w:p>
    <w:p w14:paraId="3EB8E52F" w14:textId="77777777" w:rsidR="00190A36" w:rsidRPr="00190A36" w:rsidRDefault="00190A36" w:rsidP="00190A36">
      <w:pPr>
        <w:rPr>
          <w:bCs/>
        </w:rPr>
      </w:pPr>
      <w:r w:rsidRPr="00190A36">
        <w:rPr>
          <w:bCs/>
        </w:rPr>
        <w:t>3</w:t>
      </w:r>
      <w:r w:rsidRPr="00190A36">
        <w:rPr>
          <w:bCs/>
        </w:rPr>
        <w:tab/>
        <w:t>El objetivo de este taller es congregar a instituciones académicas, empresas de alta tecnología, operadores de redes, proveedores de sistemas y responsables de la elaboración de políticas de TIC de todo el mundo en una plataforma global, en la que compartir los últimos avances mundiales en materia de investigación, aplicación y desarrollo comercial de la tecnología de la información cuántica, en aras de un examen y un debate exhaustivos, promover la coordinación y la colaboración en el desarrollo de la industrialización de dicha tecnología, analizar las necesidades y definir una hoja de ruta para la normalización mundial de la tecnología de la información cuántica, con un énfasis especial en los aspectos relacionados con la red.</w:t>
      </w:r>
    </w:p>
    <w:p w14:paraId="563D04AE" w14:textId="77777777" w:rsidR="00190A36" w:rsidRPr="00190A36" w:rsidRDefault="00190A36" w:rsidP="00190A36">
      <w:pPr>
        <w:rPr>
          <w:bCs/>
        </w:rPr>
      </w:pPr>
      <w:r w:rsidRPr="00190A36">
        <w:rPr>
          <w:bCs/>
        </w:rPr>
        <w:t>4</w:t>
      </w:r>
      <w:r w:rsidRPr="00190A36">
        <w:rPr>
          <w:bCs/>
        </w:rPr>
        <w:tab/>
        <w:t>La información relativa a este taller, incluido el proyecto de programa, se publicará en el sitio web del evento en la dirección</w:t>
      </w:r>
      <w:hyperlink w:history="1"/>
      <w:r w:rsidRPr="00190A36">
        <w:rPr>
          <w:bCs/>
        </w:rPr>
        <w:t xml:space="preserve">: </w:t>
      </w:r>
      <w:hyperlink r:id="rId11" w:history="1">
        <w:r w:rsidRPr="00190A36">
          <w:rPr>
            <w:rStyle w:val="Hyperlink"/>
            <w:bCs/>
          </w:rPr>
          <w:t>https://www.itu.int/en/ITU-T/Workshops-and-Seminars/Pages/20200217.aspx</w:t>
        </w:r>
      </w:hyperlink>
      <w:r w:rsidRPr="00190A36">
        <w:rPr>
          <w:bCs/>
        </w:rPr>
        <w:t>. Se ruega a los participantes que consulten periódicamente el sitio web.</w:t>
      </w:r>
    </w:p>
    <w:p w14:paraId="7DE9616C" w14:textId="77777777" w:rsidR="00190A36" w:rsidRPr="00190A36" w:rsidRDefault="00190A36" w:rsidP="00190A36">
      <w:pPr>
        <w:keepNext/>
        <w:keepLines/>
        <w:rPr>
          <w:bCs/>
        </w:rPr>
      </w:pPr>
      <w:r w:rsidRPr="00190A36">
        <w:rPr>
          <w:bCs/>
        </w:rPr>
        <w:lastRenderedPageBreak/>
        <w:t>5</w:t>
      </w:r>
      <w:r w:rsidRPr="00190A36">
        <w:rPr>
          <w:bCs/>
        </w:rPr>
        <w:tab/>
        <w:t>La participación en el taller está abierta a los Estados Miembros, los Miembros de Sector, los Asociados y las Instituciones Académicas de la UIT, así como a cualquier persona nacional de un Estado Miembro de la UIT que desee contribuir a los trabajos, incluidas las que también sean miembros de organizaciones nacionales, regionales e internacionales. No se concederán becas.</w:t>
      </w:r>
    </w:p>
    <w:p w14:paraId="7D4B60BF" w14:textId="77777777" w:rsidR="00190A36" w:rsidRPr="00190A36" w:rsidRDefault="00190A36" w:rsidP="00190A36">
      <w:pPr>
        <w:rPr>
          <w:bCs/>
        </w:rPr>
      </w:pPr>
      <w:r w:rsidRPr="00190A36">
        <w:rPr>
          <w:bCs/>
        </w:rPr>
        <w:t>6</w:t>
      </w:r>
      <w:r w:rsidRPr="00190A36">
        <w:rPr>
          <w:bCs/>
        </w:rPr>
        <w:tab/>
        <w:t>Los delegados dispondrán de instalaciones de red de área local inalámbrica.</w:t>
      </w:r>
    </w:p>
    <w:p w14:paraId="4FCB6A9C" w14:textId="23465950" w:rsidR="00190A36" w:rsidRPr="00190A36" w:rsidRDefault="00190A36" w:rsidP="00190A36">
      <w:pPr>
        <w:rPr>
          <w:bCs/>
        </w:rPr>
      </w:pPr>
      <w:r w:rsidRPr="00190A36">
        <w:rPr>
          <w:bCs/>
        </w:rPr>
        <w:t>7</w:t>
      </w:r>
      <w:r w:rsidRPr="00190A36">
        <w:rPr>
          <w:bCs/>
        </w:rPr>
        <w:tab/>
        <w:t xml:space="preserve">En las páginas web del </w:t>
      </w:r>
      <w:hyperlink r:id="rId12" w:history="1">
        <w:r w:rsidRPr="00190A36">
          <w:rPr>
            <w:rStyle w:val="Hyperlink"/>
            <w:bCs/>
          </w:rPr>
          <w:t>Grupo Temático</w:t>
        </w:r>
      </w:hyperlink>
      <w:r w:rsidRPr="00190A36">
        <w:rPr>
          <w:bCs/>
        </w:rPr>
        <w:t xml:space="preserve"> y del evento (</w:t>
      </w:r>
      <w:hyperlink r:id="rId13" w:history="1">
        <w:r w:rsidRPr="00190A36">
          <w:rPr>
            <w:rStyle w:val="Hyperlink"/>
            <w:bCs/>
          </w:rPr>
          <w:t>https://www.itu.int/en/ITU-T/focusgroups/qit4n</w:t>
        </w:r>
      </w:hyperlink>
      <w:r w:rsidRPr="00190A36">
        <w:rPr>
          <w:bCs/>
        </w:rPr>
        <w:t>) se facilitará información práctica sobre el alojamiento, el transporte y el visado.</w:t>
      </w:r>
    </w:p>
    <w:p w14:paraId="49C5B9D0" w14:textId="77777777" w:rsidR="00190A36" w:rsidRPr="00190A36" w:rsidRDefault="00190A36" w:rsidP="00190A36">
      <w:pPr>
        <w:rPr>
          <w:bCs/>
        </w:rPr>
      </w:pPr>
      <w:r w:rsidRPr="00190A36">
        <w:rPr>
          <w:bCs/>
        </w:rPr>
        <w:t>8</w:t>
      </w:r>
      <w:r w:rsidRPr="00190A36">
        <w:rPr>
          <w:bCs/>
        </w:rPr>
        <w:tab/>
        <w:t xml:space="preserve">A fin de que la TSB pueda adoptar las disposiciones necesarias para la organización de la reunión del Grupo Temático y del taller, le agradecería que se inscribiese utilizando el formulario en línea disponible en la dirección </w:t>
      </w:r>
      <w:hyperlink r:id="rId14" w:history="1">
        <w:r w:rsidRPr="00190A36">
          <w:rPr>
            <w:rStyle w:val="Hyperlink"/>
            <w:bCs/>
          </w:rPr>
          <w:t>https://www.itu.int/net4/CRM/xreg/web/Registration.aspx?Event=C-00007312</w:t>
        </w:r>
      </w:hyperlink>
      <w:r w:rsidRPr="00190A36">
        <w:rPr>
          <w:bCs/>
        </w:rPr>
        <w:t xml:space="preserve"> a la mayor brevedad y, </w:t>
      </w:r>
      <w:r w:rsidRPr="00190A36">
        <w:t>a más tardar,</w:t>
      </w:r>
      <w:r w:rsidRPr="00190A36">
        <w:rPr>
          <w:b/>
          <w:bCs/>
        </w:rPr>
        <w:t xml:space="preserve"> el 13 de febrero de 2020</w:t>
      </w:r>
      <w:r w:rsidRPr="00190A36">
        <w:rPr>
          <w:bCs/>
        </w:rPr>
        <w:t>. Le ruego tenga presente que la</w:t>
      </w:r>
      <w:r w:rsidRPr="00190A36">
        <w:rPr>
          <w:b/>
          <w:bCs/>
        </w:rPr>
        <w:t xml:space="preserve"> preinscripción </w:t>
      </w:r>
      <w:r w:rsidRPr="00190A36">
        <w:rPr>
          <w:bCs/>
        </w:rPr>
        <w:t>de los participantes</w:t>
      </w:r>
      <w:r w:rsidRPr="00190A36">
        <w:rPr>
          <w:b/>
          <w:bCs/>
        </w:rPr>
        <w:t xml:space="preserve"> </w:t>
      </w:r>
      <w:r w:rsidRPr="00190A36">
        <w:rPr>
          <w:bCs/>
        </w:rPr>
        <w:t xml:space="preserve">es </w:t>
      </w:r>
      <w:r w:rsidRPr="00190A36">
        <w:rPr>
          <w:b/>
          <w:bCs/>
        </w:rPr>
        <w:t xml:space="preserve">obligatoria </w:t>
      </w:r>
      <w:r w:rsidRPr="00190A36">
        <w:rPr>
          <w:bCs/>
        </w:rPr>
        <w:t>y se lleva a cabo exclusivamente</w:t>
      </w:r>
      <w:r w:rsidRPr="00190A36">
        <w:rPr>
          <w:b/>
          <w:bCs/>
        </w:rPr>
        <w:t xml:space="preserve"> en línea.</w:t>
      </w:r>
    </w:p>
    <w:p w14:paraId="417643EB" w14:textId="6567812F" w:rsidR="00190A36" w:rsidRPr="00190A36" w:rsidRDefault="00190A36" w:rsidP="00190A36">
      <w:pPr>
        <w:rPr>
          <w:bCs/>
        </w:rPr>
      </w:pPr>
      <w:r w:rsidRPr="00190A36">
        <w:rPr>
          <w:bCs/>
        </w:rPr>
        <w:t>9</w:t>
      </w:r>
      <w:r w:rsidRPr="00190A36">
        <w:rPr>
          <w:bCs/>
        </w:rPr>
        <w:tab/>
        <w:t xml:space="preserve">Se invita a los participantes a que, al preparar los documentos de contribución a la presente reunión, tengan en cuenta la estructura acordada del FG-QIT4N y los productos finales propuestos (véase </w:t>
      </w:r>
      <w:hyperlink r:id="rId15" w:history="1">
        <w:r w:rsidRPr="00190A36">
          <w:rPr>
            <w:rStyle w:val="Hyperlink"/>
            <w:bCs/>
          </w:rPr>
          <w:t>https://www.itu.int/en/ITU-T/focusgroups/qit4n/Pages/default.aspx</w:t>
        </w:r>
      </w:hyperlink>
      <w:r w:rsidRPr="00190A36">
        <w:rPr>
          <w:bCs/>
        </w:rPr>
        <w:t>).</w:t>
      </w:r>
    </w:p>
    <w:p w14:paraId="711862AA" w14:textId="322101DD" w:rsidR="00190A36" w:rsidRPr="00190A36" w:rsidRDefault="00190A36" w:rsidP="00190A36">
      <w:pPr>
        <w:rPr>
          <w:bCs/>
        </w:rPr>
      </w:pPr>
      <w:r w:rsidRPr="00190A36">
        <w:rPr>
          <w:bCs/>
        </w:rPr>
        <w:t>Los participantes presentarán los documentos de contribución a la UIT (</w:t>
      </w:r>
      <w:hyperlink r:id="rId16" w:history="1">
        <w:r w:rsidRPr="00190A36">
          <w:rPr>
            <w:rStyle w:val="Hyperlink"/>
            <w:bCs/>
          </w:rPr>
          <w:t>tsbfgqit4n@itu.int</w:t>
        </w:r>
      </w:hyperlink>
      <w:r w:rsidRPr="00190A36">
        <w:rPr>
          <w:bCs/>
        </w:rPr>
        <w:t xml:space="preserve">) en formato electrónico, utilizando la plantilla básica. A fin de que los participantes puedan prepararse para la reunión, el plazo propuesto para la presentación de documentos de contribución finaliza el </w:t>
      </w:r>
      <w:r w:rsidRPr="00190A36">
        <w:rPr>
          <w:b/>
          <w:bCs/>
        </w:rPr>
        <w:t>3</w:t>
      </w:r>
      <w:r>
        <w:rPr>
          <w:b/>
          <w:bCs/>
        </w:rPr>
        <w:t> </w:t>
      </w:r>
      <w:r w:rsidRPr="00190A36">
        <w:rPr>
          <w:b/>
          <w:bCs/>
        </w:rPr>
        <w:t>de febrero de 2020</w:t>
      </w:r>
      <w:r w:rsidRPr="00190A36">
        <w:rPr>
          <w:bCs/>
        </w:rPr>
        <w:t>. Le ruego tenga presente que en esta reunión no se utilizará documentación en papel.</w:t>
      </w:r>
    </w:p>
    <w:p w14:paraId="4F8DFADC" w14:textId="37CD1A8B" w:rsidR="00190A36" w:rsidRPr="00190A36" w:rsidRDefault="00190A36" w:rsidP="00190A36">
      <w:pPr>
        <w:rPr>
          <w:bCs/>
        </w:rPr>
      </w:pPr>
      <w:r w:rsidRPr="00190A36">
        <w:rPr>
          <w:bCs/>
        </w:rPr>
        <w:t>10</w:t>
      </w:r>
      <w:r w:rsidRPr="00190A36">
        <w:rPr>
          <w:bCs/>
        </w:rPr>
        <w:tab/>
        <w:t>Los ciudadanos de ciertos países necesitan un visado (ordinario) o un visado electrónico (eVisa) para poder entrar y efectuar una estadía</w:t>
      </w:r>
      <w:r>
        <w:rPr>
          <w:bCs/>
        </w:rPr>
        <w:t xml:space="preserve"> </w:t>
      </w:r>
      <w:r w:rsidRPr="00190A36">
        <w:rPr>
          <w:bCs/>
        </w:rPr>
        <w:t xml:space="preserve">en Arabia Saudita. Por favor, siga las instrucciones incluidas en la página web del Grupo Temático y presente su solicitud de visado a más tardar el </w:t>
      </w:r>
      <w:r w:rsidRPr="00190A36">
        <w:rPr>
          <w:b/>
          <w:bCs/>
        </w:rPr>
        <w:t>15</w:t>
      </w:r>
      <w:r>
        <w:rPr>
          <w:b/>
          <w:bCs/>
        </w:rPr>
        <w:t> </w:t>
      </w:r>
      <w:r w:rsidRPr="00190A36">
        <w:rPr>
          <w:b/>
          <w:bCs/>
        </w:rPr>
        <w:t>de enero de 2020</w:t>
      </w:r>
      <w:r w:rsidRPr="00190A36">
        <w:rPr>
          <w:bCs/>
        </w:rPr>
        <w:t>. Si necesita información al respecto, póngase en contacto con la embajada local del Reino de Arabia Saudita con suficiente antelación.</w:t>
      </w:r>
    </w:p>
    <w:p w14:paraId="7D13CD1B" w14:textId="5187DA45" w:rsidR="007B6316" w:rsidRPr="00081FE5" w:rsidRDefault="007B6316" w:rsidP="007B6316">
      <w:r w:rsidRPr="00081FE5">
        <w:t>Atentamente,</w:t>
      </w:r>
    </w:p>
    <w:p w14:paraId="6AA43C19" w14:textId="63CD7663" w:rsidR="00190A36" w:rsidRPr="00A0071B" w:rsidRDefault="00157BCC" w:rsidP="0056199A">
      <w:pPr>
        <w:spacing w:before="96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A87BC4C" wp14:editId="556902B0">
            <wp:simplePos x="0" y="0"/>
            <wp:positionH relativeFrom="column">
              <wp:posOffset>4079</wp:posOffset>
            </wp:positionH>
            <wp:positionV relativeFrom="paragraph">
              <wp:posOffset>160020</wp:posOffset>
            </wp:positionV>
            <wp:extent cx="733425" cy="3303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30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81FE5">
        <w:t>Chaesub Lee</w:t>
      </w:r>
      <w:bookmarkStart w:id="4" w:name="_GoBack"/>
      <w:bookmarkEnd w:id="4"/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sectPr w:rsidR="00190A36" w:rsidRPr="00A0071B" w:rsidSect="00B87E9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7824" w14:textId="77777777" w:rsidR="001731E1" w:rsidRDefault="001731E1">
      <w:r>
        <w:separator/>
      </w:r>
    </w:p>
  </w:endnote>
  <w:endnote w:type="continuationSeparator" w:id="0">
    <w:p w14:paraId="4FAB4993" w14:textId="77777777" w:rsidR="001731E1" w:rsidRDefault="0017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Segoe UI Semilight"/>
    <w:charset w:val="00"/>
    <w:family w:val="swiss"/>
    <w:pitch w:val="variable"/>
    <w:sig w:usb0="00000000" w:usb1="00000000" w:usb2="00000000" w:usb3="00000000" w:csb0="000001F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ED65A" w14:textId="77777777" w:rsidR="00CA0536" w:rsidRDefault="00CA0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FBD1" w14:textId="77777777" w:rsidR="00CA0536" w:rsidRDefault="00CA0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0EA16" w14:textId="124D33C3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135DDC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A27A0" w14:textId="77777777" w:rsidR="001731E1" w:rsidRDefault="001731E1">
      <w:r>
        <w:t>____________________</w:t>
      </w:r>
    </w:p>
  </w:footnote>
  <w:footnote w:type="continuationSeparator" w:id="0">
    <w:p w14:paraId="2DAEFF6A" w14:textId="77777777" w:rsidR="001731E1" w:rsidRDefault="0017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F8556" w14:textId="77777777" w:rsidR="00CA0536" w:rsidRDefault="00CA0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D006" w14:textId="6236C3A6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57BCC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135DDC">
      <w:rPr>
        <w:rStyle w:val="PageNumber"/>
        <w:sz w:val="18"/>
        <w:szCs w:val="18"/>
      </w:rPr>
      <w:br/>
    </w:r>
    <w:r w:rsidR="00135DDC" w:rsidRPr="00135DDC">
      <w:rPr>
        <w:sz w:val="18"/>
        <w:szCs w:val="18"/>
      </w:rPr>
      <w:t>Circular TSB 22</w:t>
    </w:r>
    <w:r w:rsidR="00190A36">
      <w:rPr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1EFF" w14:textId="77777777" w:rsidR="00CA0536" w:rsidRDefault="00CA0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DC"/>
    <w:rsid w:val="00002529"/>
    <w:rsid w:val="00085662"/>
    <w:rsid w:val="000C382F"/>
    <w:rsid w:val="000E0A33"/>
    <w:rsid w:val="001173CC"/>
    <w:rsid w:val="00135DDC"/>
    <w:rsid w:val="0014464D"/>
    <w:rsid w:val="00157BCC"/>
    <w:rsid w:val="001731E1"/>
    <w:rsid w:val="00190A36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56199A"/>
    <w:rsid w:val="006969B4"/>
    <w:rsid w:val="006E4F7B"/>
    <w:rsid w:val="00727B9E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0071B"/>
    <w:rsid w:val="00A136F3"/>
    <w:rsid w:val="00A54E47"/>
    <w:rsid w:val="00A65D3F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A0536"/>
    <w:rsid w:val="00D54642"/>
    <w:rsid w:val="00DD77C9"/>
    <w:rsid w:val="00DF3538"/>
    <w:rsid w:val="00E839B0"/>
    <w:rsid w:val="00E92C09"/>
    <w:rsid w:val="00F14380"/>
    <w:rsid w:val="00F6461F"/>
    <w:rsid w:val="00FC416A"/>
    <w:rsid w:val="00FD2B2D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4DE924"/>
  <w15:docId w15:val="{8879DA29-6387-46B2-98E5-43806FA1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qit4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sbfgqit4n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Pages/20200217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qit4n/Pages/default.asp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net4/CRM/xreg/web/Registration.aspx?Event=C-00007312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8D0C-99E9-49A9-B39D-0005C52A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29</TotalTime>
  <Pages>2</Pages>
  <Words>751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5486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7</cp:revision>
  <cp:lastPrinted>2020-01-20T10:32:00Z</cp:lastPrinted>
  <dcterms:created xsi:type="dcterms:W3CDTF">2020-01-16T14:05:00Z</dcterms:created>
  <dcterms:modified xsi:type="dcterms:W3CDTF">2020-01-20T10:33:00Z</dcterms:modified>
</cp:coreProperties>
</file>