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Look w:val="0000" w:firstRow="0" w:lastRow="0" w:firstColumn="0" w:lastColumn="0" w:noHBand="0" w:noVBand="0"/>
      </w:tblPr>
      <w:tblGrid>
        <w:gridCol w:w="1134"/>
        <w:gridCol w:w="142"/>
        <w:gridCol w:w="3402"/>
        <w:gridCol w:w="3119"/>
        <w:gridCol w:w="1984"/>
      </w:tblGrid>
      <w:tr w:rsidR="00FA46A0" w14:paraId="7449F3AA" w14:textId="77777777" w:rsidTr="003E79B1">
        <w:trPr>
          <w:trHeight w:val="1282"/>
        </w:trPr>
        <w:tc>
          <w:tcPr>
            <w:tcW w:w="1276" w:type="dxa"/>
            <w:gridSpan w:val="2"/>
            <w:shd w:val="clear" w:color="auto" w:fill="auto"/>
            <w:tcMar>
              <w:left w:w="0" w:type="dxa"/>
              <w:right w:w="0" w:type="dxa"/>
            </w:tcMar>
            <w:vAlign w:val="center"/>
          </w:tcPr>
          <w:p w14:paraId="3F75256D" w14:textId="03D5A537" w:rsidR="00FA46A0" w:rsidRDefault="009747C5" w:rsidP="003E79B1">
            <w:pPr>
              <w:pStyle w:val="Tabletext"/>
              <w:jc w:val="center"/>
            </w:pPr>
            <w:r>
              <w:rPr>
                <w:noProof/>
                <w:lang w:eastAsia="en-GB"/>
              </w:rPr>
              <w:drawing>
                <wp:inline distT="0" distB="0" distL="0" distR="0" wp14:anchorId="4807C324" wp14:editId="63B3CF55">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C29A29D" w14:textId="77777777" w:rsidR="00FA46A0" w:rsidRDefault="00B61012" w:rsidP="003E79B1">
            <w:pPr>
              <w:spacing w:before="0"/>
              <w:rPr>
                <w:rFonts w:cs="Times New Roman Bold"/>
                <w:b/>
                <w:bCs/>
                <w:smallCaps/>
                <w:sz w:val="26"/>
                <w:szCs w:val="26"/>
              </w:rPr>
            </w:pPr>
            <w:r>
              <w:rPr>
                <w:rFonts w:cs="Times New Roman Bold"/>
                <w:b/>
                <w:bCs/>
                <w:smallCaps/>
                <w:sz w:val="36"/>
                <w:szCs w:val="36"/>
              </w:rPr>
              <w:t>International telecommunication union</w:t>
            </w:r>
          </w:p>
          <w:p w14:paraId="3450169C" w14:textId="77777777" w:rsidR="00FA46A0" w:rsidRDefault="00B61012" w:rsidP="003E79B1">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7F8033A3" w14:textId="77777777" w:rsidR="00FA46A0" w:rsidRDefault="00FA46A0" w:rsidP="003E79B1">
            <w:pPr>
              <w:spacing w:before="0"/>
              <w:jc w:val="right"/>
              <w:rPr>
                <w:rFonts w:ascii="Verdana" w:hAnsi="Verdana"/>
                <w:color w:val="FFFFFF"/>
                <w:sz w:val="26"/>
                <w:szCs w:val="26"/>
              </w:rPr>
            </w:pPr>
          </w:p>
        </w:tc>
      </w:tr>
      <w:tr w:rsidR="00FA46A0" w14:paraId="2811C16D" w14:textId="77777777" w:rsidTr="003E79B1">
        <w:trPr>
          <w:cantSplit/>
          <w:trHeight w:val="80"/>
        </w:trPr>
        <w:tc>
          <w:tcPr>
            <w:tcW w:w="4678" w:type="dxa"/>
            <w:gridSpan w:val="3"/>
            <w:vAlign w:val="center"/>
          </w:tcPr>
          <w:p w14:paraId="5415BFE9" w14:textId="141250D4" w:rsidR="00FA46A0" w:rsidRDefault="00FA46A0" w:rsidP="003E79B1">
            <w:pPr>
              <w:pStyle w:val="Tabletext"/>
              <w:jc w:val="right"/>
            </w:pPr>
          </w:p>
        </w:tc>
        <w:tc>
          <w:tcPr>
            <w:tcW w:w="5103" w:type="dxa"/>
            <w:gridSpan w:val="2"/>
            <w:vAlign w:val="center"/>
          </w:tcPr>
          <w:p w14:paraId="617030EC" w14:textId="325BB19F" w:rsidR="00FA46A0" w:rsidRDefault="00B61012" w:rsidP="002D3170">
            <w:pPr>
              <w:pStyle w:val="Tabletext"/>
              <w:spacing w:before="480" w:after="240"/>
              <w:ind w:left="-115"/>
            </w:pPr>
            <w:r>
              <w:t xml:space="preserve">Geneva, </w:t>
            </w:r>
            <w:r w:rsidR="003E79B1">
              <w:t>20</w:t>
            </w:r>
            <w:r w:rsidR="00A44CE5">
              <w:t xml:space="preserve"> December 2019</w:t>
            </w:r>
          </w:p>
        </w:tc>
      </w:tr>
      <w:tr w:rsidR="00FA46A0" w14:paraId="6AD5E020" w14:textId="77777777" w:rsidTr="003E79B1">
        <w:trPr>
          <w:cantSplit/>
          <w:trHeight w:val="746"/>
        </w:trPr>
        <w:tc>
          <w:tcPr>
            <w:tcW w:w="1134" w:type="dxa"/>
          </w:tcPr>
          <w:p w14:paraId="4C363775" w14:textId="7B95AF3E" w:rsidR="00FA46A0" w:rsidRDefault="00B61012" w:rsidP="003E79B1">
            <w:pPr>
              <w:pStyle w:val="Tabletext"/>
            </w:pPr>
            <w:r>
              <w:rPr>
                <w:b/>
              </w:rPr>
              <w:t>Ref:</w:t>
            </w:r>
          </w:p>
        </w:tc>
        <w:tc>
          <w:tcPr>
            <w:tcW w:w="3544" w:type="dxa"/>
            <w:gridSpan w:val="2"/>
          </w:tcPr>
          <w:p w14:paraId="56FA5A92" w14:textId="37BC3B7C" w:rsidR="00FA46A0" w:rsidRPr="00FC1C19" w:rsidRDefault="00B61012" w:rsidP="003E79B1">
            <w:pPr>
              <w:pStyle w:val="Tabletext"/>
              <w:rPr>
                <w:b/>
                <w:bCs/>
              </w:rPr>
            </w:pPr>
            <w:r>
              <w:rPr>
                <w:b/>
                <w:bCs/>
              </w:rPr>
              <w:t xml:space="preserve">TSB Circular </w:t>
            </w:r>
            <w:r w:rsidR="003E79B1">
              <w:rPr>
                <w:b/>
                <w:bCs/>
              </w:rPr>
              <w:t>223</w:t>
            </w:r>
          </w:p>
        </w:tc>
        <w:tc>
          <w:tcPr>
            <w:tcW w:w="5103" w:type="dxa"/>
            <w:gridSpan w:val="2"/>
            <w:vMerge w:val="restart"/>
          </w:tcPr>
          <w:p w14:paraId="5D716F6D" w14:textId="77777777" w:rsidR="00FF5729" w:rsidRPr="00FF5729" w:rsidRDefault="00B61012" w:rsidP="002D3170">
            <w:pPr>
              <w:tabs>
                <w:tab w:val="clear" w:pos="794"/>
                <w:tab w:val="clear" w:pos="1191"/>
                <w:tab w:val="clear" w:pos="1588"/>
                <w:tab w:val="clear" w:pos="1985"/>
                <w:tab w:val="left" w:pos="241"/>
              </w:tabs>
              <w:spacing w:before="0"/>
              <w:ind w:left="283" w:hanging="389"/>
              <w:rPr>
                <w:szCs w:val="24"/>
              </w:rPr>
            </w:pPr>
            <w:r>
              <w:rPr>
                <w:b/>
              </w:rPr>
              <w:t>To:</w:t>
            </w:r>
          </w:p>
          <w:p w14:paraId="63CC8103" w14:textId="057F78E7" w:rsidR="00FF5729" w:rsidRPr="00FF5729" w:rsidRDefault="00FF5729" w:rsidP="002D3170">
            <w:pPr>
              <w:tabs>
                <w:tab w:val="clear" w:pos="794"/>
                <w:tab w:val="clear" w:pos="1191"/>
                <w:tab w:val="clear" w:pos="1588"/>
                <w:tab w:val="clear" w:pos="1985"/>
              </w:tabs>
              <w:spacing w:before="0"/>
              <w:ind w:left="283" w:hanging="389"/>
              <w:rPr>
                <w:szCs w:val="24"/>
              </w:rPr>
            </w:pPr>
            <w:r w:rsidRPr="00FF5729">
              <w:rPr>
                <w:szCs w:val="24"/>
              </w:rPr>
              <w:t>-</w:t>
            </w:r>
            <w:r w:rsidRPr="00FF5729">
              <w:rPr>
                <w:szCs w:val="24"/>
              </w:rPr>
              <w:tab/>
              <w:t>Administrations of Member States of</w:t>
            </w:r>
            <w:r w:rsidR="004C2257">
              <w:rPr>
                <w:szCs w:val="24"/>
              </w:rPr>
              <w:br/>
            </w:r>
            <w:r w:rsidRPr="00FF5729">
              <w:rPr>
                <w:szCs w:val="24"/>
              </w:rPr>
              <w:t>the Union</w:t>
            </w:r>
            <w:r w:rsidR="00A72C30">
              <w:rPr>
                <w:szCs w:val="24"/>
              </w:rPr>
              <w:t>;</w:t>
            </w:r>
          </w:p>
          <w:p w14:paraId="377E36D1" w14:textId="77777777" w:rsidR="00FF5729" w:rsidRPr="00FF5729" w:rsidRDefault="00FF5729" w:rsidP="002D3170">
            <w:pPr>
              <w:tabs>
                <w:tab w:val="clear" w:pos="794"/>
                <w:tab w:val="clear" w:pos="1191"/>
                <w:tab w:val="clear" w:pos="1588"/>
                <w:tab w:val="clear" w:pos="1985"/>
              </w:tabs>
              <w:spacing w:before="0"/>
              <w:ind w:left="283" w:hanging="389"/>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r w:rsidRPr="00FF5729">
              <w:rPr>
                <w:szCs w:val="24"/>
                <w:lang w:val="fr-CH"/>
              </w:rPr>
              <w:t>Members</w:t>
            </w:r>
            <w:proofErr w:type="spellEnd"/>
            <w:r w:rsidR="00A72C30">
              <w:rPr>
                <w:szCs w:val="24"/>
                <w:lang w:val="fr-CH"/>
              </w:rPr>
              <w:t>;</w:t>
            </w:r>
          </w:p>
          <w:p w14:paraId="0009CAE5" w14:textId="77777777" w:rsidR="00FF5729" w:rsidRPr="00FF5729" w:rsidRDefault="00FF5729" w:rsidP="002D3170">
            <w:pPr>
              <w:tabs>
                <w:tab w:val="clear" w:pos="794"/>
                <w:tab w:val="clear" w:pos="1191"/>
                <w:tab w:val="clear" w:pos="1588"/>
                <w:tab w:val="clear" w:pos="1985"/>
              </w:tabs>
              <w:spacing w:before="0"/>
              <w:ind w:left="283" w:hanging="389"/>
              <w:rPr>
                <w:szCs w:val="24"/>
                <w:lang w:val="fr-CH"/>
              </w:rPr>
            </w:pPr>
            <w:r w:rsidRPr="00FF5729">
              <w:rPr>
                <w:szCs w:val="24"/>
                <w:lang w:val="fr-CH"/>
              </w:rPr>
              <w:t>-</w:t>
            </w:r>
            <w:r w:rsidRPr="00FF5729">
              <w:rPr>
                <w:szCs w:val="24"/>
                <w:lang w:val="fr-CH"/>
              </w:rPr>
              <w:tab/>
              <w:t>ITU-T Associates</w:t>
            </w:r>
            <w:r w:rsidR="00A72C30">
              <w:rPr>
                <w:szCs w:val="24"/>
                <w:lang w:val="fr-CH"/>
              </w:rPr>
              <w:t>;</w:t>
            </w:r>
          </w:p>
          <w:p w14:paraId="12B953F0" w14:textId="77777777" w:rsidR="00FA46A0" w:rsidRPr="00FF5729" w:rsidRDefault="00FF5729" w:rsidP="002D31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389"/>
              <w:rPr>
                <w:szCs w:val="24"/>
              </w:rPr>
            </w:pPr>
            <w:r w:rsidRPr="00FF5729">
              <w:rPr>
                <w:szCs w:val="24"/>
              </w:rPr>
              <w:t>-</w:t>
            </w:r>
            <w:r w:rsidRPr="00FF5729">
              <w:rPr>
                <w:szCs w:val="24"/>
              </w:rPr>
              <w:tab/>
              <w:t>ITU Academia</w:t>
            </w:r>
          </w:p>
        </w:tc>
      </w:tr>
      <w:tr w:rsidR="00FA46A0" w14:paraId="13D190F8" w14:textId="77777777" w:rsidTr="003E79B1">
        <w:trPr>
          <w:cantSplit/>
          <w:trHeight w:val="221"/>
        </w:trPr>
        <w:tc>
          <w:tcPr>
            <w:tcW w:w="1134" w:type="dxa"/>
          </w:tcPr>
          <w:p w14:paraId="2A040D21" w14:textId="2C7B604C" w:rsidR="00FA46A0" w:rsidRDefault="00B61012" w:rsidP="003E79B1">
            <w:pPr>
              <w:pStyle w:val="Tabletext"/>
            </w:pPr>
            <w:r>
              <w:rPr>
                <w:b/>
              </w:rPr>
              <w:t>Tel:</w:t>
            </w:r>
          </w:p>
        </w:tc>
        <w:tc>
          <w:tcPr>
            <w:tcW w:w="3544" w:type="dxa"/>
            <w:gridSpan w:val="2"/>
          </w:tcPr>
          <w:p w14:paraId="787862CF" w14:textId="63E5934B" w:rsidR="00FA46A0" w:rsidRDefault="00C95BF6" w:rsidP="003E79B1">
            <w:pPr>
              <w:pStyle w:val="Tabletext"/>
              <w:rPr>
                <w:b/>
              </w:rPr>
            </w:pPr>
            <w:r>
              <w:t xml:space="preserve">+41 22 730 </w:t>
            </w:r>
            <w:r w:rsidR="00A44CE5">
              <w:t>6828</w:t>
            </w:r>
          </w:p>
        </w:tc>
        <w:tc>
          <w:tcPr>
            <w:tcW w:w="5103" w:type="dxa"/>
            <w:gridSpan w:val="2"/>
            <w:vMerge/>
          </w:tcPr>
          <w:p w14:paraId="3D738567" w14:textId="77777777" w:rsidR="00FA46A0" w:rsidRDefault="00FA46A0" w:rsidP="002D3170">
            <w:pPr>
              <w:pStyle w:val="Tabletext"/>
              <w:spacing w:before="0" w:after="0"/>
              <w:ind w:left="142" w:hanging="389"/>
            </w:pPr>
          </w:p>
        </w:tc>
      </w:tr>
      <w:tr w:rsidR="00FA46A0" w14:paraId="06DB7AD4" w14:textId="77777777" w:rsidTr="003E79B1">
        <w:trPr>
          <w:cantSplit/>
          <w:trHeight w:val="282"/>
        </w:trPr>
        <w:tc>
          <w:tcPr>
            <w:tcW w:w="1134" w:type="dxa"/>
          </w:tcPr>
          <w:p w14:paraId="69B337AF" w14:textId="03E14E01" w:rsidR="00FA46A0" w:rsidRDefault="00B61012" w:rsidP="003E79B1">
            <w:pPr>
              <w:pStyle w:val="Tabletext"/>
            </w:pPr>
            <w:r>
              <w:rPr>
                <w:b/>
              </w:rPr>
              <w:t>Fax:</w:t>
            </w:r>
          </w:p>
        </w:tc>
        <w:tc>
          <w:tcPr>
            <w:tcW w:w="3544" w:type="dxa"/>
            <w:gridSpan w:val="2"/>
          </w:tcPr>
          <w:p w14:paraId="1B6C1A41" w14:textId="77777777" w:rsidR="00FA46A0" w:rsidRDefault="00B61012" w:rsidP="003E79B1">
            <w:pPr>
              <w:pStyle w:val="Tabletext"/>
              <w:rPr>
                <w:b/>
              </w:rPr>
            </w:pPr>
            <w:r>
              <w:t>+41 22 730 5853</w:t>
            </w:r>
          </w:p>
        </w:tc>
        <w:tc>
          <w:tcPr>
            <w:tcW w:w="5103" w:type="dxa"/>
            <w:gridSpan w:val="2"/>
            <w:vMerge/>
          </w:tcPr>
          <w:p w14:paraId="1D37F5C0" w14:textId="77777777" w:rsidR="00FA46A0" w:rsidRDefault="00FA46A0" w:rsidP="002D3170">
            <w:pPr>
              <w:pStyle w:val="Tabletext"/>
              <w:spacing w:before="0" w:after="0"/>
              <w:ind w:left="142" w:hanging="389"/>
            </w:pPr>
          </w:p>
        </w:tc>
      </w:tr>
      <w:tr w:rsidR="00FA46A0" w14:paraId="664DB0C4" w14:textId="77777777" w:rsidTr="003E79B1">
        <w:trPr>
          <w:cantSplit/>
          <w:trHeight w:val="2551"/>
        </w:trPr>
        <w:tc>
          <w:tcPr>
            <w:tcW w:w="1134" w:type="dxa"/>
          </w:tcPr>
          <w:p w14:paraId="2D03D3B6" w14:textId="2117F4E3" w:rsidR="00FA46A0" w:rsidRPr="00A44CE5" w:rsidRDefault="00B61012" w:rsidP="003E79B1">
            <w:pPr>
              <w:pStyle w:val="Tabletext"/>
            </w:pPr>
            <w:r w:rsidRPr="00A44CE5">
              <w:rPr>
                <w:b/>
              </w:rPr>
              <w:t>E-mail:</w:t>
            </w:r>
          </w:p>
        </w:tc>
        <w:tc>
          <w:tcPr>
            <w:tcW w:w="3544" w:type="dxa"/>
            <w:gridSpan w:val="2"/>
          </w:tcPr>
          <w:p w14:paraId="06DDA58B" w14:textId="46773BB3" w:rsidR="00FA46A0" w:rsidRPr="00A44CE5" w:rsidRDefault="004C2257" w:rsidP="003E79B1">
            <w:pPr>
              <w:pStyle w:val="Tabletext"/>
              <w:rPr>
                <w:lang w:val="en-US"/>
              </w:rPr>
            </w:pPr>
            <w:hyperlink r:id="rId11" w:history="1">
              <w:r w:rsidR="00A44CE5" w:rsidRPr="00A44CE5">
                <w:rPr>
                  <w:rStyle w:val="Hyperlink"/>
                </w:rPr>
                <w:t>tsbsg12@itu.int</w:t>
              </w:r>
            </w:hyperlink>
          </w:p>
        </w:tc>
        <w:tc>
          <w:tcPr>
            <w:tcW w:w="5103" w:type="dxa"/>
            <w:gridSpan w:val="2"/>
          </w:tcPr>
          <w:p w14:paraId="0024705C" w14:textId="77777777" w:rsidR="00FC1C19" w:rsidRPr="00963900" w:rsidRDefault="00B61012" w:rsidP="002D3170">
            <w:pPr>
              <w:pStyle w:val="Tabletext"/>
              <w:spacing w:before="0" w:after="0"/>
              <w:ind w:left="283" w:hanging="389"/>
            </w:pPr>
            <w:r w:rsidRPr="00963900">
              <w:rPr>
                <w:b/>
              </w:rPr>
              <w:t>Copy to:</w:t>
            </w:r>
          </w:p>
          <w:p w14:paraId="10F72901" w14:textId="420D1282" w:rsidR="003746A5" w:rsidRPr="00963900" w:rsidRDefault="003746A5" w:rsidP="002D3170">
            <w:pPr>
              <w:pStyle w:val="Tabletext"/>
              <w:tabs>
                <w:tab w:val="clear" w:pos="284"/>
              </w:tabs>
              <w:spacing w:before="0" w:after="0"/>
              <w:ind w:left="283" w:hanging="389"/>
            </w:pPr>
            <w:r w:rsidRPr="00963900">
              <w:t>-</w:t>
            </w:r>
            <w:r w:rsidRPr="00963900">
              <w:tab/>
            </w:r>
            <w:r w:rsidR="00963900" w:rsidRPr="00963900">
              <w:t>T</w:t>
            </w:r>
            <w:r w:rsidRPr="00963900">
              <w:t>he Chairm</w:t>
            </w:r>
            <w:r w:rsidR="00D62702">
              <w:t>e</w:t>
            </w:r>
            <w:r w:rsidRPr="00963900">
              <w:t xml:space="preserve">n and Vice-Chairmen of </w:t>
            </w:r>
            <w:r w:rsidR="004C2257">
              <w:br/>
              <w:t>S</w:t>
            </w:r>
            <w:r w:rsidRPr="00963900">
              <w:t>tudy Group</w:t>
            </w:r>
            <w:r w:rsidR="00FC1C19" w:rsidRPr="00963900">
              <w:t>s;</w:t>
            </w:r>
          </w:p>
          <w:p w14:paraId="74ECCBF3" w14:textId="77777777" w:rsidR="003746A5" w:rsidRPr="00963900" w:rsidRDefault="003746A5" w:rsidP="002D3170">
            <w:pPr>
              <w:pStyle w:val="Tabletext"/>
              <w:tabs>
                <w:tab w:val="clear" w:pos="284"/>
              </w:tabs>
              <w:spacing w:before="0" w:after="0"/>
              <w:ind w:left="283" w:hanging="389"/>
            </w:pPr>
            <w:r w:rsidRPr="00963900">
              <w:t>-</w:t>
            </w:r>
            <w:r w:rsidRPr="00963900">
              <w:tab/>
              <w:t>The Director of the Telecommunication Development Bureau;</w:t>
            </w:r>
          </w:p>
          <w:p w14:paraId="3B592783" w14:textId="77777777" w:rsidR="00FA46A0" w:rsidRDefault="003746A5" w:rsidP="002D3170">
            <w:pPr>
              <w:pStyle w:val="Tabletext"/>
              <w:tabs>
                <w:tab w:val="clear" w:pos="284"/>
              </w:tabs>
              <w:spacing w:before="0" w:after="0"/>
              <w:ind w:left="283" w:hanging="389"/>
            </w:pPr>
            <w:r w:rsidRPr="00963900">
              <w:t>-</w:t>
            </w:r>
            <w:r w:rsidRPr="00963900">
              <w:tab/>
              <w:t>The Director of the Radiocommunication Bureau</w:t>
            </w:r>
          </w:p>
        </w:tc>
      </w:tr>
      <w:tr w:rsidR="00FA46A0" w14:paraId="1B84A7BC" w14:textId="77777777" w:rsidTr="003E79B1">
        <w:trPr>
          <w:cantSplit/>
          <w:trHeight w:val="618"/>
        </w:trPr>
        <w:tc>
          <w:tcPr>
            <w:tcW w:w="1134" w:type="dxa"/>
          </w:tcPr>
          <w:p w14:paraId="4D8349C9" w14:textId="0CCBE507" w:rsidR="00FA46A0" w:rsidRPr="00A44CE5" w:rsidRDefault="00B61012" w:rsidP="003E79B1">
            <w:pPr>
              <w:pStyle w:val="Tabletext"/>
              <w:rPr>
                <w:b/>
              </w:rPr>
            </w:pPr>
            <w:r w:rsidRPr="00A44CE5">
              <w:rPr>
                <w:b/>
              </w:rPr>
              <w:t>Subject:</w:t>
            </w:r>
          </w:p>
        </w:tc>
        <w:tc>
          <w:tcPr>
            <w:tcW w:w="8647" w:type="dxa"/>
            <w:gridSpan w:val="4"/>
          </w:tcPr>
          <w:p w14:paraId="40B28427" w14:textId="3B6D7D25" w:rsidR="00FA46A0" w:rsidRPr="00A44CE5" w:rsidRDefault="00A44CE5" w:rsidP="003E79B1">
            <w:pPr>
              <w:pStyle w:val="Tabletext"/>
              <w:rPr>
                <w:b/>
              </w:rPr>
            </w:pPr>
            <w:r w:rsidRPr="00A44CE5">
              <w:rPr>
                <w:b/>
              </w:rPr>
              <w:t xml:space="preserve">Call for Participation – Development of a computational model to assess QoS and </w:t>
            </w:r>
            <w:proofErr w:type="spellStart"/>
            <w:r w:rsidRPr="00A44CE5">
              <w:rPr>
                <w:b/>
              </w:rPr>
              <w:t>QoE</w:t>
            </w:r>
            <w:proofErr w:type="spellEnd"/>
            <w:r w:rsidRPr="00A44CE5">
              <w:rPr>
                <w:b/>
              </w:rPr>
              <w:t xml:space="preserve"> of videotelephony services</w:t>
            </w:r>
          </w:p>
        </w:tc>
      </w:tr>
    </w:tbl>
    <w:p w14:paraId="38F73E4E" w14:textId="36ECF752" w:rsidR="00FA46A0" w:rsidRDefault="00B61012" w:rsidP="002D3170">
      <w:pPr>
        <w:spacing w:before="240" w:after="240"/>
      </w:pPr>
      <w:r>
        <w:t>Dear Sir/Madam,</w:t>
      </w:r>
    </w:p>
    <w:p w14:paraId="001DFDD2" w14:textId="3153262D" w:rsidR="00FA46A0" w:rsidRDefault="00A44CE5">
      <w:r>
        <w:t xml:space="preserve">ITU-T Study Group 12 (Performance, Quality of Service, Quality of Experience) </w:t>
      </w:r>
      <w:r w:rsidR="007A3429">
        <w:t xml:space="preserve">is calling for </w:t>
      </w:r>
      <w:r>
        <w:t xml:space="preserve">participation in a collaborative project to develop a </w:t>
      </w:r>
      <w:r w:rsidRPr="00A44CE5">
        <w:t xml:space="preserve">computational model to assess QoS and </w:t>
      </w:r>
      <w:proofErr w:type="spellStart"/>
      <w:r w:rsidRPr="00A44CE5">
        <w:t>QoE</w:t>
      </w:r>
      <w:proofErr w:type="spellEnd"/>
      <w:r w:rsidRPr="00A44CE5">
        <w:t xml:space="preserve"> of videotelephony services</w:t>
      </w:r>
      <w:r w:rsidR="007A3429">
        <w:t xml:space="preserve"> in the context of its </w:t>
      </w:r>
      <w:proofErr w:type="gramStart"/>
      <w:r w:rsidR="007A3429">
        <w:t>G.CMVTQS</w:t>
      </w:r>
      <w:proofErr w:type="gramEnd"/>
      <w:r w:rsidR="007A3429">
        <w:t xml:space="preserve"> work item</w:t>
      </w:r>
      <w:r>
        <w:t xml:space="preserve">. </w:t>
      </w:r>
    </w:p>
    <w:p w14:paraId="353017F6" w14:textId="34FAFE47" w:rsidR="00A44CE5" w:rsidRDefault="00A44CE5" w:rsidP="00A44CE5">
      <w:pPr>
        <w:rPr>
          <w:lang w:val="en-US"/>
        </w:rPr>
      </w:pPr>
      <w:r>
        <w:rPr>
          <w:lang w:val="en-US"/>
        </w:rPr>
        <w:t>The expected output of th</w:t>
      </w:r>
      <w:r w:rsidR="007A3429">
        <w:rPr>
          <w:lang w:val="en-US"/>
        </w:rPr>
        <w:t>e</w:t>
      </w:r>
      <w:r>
        <w:rPr>
          <w:lang w:val="en-US"/>
        </w:rPr>
        <w:t xml:space="preserve"> project</w:t>
      </w:r>
      <w:r w:rsidRPr="00000F82">
        <w:rPr>
          <w:lang w:val="en-US"/>
        </w:rPr>
        <w:t xml:space="preserve"> consists of a set of parametric objective quality assessment models that predict the quality of single-channel bidirectional videotelephony calls comprisi</w:t>
      </w:r>
      <w:r>
        <w:rPr>
          <w:lang w:val="en-US"/>
        </w:rPr>
        <w:t>ng both audio and video c</w:t>
      </w:r>
      <w:r w:rsidRPr="00000F82">
        <w:rPr>
          <w:lang w:val="en-US"/>
        </w:rPr>
        <w:t xml:space="preserve">omponents. </w:t>
      </w:r>
    </w:p>
    <w:p w14:paraId="199F1FB5" w14:textId="39A3C548" w:rsidR="00FC1C19" w:rsidRDefault="00A44CE5">
      <w:r>
        <w:rPr>
          <w:color w:val="000000"/>
          <w:lang w:val="en-US"/>
        </w:rPr>
        <w:t>ITU Member States, ITU-T Sector Members, ITU-T Study Group 12 Associates, ITU Academia shall confirm their intention</w:t>
      </w:r>
      <w:r w:rsidDel="0045117F">
        <w:rPr>
          <w:color w:val="000000"/>
          <w:lang w:val="en-US"/>
        </w:rPr>
        <w:t xml:space="preserve"> </w:t>
      </w:r>
      <w:r>
        <w:rPr>
          <w:color w:val="000000"/>
          <w:lang w:val="en-US"/>
        </w:rPr>
        <w:t xml:space="preserve">to participate in this project under the framework described in Annex </w:t>
      </w:r>
      <w:r w:rsidR="007A3429">
        <w:rPr>
          <w:color w:val="000000"/>
          <w:lang w:val="en-US"/>
        </w:rPr>
        <w:t xml:space="preserve">A </w:t>
      </w:r>
      <w:r>
        <w:rPr>
          <w:color w:val="000000"/>
          <w:lang w:val="en-US"/>
        </w:rPr>
        <w:t>by sending an e-mail to the ITU secretariat (</w:t>
      </w:r>
      <w:hyperlink r:id="rId12" w:history="1">
        <w:r w:rsidRPr="00A6731C">
          <w:rPr>
            <w:rStyle w:val="Hyperlink"/>
            <w:lang w:val="en-US"/>
          </w:rPr>
          <w:t>tsbsg12@itu.int</w:t>
        </w:r>
      </w:hyperlink>
      <w:r>
        <w:rPr>
          <w:color w:val="000000"/>
          <w:lang w:val="en-US"/>
        </w:rPr>
        <w:t>)</w:t>
      </w:r>
      <w:r w:rsidR="002E1C71">
        <w:rPr>
          <w:color w:val="000000"/>
          <w:lang w:val="en-US"/>
        </w:rPr>
        <w:t xml:space="preserve"> by </w:t>
      </w:r>
      <w:r>
        <w:rPr>
          <w:color w:val="000000"/>
          <w:lang w:val="en-US"/>
        </w:rPr>
        <w:t>Friday, 7</w:t>
      </w:r>
      <w:r>
        <w:rPr>
          <w:color w:val="000000"/>
          <w:vertAlign w:val="superscript"/>
          <w:lang w:val="en-US"/>
        </w:rPr>
        <w:t xml:space="preserve"> </w:t>
      </w:r>
      <w:r>
        <w:rPr>
          <w:color w:val="000000"/>
          <w:lang w:val="en-US"/>
        </w:rPr>
        <w:t>February 2020.</w:t>
      </w:r>
    </w:p>
    <w:p w14:paraId="08902200" w14:textId="5C72F7BE" w:rsidR="00FA46A0" w:rsidRDefault="00B61012">
      <w:pPr>
        <w:spacing w:before="360"/>
      </w:pPr>
      <w:r>
        <w:t>Yours faithfully,</w:t>
      </w:r>
      <w:bookmarkStart w:id="0" w:name="_GoBack"/>
      <w:bookmarkEnd w:id="0"/>
    </w:p>
    <w:p w14:paraId="4FBAB03C" w14:textId="41971CB3" w:rsidR="00660033" w:rsidRDefault="004C2257" w:rsidP="004C2257">
      <w:pPr>
        <w:spacing w:before="720"/>
      </w:pPr>
      <w:r>
        <w:rPr>
          <w:noProof/>
          <w:lang w:eastAsia="en-GB"/>
        </w:rPr>
        <w:drawing>
          <wp:anchor distT="0" distB="0" distL="114300" distR="114300" simplePos="0" relativeHeight="251658240" behindDoc="1" locked="0" layoutInCell="1" allowOverlap="1" wp14:anchorId="015A775E" wp14:editId="5D34CF59">
            <wp:simplePos x="0" y="0"/>
            <wp:positionH relativeFrom="margin">
              <wp:align>left</wp:align>
            </wp:positionH>
            <wp:positionV relativeFrom="paragraph">
              <wp:posOffset>37338</wp:posOffset>
            </wp:positionV>
            <wp:extent cx="858005" cy="3624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3">
                      <a:extLst>
                        <a:ext uri="{28A0092B-C50C-407E-A947-70E740481C1C}">
                          <a14:useLocalDpi xmlns:a14="http://schemas.microsoft.com/office/drawing/2010/main" val="0"/>
                        </a:ext>
                      </a:extLst>
                    </a:blip>
                    <a:stretch>
                      <a:fillRect/>
                    </a:stretch>
                  </pic:blipFill>
                  <pic:spPr>
                    <a:xfrm>
                      <a:off x="0" y="0"/>
                      <a:ext cx="858005" cy="362433"/>
                    </a:xfrm>
                    <a:prstGeom prst="rect">
                      <a:avLst/>
                    </a:prstGeom>
                  </pic:spPr>
                </pic:pic>
              </a:graphicData>
            </a:graphic>
            <wp14:sizeRelH relativeFrom="margin">
              <wp14:pctWidth>0</wp14:pctWidth>
            </wp14:sizeRelH>
            <wp14:sizeRelV relativeFrom="margin">
              <wp14:pctHeight>0</wp14:pctHeight>
            </wp14:sizeRelV>
          </wp:anchor>
        </w:drawing>
      </w:r>
      <w:r w:rsidR="00B61012">
        <w:t>Chaesub Lee</w:t>
      </w:r>
      <w:r w:rsidR="00B61012">
        <w:br/>
        <w:t>Director of the Telecommunication</w:t>
      </w:r>
      <w:r w:rsidR="00B61012">
        <w:br/>
        <w:t>Standardization Bureau</w:t>
      </w:r>
    </w:p>
    <w:p w14:paraId="2537AA81" w14:textId="77777777" w:rsidR="00660033" w:rsidRDefault="00660033">
      <w:pPr>
        <w:tabs>
          <w:tab w:val="clear" w:pos="794"/>
          <w:tab w:val="clear" w:pos="1191"/>
          <w:tab w:val="clear" w:pos="1588"/>
          <w:tab w:val="clear" w:pos="1985"/>
        </w:tabs>
        <w:overflowPunct/>
        <w:autoSpaceDE/>
        <w:autoSpaceDN/>
        <w:adjustRightInd/>
        <w:spacing w:before="0"/>
        <w:textAlignment w:val="auto"/>
      </w:pPr>
      <w:r>
        <w:br w:type="page"/>
      </w:r>
    </w:p>
    <w:p w14:paraId="13A274A7" w14:textId="20B60AFD" w:rsidR="00660033" w:rsidRDefault="00660033" w:rsidP="00660033">
      <w:pPr>
        <w:pStyle w:val="Heading1"/>
        <w:jc w:val="center"/>
      </w:pPr>
      <w:r w:rsidRPr="00660033">
        <w:lastRenderedPageBreak/>
        <w:t xml:space="preserve">Annex A to TSB Circular </w:t>
      </w:r>
      <w:r w:rsidR="003E79B1">
        <w:t>223</w:t>
      </w:r>
      <w:r>
        <w:br/>
      </w:r>
      <w:r w:rsidR="007A3429">
        <w:t>C</w:t>
      </w:r>
      <w:r w:rsidRPr="00660033">
        <w:t xml:space="preserve">all for participation </w:t>
      </w:r>
      <w:r w:rsidR="007A3429">
        <w:t>in</w:t>
      </w:r>
      <w:r w:rsidRPr="00660033">
        <w:t xml:space="preserve"> </w:t>
      </w:r>
      <w:r>
        <w:t>work</w:t>
      </w:r>
      <w:r w:rsidRPr="00660033">
        <w:t xml:space="preserve"> item G.CMVTQS: “Computational model used as a </w:t>
      </w:r>
      <w:proofErr w:type="spellStart"/>
      <w:r w:rsidRPr="00660033">
        <w:t>QoE</w:t>
      </w:r>
      <w:proofErr w:type="spellEnd"/>
      <w:r w:rsidRPr="00660033">
        <w:t>/QoS monitor to assess videotelephony services”</w:t>
      </w:r>
    </w:p>
    <w:p w14:paraId="4B3F60DB" w14:textId="0890CC96" w:rsidR="007A3429" w:rsidRPr="00660033" w:rsidRDefault="007A3429" w:rsidP="007A3429">
      <w:pPr>
        <w:jc w:val="center"/>
        <w:rPr>
          <w:lang w:val="en-US"/>
        </w:rPr>
      </w:pPr>
      <w:r>
        <w:rPr>
          <w:lang w:val="en-US"/>
        </w:rPr>
        <w:t xml:space="preserve">(Reference: </w:t>
      </w:r>
      <w:hyperlink r:id="rId14" w:history="1">
        <w:r w:rsidRPr="002E1C71">
          <w:rPr>
            <w:rStyle w:val="Hyperlink"/>
            <w:lang w:val="en-US"/>
          </w:rPr>
          <w:t>SG12-TD977R1</w:t>
        </w:r>
      </w:hyperlink>
      <w:r>
        <w:rPr>
          <w:lang w:val="en-US"/>
        </w:rPr>
        <w:t>)</w:t>
      </w:r>
    </w:p>
    <w:p w14:paraId="76E1CB21" w14:textId="082C04CB" w:rsidR="00660033" w:rsidRPr="00660033" w:rsidRDefault="00660033" w:rsidP="00660033">
      <w:r w:rsidRPr="00660033">
        <w:t xml:space="preserve">During its last meeting in December 2019, ITU-T Study Groupe 12 “Performance, QoS and </w:t>
      </w:r>
      <w:proofErr w:type="spellStart"/>
      <w:r w:rsidRPr="00660033">
        <w:t>QoE</w:t>
      </w:r>
      <w:proofErr w:type="spellEnd"/>
      <w:r w:rsidRPr="00660033">
        <w:t xml:space="preserve">” agreed to launch a call for participation for a new collaborative project developed under the responsibility of Q15/12, entitled G.CMVTQS: “Computational model used as a </w:t>
      </w:r>
      <w:proofErr w:type="spellStart"/>
      <w:r w:rsidRPr="00660033">
        <w:t>QoE</w:t>
      </w:r>
      <w:proofErr w:type="spellEnd"/>
      <w:r w:rsidRPr="00660033">
        <w:t>/QoS monitor to assess videotelephony services”.</w:t>
      </w:r>
    </w:p>
    <w:p w14:paraId="029102FC" w14:textId="19BEC472" w:rsidR="00660033" w:rsidRDefault="00660033" w:rsidP="00660033">
      <w:r w:rsidRPr="00660033">
        <w:t xml:space="preserve">The expected output of this project consists of a set of parametric objective quality assessment models based on sets of parameters calculation, that predict the quality of single-channel bidirectional videotelephony calls comprising both audio and video components. </w:t>
      </w:r>
    </w:p>
    <w:p w14:paraId="4F3AA3B4" w14:textId="102C2FD4" w:rsidR="00660033" w:rsidRPr="00660033" w:rsidRDefault="00660033" w:rsidP="00660033">
      <w:r w:rsidRPr="00660033">
        <w:t>The G.CMVTQS models do not assess anything other than the audio and video components of the services (i.e., they do not cover document sharing, chat, nor augmented reality context) and when both are used in conjunction. The focus is put on pure audio-visual communications and on one single dimension of quality: integrity, i.e.</w:t>
      </w:r>
      <w:r>
        <w:t>,</w:t>
      </w:r>
      <w:r w:rsidRPr="00660033">
        <w:t xml:space="preserve"> the quality experienced by the end-user during usage (availability and maintainability of services are out of the scope). The targeted devices stem from home TV screens to smartphones.</w:t>
      </w:r>
    </w:p>
    <w:p w14:paraId="17A70DD4" w14:textId="2A6CBBE5" w:rsidR="00660033" w:rsidRPr="00660033" w:rsidRDefault="00660033" w:rsidP="00660033">
      <w:r w:rsidRPr="00660033">
        <w:t xml:space="preserve">The inputs of the G.CMVTQS models are network and stream related parameters obtained at the endpoint either during or at the end of the usage of the videotelephony service to </w:t>
      </w:r>
      <w:proofErr w:type="spellStart"/>
      <w:r w:rsidRPr="00660033">
        <w:t>analyze</w:t>
      </w:r>
      <w:proofErr w:type="spellEnd"/>
      <w:r w:rsidRPr="00660033">
        <w:t xml:space="preserve"> the status of the communication in terms of QoS. The main factors affecting the quality of videotelephony service include video and audio quality factors, </w:t>
      </w:r>
      <w:proofErr w:type="spellStart"/>
      <w:r w:rsidRPr="00660033">
        <w:t>audiovisual</w:t>
      </w:r>
      <w:proofErr w:type="spellEnd"/>
      <w:r w:rsidRPr="00660033">
        <w:t xml:space="preserve"> quality factors, and network transmission loss factors.</w:t>
      </w:r>
    </w:p>
    <w:p w14:paraId="7ECA44E5" w14:textId="0655843D" w:rsidR="00660033" w:rsidRPr="00660033" w:rsidRDefault="00660033" w:rsidP="00660033">
      <w:r w:rsidRPr="00660033">
        <w:t xml:space="preserve">G.CMVTQS models predict audio-visual Mean Opinion Scores (MOS) on a 5-point ACR scale (as per </w:t>
      </w:r>
      <w:r>
        <w:t xml:space="preserve">Recommendation </w:t>
      </w:r>
      <w:r w:rsidRPr="00660033">
        <w:t xml:space="preserve">ITU-T P.910) as a global multi-media MOS score, together with underlying quality estimations for audio, video, delay and synchronization between audio and video (as defined in </w:t>
      </w:r>
      <w:r>
        <w:t xml:space="preserve">Recommendation </w:t>
      </w:r>
      <w:r w:rsidRPr="00660033">
        <w:t>ITU-T P.911).</w:t>
      </w:r>
    </w:p>
    <w:p w14:paraId="1D5E9090" w14:textId="63D7567C" w:rsidR="00660033" w:rsidRDefault="00660033" w:rsidP="00660033">
      <w:r w:rsidRPr="00660033">
        <w:t>The framework of this call for participation is as follows:</w:t>
      </w:r>
    </w:p>
    <w:p w14:paraId="4FDCA773" w14:textId="77777777" w:rsidR="00660033" w:rsidRPr="00660033" w:rsidRDefault="00660033" w:rsidP="00660033">
      <w:pPr>
        <w:numPr>
          <w:ilvl w:val="0"/>
          <w:numId w:val="12"/>
        </w:numPr>
        <w:spacing w:before="0"/>
        <w:rPr>
          <w:lang w:val="en-US"/>
        </w:rPr>
      </w:pPr>
      <w:r w:rsidRPr="00660033">
        <w:rPr>
          <w:lang w:val="en-US"/>
        </w:rPr>
        <w:t>Only Mode0 of the G.CMVTQS work item is subject of this call for participation.</w:t>
      </w:r>
    </w:p>
    <w:p w14:paraId="5F10B706" w14:textId="2871074D" w:rsidR="00660033" w:rsidRPr="00660033" w:rsidRDefault="00660033" w:rsidP="00660033">
      <w:pPr>
        <w:numPr>
          <w:ilvl w:val="1"/>
          <w:numId w:val="12"/>
        </w:numPr>
        <w:spacing w:before="0"/>
        <w:rPr>
          <w:lang w:val="en-US"/>
        </w:rPr>
      </w:pPr>
      <w:r w:rsidRPr="00660033">
        <w:rPr>
          <w:lang w:val="en-US"/>
        </w:rPr>
        <w:t xml:space="preserve">Mode0 is based on parameters calculation; though its development is based on WebRTC, other videotelephony services can also use it. More details can be found in </w:t>
      </w:r>
      <w:hyperlink r:id="rId15" w:history="1">
        <w:r w:rsidRPr="00660033">
          <w:rPr>
            <w:rStyle w:val="Hyperlink"/>
            <w:lang w:val="en-US"/>
          </w:rPr>
          <w:t>SG12-</w:t>
        </w:r>
        <w:r w:rsidRPr="00660033">
          <w:rPr>
            <w:rStyle w:val="Hyperlink"/>
          </w:rPr>
          <w:t>TD980R2</w:t>
        </w:r>
      </w:hyperlink>
      <w:r w:rsidRPr="00660033">
        <w:t>.</w:t>
      </w:r>
    </w:p>
    <w:p w14:paraId="1F4A4FA0" w14:textId="34691580" w:rsidR="00660033" w:rsidRPr="00660033" w:rsidRDefault="00660033" w:rsidP="00660033">
      <w:pPr>
        <w:numPr>
          <w:ilvl w:val="0"/>
          <w:numId w:val="12"/>
        </w:numPr>
        <w:spacing w:before="0"/>
      </w:pPr>
      <w:r w:rsidRPr="00660033">
        <w:rPr>
          <w:lang w:val="en-US"/>
        </w:rPr>
        <w:t>The development of Mode0 of the G.CMVTQS work item will be conducted within the scope defined in the documents concerning terms of reference (</w:t>
      </w:r>
      <w:hyperlink r:id="rId16" w:history="1">
        <w:r w:rsidRPr="00660033">
          <w:rPr>
            <w:rStyle w:val="Hyperlink"/>
            <w:lang w:val="en-US"/>
          </w:rPr>
          <w:t>SG12-TD980R2</w:t>
        </w:r>
      </w:hyperlink>
      <w:r w:rsidRPr="00660033">
        <w:rPr>
          <w:lang w:val="en-US"/>
        </w:rPr>
        <w:t>) and subjective methods (</w:t>
      </w:r>
      <w:hyperlink r:id="rId17" w:history="1">
        <w:r w:rsidRPr="00660033">
          <w:rPr>
            <w:rStyle w:val="Hyperlink"/>
            <w:lang w:val="en-US"/>
          </w:rPr>
          <w:t>SG12-</w:t>
        </w:r>
        <w:r w:rsidRPr="00660033">
          <w:rPr>
            <w:rStyle w:val="Hyperlink"/>
          </w:rPr>
          <w:t>TD979R1</w:t>
        </w:r>
      </w:hyperlink>
      <w:r w:rsidRPr="00660033">
        <w:rPr>
          <w:lang w:val="en-US"/>
        </w:rPr>
        <w:t>).</w:t>
      </w:r>
    </w:p>
    <w:p w14:paraId="00DD7CEE" w14:textId="77777777" w:rsidR="00660033" w:rsidRPr="00660033" w:rsidRDefault="00660033" w:rsidP="00660033">
      <w:pPr>
        <w:numPr>
          <w:ilvl w:val="0"/>
          <w:numId w:val="11"/>
        </w:numPr>
        <w:spacing w:before="0"/>
        <w:rPr>
          <w:lang w:val="en-US"/>
        </w:rPr>
      </w:pPr>
      <w:r w:rsidRPr="00660033">
        <w:rPr>
          <w:lang w:val="en-US"/>
        </w:rPr>
        <w:t>Mode0 of the G.CMVTQS work item will be developed in collaboration. How this collaboration will be organized is left to decide by the parties involved.</w:t>
      </w:r>
    </w:p>
    <w:p w14:paraId="4C0E54BB" w14:textId="664954C9" w:rsidR="00660033" w:rsidRPr="00660033" w:rsidRDefault="00660033" w:rsidP="00660033">
      <w:pPr>
        <w:numPr>
          <w:ilvl w:val="0"/>
          <w:numId w:val="11"/>
        </w:numPr>
        <w:spacing w:before="0"/>
        <w:rPr>
          <w:lang w:val="en-US"/>
        </w:rPr>
      </w:pPr>
      <w:r w:rsidRPr="00660033">
        <w:rPr>
          <w:lang w:val="en-US"/>
        </w:rPr>
        <w:t xml:space="preserve">The minimum number of parties involved in the development of Mode0 will be 2, and </w:t>
      </w:r>
      <w:r w:rsidR="007A3429">
        <w:rPr>
          <w:lang w:val="en-US"/>
        </w:rPr>
        <w:t xml:space="preserve">there is no </w:t>
      </w:r>
      <w:r w:rsidRPr="00660033">
        <w:rPr>
          <w:lang w:val="en-US"/>
        </w:rPr>
        <w:t>upper limit.</w:t>
      </w:r>
    </w:p>
    <w:p w14:paraId="5CD57275" w14:textId="7199128D" w:rsidR="00660033" w:rsidRPr="00660033" w:rsidRDefault="00660033" w:rsidP="00660033">
      <w:pPr>
        <w:numPr>
          <w:ilvl w:val="0"/>
          <w:numId w:val="11"/>
        </w:numPr>
        <w:spacing w:before="0"/>
        <w:rPr>
          <w:lang w:val="en-US"/>
        </w:rPr>
      </w:pPr>
      <w:r w:rsidRPr="00660033">
        <w:rPr>
          <w:lang w:val="en-US"/>
        </w:rPr>
        <w:t xml:space="preserve">Each party answering positively the call for participation must commit </w:t>
      </w:r>
      <w:r w:rsidR="007A3429" w:rsidRPr="00660033">
        <w:rPr>
          <w:lang w:val="en-US"/>
        </w:rPr>
        <w:t>to produce</w:t>
      </w:r>
      <w:r w:rsidRPr="00660033">
        <w:rPr>
          <w:lang w:val="en-US"/>
        </w:rPr>
        <w:t xml:space="preserve"> at least a new subjective database conducted following </w:t>
      </w:r>
      <w:hyperlink r:id="rId18" w:history="1">
        <w:r w:rsidRPr="00660033">
          <w:rPr>
            <w:rStyle w:val="Hyperlink"/>
            <w:lang w:val="en-US"/>
          </w:rPr>
          <w:t>SG12-</w:t>
        </w:r>
        <w:r w:rsidRPr="00660033">
          <w:rPr>
            <w:rStyle w:val="Hyperlink"/>
          </w:rPr>
          <w:t>TD 979R1</w:t>
        </w:r>
      </w:hyperlink>
      <w:r w:rsidRPr="00660033">
        <w:t>.</w:t>
      </w:r>
    </w:p>
    <w:p w14:paraId="0394E6B9" w14:textId="77777777" w:rsidR="00660033" w:rsidRPr="00660033" w:rsidRDefault="00660033" w:rsidP="00660033">
      <w:pPr>
        <w:spacing w:before="0"/>
        <w:rPr>
          <w:lang w:val="en-US"/>
        </w:rPr>
      </w:pPr>
    </w:p>
    <w:p w14:paraId="11175DD8" w14:textId="77777777" w:rsidR="007A3429" w:rsidRPr="007A3429" w:rsidRDefault="00660033" w:rsidP="007A3429">
      <w:r w:rsidRPr="007A3429">
        <w:t>Any ITU Member State, ITU-T Sector Member, ITU-T Study Group 12 Associate, ITU Academia shall confirm their intention</w:t>
      </w:r>
      <w:r w:rsidRPr="007A3429" w:rsidDel="0045117F">
        <w:t xml:space="preserve"> </w:t>
      </w:r>
      <w:r w:rsidRPr="007A3429">
        <w:t>to participate in this project under the framework described above by sending an e-mail to the ITU secretariat (</w:t>
      </w:r>
      <w:hyperlink r:id="rId19" w:history="1">
        <w:r w:rsidRPr="007A3429">
          <w:rPr>
            <w:rStyle w:val="Hyperlink"/>
          </w:rPr>
          <w:t>tsbsg12@itu.int</w:t>
        </w:r>
      </w:hyperlink>
      <w:r w:rsidRPr="007A3429">
        <w:t>).</w:t>
      </w:r>
    </w:p>
    <w:p w14:paraId="09A5EDDF" w14:textId="3DA339A9" w:rsidR="007A3429" w:rsidRDefault="00660033" w:rsidP="007A3429">
      <w:pPr>
        <w:rPr>
          <w:u w:val="single"/>
          <w:lang w:val="en-US"/>
        </w:rPr>
      </w:pPr>
      <w:r w:rsidRPr="007A3429">
        <w:t>The deadline to respond to the call for participation is Friday, 7 February 2020.</w:t>
      </w:r>
    </w:p>
    <w:p w14:paraId="143C7464" w14:textId="691D37CD" w:rsidR="00D62702" w:rsidRPr="007A3429" w:rsidRDefault="00D62702" w:rsidP="007A3429">
      <w:pPr>
        <w:jc w:val="center"/>
      </w:pPr>
    </w:p>
    <w:sectPr w:rsidR="00D62702" w:rsidRPr="007A3429" w:rsidSect="00FA46A0">
      <w:headerReference w:type="default" r:id="rId20"/>
      <w:footerReference w:type="first" r:id="rId2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88F39" w14:textId="77777777" w:rsidR="00C8078C" w:rsidRDefault="00C8078C">
      <w:r>
        <w:separator/>
      </w:r>
    </w:p>
  </w:endnote>
  <w:endnote w:type="continuationSeparator" w:id="0">
    <w:p w14:paraId="24A49D64" w14:textId="77777777" w:rsidR="00C8078C" w:rsidRDefault="00C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F57B7"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4DA30" w14:textId="77777777" w:rsidR="00C8078C" w:rsidRDefault="00C8078C">
      <w:r>
        <w:t>____________________</w:t>
      </w:r>
    </w:p>
  </w:footnote>
  <w:footnote w:type="continuationSeparator" w:id="0">
    <w:p w14:paraId="31D76B9A" w14:textId="77777777" w:rsidR="00C8078C" w:rsidRDefault="00C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1AAB" w14:textId="181C3C2D" w:rsidR="00FA46A0" w:rsidRDefault="00B61012">
    <w:pPr>
      <w:pStyle w:val="Header"/>
    </w:pPr>
    <w:r>
      <w:t xml:space="preserve">- </w:t>
    </w:r>
    <w:r w:rsidR="00FA46A0">
      <w:fldChar w:fldCharType="begin"/>
    </w:r>
    <w:r>
      <w:instrText xml:space="preserve"> PAGE   \* MERGEFORMAT </w:instrText>
    </w:r>
    <w:r w:rsidR="00FA46A0">
      <w:fldChar w:fldCharType="separate"/>
    </w:r>
    <w:r w:rsidR="007A4A55">
      <w:rPr>
        <w:noProof/>
      </w:rPr>
      <w:t>2</w:t>
    </w:r>
    <w:r w:rsidR="00FA46A0">
      <w:rPr>
        <w:noProof/>
      </w:rPr>
      <w:fldChar w:fldCharType="end"/>
    </w:r>
    <w:r>
      <w:rPr>
        <w:noProof/>
      </w:rPr>
      <w:t xml:space="preserve"> -</w:t>
    </w:r>
    <w:r w:rsidR="00503ADB">
      <w:rPr>
        <w:noProof/>
      </w:rPr>
      <w:br/>
      <w:t xml:space="preserve">TSB Circular </w:t>
    </w:r>
    <w:r w:rsidR="003E79B1">
      <w:rPr>
        <w:noProof/>
      </w:rPr>
      <w:t>223</w:t>
    </w:r>
  </w:p>
  <w:p w14:paraId="2AF9F674"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EB4E58"/>
    <w:multiLevelType w:val="hybridMultilevel"/>
    <w:tmpl w:val="ACDABABA"/>
    <w:lvl w:ilvl="0" w:tplc="57524A06">
      <w:start w:val="17"/>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A57BF0"/>
    <w:multiLevelType w:val="hybridMultilevel"/>
    <w:tmpl w:val="3CFE3FA6"/>
    <w:lvl w:ilvl="0" w:tplc="EBF0F2C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E5"/>
    <w:rsid w:val="00022E6B"/>
    <w:rsid w:val="000B15C8"/>
    <w:rsid w:val="001018E1"/>
    <w:rsid w:val="00112F37"/>
    <w:rsid w:val="001A34EC"/>
    <w:rsid w:val="002D3170"/>
    <w:rsid w:val="002E1C71"/>
    <w:rsid w:val="00356B73"/>
    <w:rsid w:val="003746A5"/>
    <w:rsid w:val="003D4690"/>
    <w:rsid w:val="003E79B1"/>
    <w:rsid w:val="00453CEA"/>
    <w:rsid w:val="00487330"/>
    <w:rsid w:val="004C2257"/>
    <w:rsid w:val="00503ADB"/>
    <w:rsid w:val="005C0EC1"/>
    <w:rsid w:val="005E003C"/>
    <w:rsid w:val="00660033"/>
    <w:rsid w:val="00730A58"/>
    <w:rsid w:val="0079763E"/>
    <w:rsid w:val="007A3429"/>
    <w:rsid w:val="007A4A55"/>
    <w:rsid w:val="007A65E8"/>
    <w:rsid w:val="00963900"/>
    <w:rsid w:val="009747C5"/>
    <w:rsid w:val="009B2EB5"/>
    <w:rsid w:val="00A44CE5"/>
    <w:rsid w:val="00A72C30"/>
    <w:rsid w:val="00B2488F"/>
    <w:rsid w:val="00B4669D"/>
    <w:rsid w:val="00B61012"/>
    <w:rsid w:val="00B95FC8"/>
    <w:rsid w:val="00C8078C"/>
    <w:rsid w:val="00C95BF6"/>
    <w:rsid w:val="00D62702"/>
    <w:rsid w:val="00EA2114"/>
    <w:rsid w:val="00EC15F4"/>
    <w:rsid w:val="00F22314"/>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1A090B"/>
  <w15:docId w15:val="{620FF220-F79C-4234-869B-88853483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UnresolvedMention1">
    <w:name w:val="Unresolved Mention1"/>
    <w:basedOn w:val="DefaultParagraphFont"/>
    <w:uiPriority w:val="99"/>
    <w:semiHidden/>
    <w:unhideWhenUsed/>
    <w:rsid w:val="00A44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itu.int/dms_inf/itu-t/md/17/sg12/td/191126/GEN/T17-SG12-191126-TD-GEN-0979!R1!MSW-E.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tsbsg12@itu.int" TargetMode="External"/><Relationship Id="rId17" Type="http://schemas.openxmlformats.org/officeDocument/2006/relationships/hyperlink" Target="https://www.itu.int/dms_inf/itu-t/md/17/sg12/td/191126/GEN/T17-SG12-191126-TD-GEN-0979!R1!MSW-E.docx" TargetMode="External"/><Relationship Id="rId2" Type="http://schemas.openxmlformats.org/officeDocument/2006/relationships/customXml" Target="../customXml/item2.xml"/><Relationship Id="rId16" Type="http://schemas.openxmlformats.org/officeDocument/2006/relationships/hyperlink" Target="https://www.itu.int/dms_inf/itu-t/md/17/sg12/td/191126/GEN/T17-SG12-191126-TD-GEN-0980!R2!MSW-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2@itu.int" TargetMode="External"/><Relationship Id="rId5" Type="http://schemas.openxmlformats.org/officeDocument/2006/relationships/styles" Target="styles.xml"/><Relationship Id="rId15" Type="http://schemas.openxmlformats.org/officeDocument/2006/relationships/hyperlink" Target="https://www.itu.int/dms_inf/itu-t/md/17/sg12/td/191126/GEN/T17-SG12-191126-TD-GEN-0980!R2!MSW-E.doc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sbsg12@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dms_inf/itu-t/md/17/sg12/td/191126/GEN/T17-SG12-191126-TD-GEN-0977!R1!MSW-E.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lph\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1" ma:contentTypeDescription="Create a new document." ma:contentTypeScope="" ma:versionID="ddc5bacfc7847d7f69c6be3b46856278">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148a74f8c31b96172491a7894e484238"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12682-0EDB-42BA-99E9-1841B1906333}">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828c3eb1-47f5-463e-b97c-8f440708d4da"/>
    <ds:schemaRef ds:uri="db787c58-c6c7-4092-84ad-14d4686e718a"/>
    <ds:schemaRef ds:uri="http://purl.org/dc/terms/"/>
  </ds:schemaRefs>
</ds:datastoreItem>
</file>

<file path=customXml/itemProps2.xml><?xml version="1.0" encoding="utf-8"?>
<ds:datastoreItem xmlns:ds="http://schemas.openxmlformats.org/officeDocument/2006/customXml" ds:itemID="{3CF41CEB-E41D-4E59-8E3F-9614755AD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C7034-57E5-41D4-BB84-0F10B95E7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12</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TSB Circular GCMVTQS (003).docx  For: _x000d_Document date: _x000d_Saved by ITU51011775 at 11:59:34 on 20/12/2019</dc:description>
  <cp:lastModifiedBy>Jenkins, Lia</cp:lastModifiedBy>
  <cp:revision>5</cp:revision>
  <cp:lastPrinted>2019-12-20T12:40:00Z</cp:lastPrinted>
  <dcterms:created xsi:type="dcterms:W3CDTF">2019-12-20T12:27:00Z</dcterms:created>
  <dcterms:modified xsi:type="dcterms:W3CDTF">2019-12-20T13:04:00Z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GCMVTQS (003).docx</vt:lpwstr>
  </property>
  <property fmtid="{D5CDD505-2E9C-101B-9397-08002B2CF9AE}" pid="3" name="Docdate">
    <vt:lpwstr/>
  </property>
  <property fmtid="{D5CDD505-2E9C-101B-9397-08002B2CF9AE}" pid="4" name="Docorlang">
    <vt:lpwstr/>
  </property>
  <property fmtid="{D5CDD505-2E9C-101B-9397-08002B2CF9AE}" pid="5" name="ContentTypeId">
    <vt:lpwstr>0x01010048E41CE3FCF996448956D1D7ACE1A4DB</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