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5" w:type="dxa"/>
        <w:tblInd w:w="8" w:type="dxa"/>
        <w:tblLayout w:type="fixed"/>
        <w:tblCellMar>
          <w:left w:w="0" w:type="dxa"/>
          <w:right w:w="0" w:type="dxa"/>
        </w:tblCellMar>
        <w:tblLook w:val="0000" w:firstRow="0" w:lastRow="0" w:firstColumn="0" w:lastColumn="0" w:noHBand="0" w:noVBand="0"/>
      </w:tblPr>
      <w:tblGrid>
        <w:gridCol w:w="1268"/>
        <w:gridCol w:w="142"/>
        <w:gridCol w:w="3608"/>
        <w:gridCol w:w="4897"/>
      </w:tblGrid>
      <w:tr w:rsidR="007B6316" w14:paraId="64FDA6BA" w14:textId="77777777" w:rsidTr="0062236F">
        <w:trPr>
          <w:cantSplit/>
          <w:trHeight w:val="340"/>
        </w:trPr>
        <w:tc>
          <w:tcPr>
            <w:tcW w:w="1410" w:type="dxa"/>
            <w:gridSpan w:val="2"/>
          </w:tcPr>
          <w:p w14:paraId="61A5E2F9" w14:textId="77777777" w:rsidR="007B6316" w:rsidRDefault="007B6316" w:rsidP="00303D62">
            <w:pPr>
              <w:tabs>
                <w:tab w:val="left" w:pos="4111"/>
              </w:tabs>
              <w:spacing w:before="10"/>
              <w:ind w:left="57"/>
              <w:rPr>
                <w:sz w:val="22"/>
              </w:rPr>
            </w:pPr>
            <w:r w:rsidRPr="00F1238A">
              <w:rPr>
                <w:noProof/>
                <w:lang w:val="en-GB" w:eastAsia="en-GB"/>
              </w:rPr>
              <w:drawing>
                <wp:inline distT="0" distB="0" distL="0" distR="0" wp14:anchorId="4EC208D4" wp14:editId="04D99339">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505" w:type="dxa"/>
            <w:gridSpan w:val="2"/>
            <w:vAlign w:val="center"/>
          </w:tcPr>
          <w:p w14:paraId="34015A1A"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32EA63A6"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3B88A06E" w14:textId="77777777" w:rsidTr="0062236F">
        <w:trPr>
          <w:cantSplit/>
          <w:trHeight w:val="340"/>
        </w:trPr>
        <w:tc>
          <w:tcPr>
            <w:tcW w:w="1268" w:type="dxa"/>
          </w:tcPr>
          <w:p w14:paraId="71F21C16" w14:textId="77777777" w:rsidR="007B6316" w:rsidRPr="007B6316" w:rsidRDefault="007B6316" w:rsidP="00303D62">
            <w:pPr>
              <w:tabs>
                <w:tab w:val="left" w:pos="4111"/>
              </w:tabs>
              <w:spacing w:before="10"/>
              <w:ind w:left="57"/>
              <w:rPr>
                <w:b/>
                <w:bCs/>
                <w:sz w:val="22"/>
              </w:rPr>
            </w:pPr>
          </w:p>
        </w:tc>
        <w:tc>
          <w:tcPr>
            <w:tcW w:w="3750" w:type="dxa"/>
            <w:gridSpan w:val="2"/>
          </w:tcPr>
          <w:p w14:paraId="702C751F" w14:textId="77777777" w:rsidR="007B6316" w:rsidRDefault="007B6316" w:rsidP="00303D62">
            <w:pPr>
              <w:tabs>
                <w:tab w:val="left" w:pos="4111"/>
              </w:tabs>
              <w:spacing w:before="0"/>
              <w:ind w:left="57"/>
              <w:rPr>
                <w:b/>
              </w:rPr>
            </w:pPr>
          </w:p>
        </w:tc>
        <w:tc>
          <w:tcPr>
            <w:tcW w:w="4897" w:type="dxa"/>
          </w:tcPr>
          <w:p w14:paraId="74960D49" w14:textId="5BA74ED0" w:rsidR="007B6316" w:rsidRDefault="00C7475A" w:rsidP="007B6316">
            <w:pPr>
              <w:tabs>
                <w:tab w:val="clear" w:pos="794"/>
                <w:tab w:val="clear" w:pos="1191"/>
                <w:tab w:val="clear" w:pos="1588"/>
                <w:tab w:val="clear" w:pos="1985"/>
                <w:tab w:val="left" w:pos="284"/>
              </w:tabs>
              <w:spacing w:after="120"/>
              <w:ind w:left="284" w:hanging="227"/>
            </w:pPr>
            <w:r w:rsidRPr="00C7475A">
              <w:rPr>
                <w:szCs w:val="24"/>
              </w:rPr>
              <w:t>Ginebra, 18 de diciembre de 2019</w:t>
            </w:r>
          </w:p>
        </w:tc>
      </w:tr>
      <w:tr w:rsidR="007B6316" w14:paraId="05860E25" w14:textId="77777777" w:rsidTr="0062236F">
        <w:trPr>
          <w:cantSplit/>
          <w:trHeight w:val="340"/>
        </w:trPr>
        <w:tc>
          <w:tcPr>
            <w:tcW w:w="1268" w:type="dxa"/>
          </w:tcPr>
          <w:p w14:paraId="4D5DF98E" w14:textId="5F3D0A17" w:rsidR="007B6316" w:rsidRPr="009F0064" w:rsidRDefault="007B6316" w:rsidP="00DB3358">
            <w:pPr>
              <w:spacing w:before="40" w:after="40"/>
              <w:ind w:left="57"/>
            </w:pPr>
            <w:r w:rsidRPr="009F0064">
              <w:t>Ref.:</w:t>
            </w:r>
          </w:p>
        </w:tc>
        <w:tc>
          <w:tcPr>
            <w:tcW w:w="3750" w:type="dxa"/>
            <w:gridSpan w:val="2"/>
          </w:tcPr>
          <w:p w14:paraId="293BA4F6" w14:textId="63E10548" w:rsidR="007B6316" w:rsidRDefault="00C7475A" w:rsidP="009F0064">
            <w:pPr>
              <w:tabs>
                <w:tab w:val="left" w:pos="4111"/>
              </w:tabs>
              <w:spacing w:before="40"/>
              <w:ind w:left="57"/>
              <w:rPr>
                <w:b/>
              </w:rPr>
            </w:pPr>
            <w:r w:rsidRPr="00C7475A">
              <w:rPr>
                <w:b/>
              </w:rPr>
              <w:t>Circular TSB 219</w:t>
            </w:r>
          </w:p>
          <w:p w14:paraId="215B603F" w14:textId="55D5D49C" w:rsidR="007B6316" w:rsidRPr="009F0064" w:rsidRDefault="00007A16" w:rsidP="009F0064">
            <w:pPr>
              <w:tabs>
                <w:tab w:val="left" w:pos="4111"/>
              </w:tabs>
              <w:spacing w:before="0" w:after="40"/>
              <w:ind w:left="57"/>
              <w:rPr>
                <w:b/>
              </w:rPr>
            </w:pPr>
            <w:r>
              <w:t>CE </w:t>
            </w:r>
            <w:r w:rsidR="00C7475A" w:rsidRPr="00C7475A">
              <w:t>17/XY</w:t>
            </w:r>
          </w:p>
        </w:tc>
        <w:tc>
          <w:tcPr>
            <w:tcW w:w="4897" w:type="dxa"/>
            <w:vMerge w:val="restart"/>
          </w:tcPr>
          <w:p w14:paraId="38B410CD" w14:textId="77777777" w:rsidR="009F0064" w:rsidRPr="009F0064" w:rsidRDefault="009F0064" w:rsidP="009F0064">
            <w:pPr>
              <w:tabs>
                <w:tab w:val="clear" w:pos="794"/>
                <w:tab w:val="clear" w:pos="1191"/>
                <w:tab w:val="clear" w:pos="1588"/>
                <w:tab w:val="clear" w:pos="1985"/>
                <w:tab w:val="left" w:pos="284"/>
              </w:tabs>
              <w:spacing w:before="40"/>
              <w:ind w:left="284" w:hanging="227"/>
            </w:pPr>
            <w:bookmarkStart w:id="0" w:name="Addressee_S"/>
            <w:bookmarkEnd w:id="0"/>
            <w:r w:rsidRPr="009F0064">
              <w:rPr>
                <w:b/>
                <w:bCs/>
              </w:rPr>
              <w:t>A</w:t>
            </w:r>
            <w:r w:rsidRPr="009F0064">
              <w:t>:</w:t>
            </w:r>
          </w:p>
          <w:p w14:paraId="63A89BDC" w14:textId="4AFCD179" w:rsidR="00C7475A" w:rsidRDefault="00C7475A" w:rsidP="009F0064">
            <w:pPr>
              <w:tabs>
                <w:tab w:val="clear" w:pos="794"/>
                <w:tab w:val="clear" w:pos="1191"/>
                <w:tab w:val="clear" w:pos="1588"/>
                <w:tab w:val="clear" w:pos="1985"/>
                <w:tab w:val="left" w:pos="362"/>
              </w:tabs>
              <w:spacing w:before="0"/>
              <w:ind w:left="284" w:hanging="227"/>
            </w:pPr>
            <w:r>
              <w:t>–</w:t>
            </w:r>
            <w:r>
              <w:tab/>
              <w:t xml:space="preserve">las Administraciones de los Estados </w:t>
            </w:r>
            <w:r w:rsidR="009F0064">
              <w:br/>
            </w:r>
            <w:r>
              <w:t>Miembros de la Unión</w:t>
            </w:r>
            <w:r w:rsidR="009F0064">
              <w:t>;</w:t>
            </w:r>
          </w:p>
          <w:p w14:paraId="56702EB2" w14:textId="75AB6964" w:rsidR="00C7475A" w:rsidRDefault="00C7475A" w:rsidP="00C7475A">
            <w:pPr>
              <w:tabs>
                <w:tab w:val="clear" w:pos="794"/>
                <w:tab w:val="clear" w:pos="1191"/>
                <w:tab w:val="clear" w:pos="1588"/>
                <w:tab w:val="clear" w:pos="1985"/>
                <w:tab w:val="left" w:pos="284"/>
              </w:tabs>
              <w:spacing w:before="0"/>
              <w:ind w:left="284" w:hanging="227"/>
            </w:pPr>
            <w:r>
              <w:t>–</w:t>
            </w:r>
            <w:r>
              <w:tab/>
              <w:t>los Miembros de Sector del UIT-T;</w:t>
            </w:r>
          </w:p>
          <w:p w14:paraId="28BC5275" w14:textId="76B64EE0" w:rsidR="00C7475A" w:rsidRDefault="00C7475A" w:rsidP="00C7475A">
            <w:pPr>
              <w:tabs>
                <w:tab w:val="clear" w:pos="794"/>
                <w:tab w:val="clear" w:pos="1191"/>
                <w:tab w:val="clear" w:pos="1588"/>
                <w:tab w:val="clear" w:pos="1985"/>
                <w:tab w:val="left" w:pos="284"/>
              </w:tabs>
              <w:spacing w:before="0"/>
              <w:ind w:left="284" w:hanging="227"/>
            </w:pPr>
            <w:r>
              <w:t>–</w:t>
            </w:r>
            <w:r>
              <w:tab/>
              <w:t>los Asociados de la Comisión de Estudio 17 del</w:t>
            </w:r>
            <w:r w:rsidR="009F0064">
              <w:t> </w:t>
            </w:r>
            <w:r>
              <w:t>UIT</w:t>
            </w:r>
            <w:r w:rsidR="009F0064">
              <w:noBreakHyphen/>
            </w:r>
            <w:r>
              <w:t>T;</w:t>
            </w:r>
          </w:p>
          <w:p w14:paraId="49881B24" w14:textId="31BA2532" w:rsidR="007B6316" w:rsidRDefault="00C7475A" w:rsidP="00C7475A">
            <w:pPr>
              <w:tabs>
                <w:tab w:val="clear" w:pos="794"/>
                <w:tab w:val="clear" w:pos="1191"/>
                <w:tab w:val="clear" w:pos="1588"/>
                <w:tab w:val="clear" w:pos="1985"/>
                <w:tab w:val="left" w:pos="284"/>
              </w:tabs>
              <w:spacing w:before="0"/>
              <w:ind w:left="284" w:hanging="227"/>
            </w:pPr>
            <w:r>
              <w:t>–</w:t>
            </w:r>
            <w:r>
              <w:tab/>
              <w:t>las Instituciones Académicas de la UIT</w:t>
            </w:r>
          </w:p>
        </w:tc>
      </w:tr>
      <w:tr w:rsidR="007B6316" w14:paraId="6121D5A9" w14:textId="77777777" w:rsidTr="0062236F">
        <w:trPr>
          <w:cantSplit/>
        </w:trPr>
        <w:tc>
          <w:tcPr>
            <w:tcW w:w="1268" w:type="dxa"/>
          </w:tcPr>
          <w:p w14:paraId="02D961A9" w14:textId="77777777" w:rsidR="007B6316" w:rsidRPr="009F0064" w:rsidRDefault="007B6316" w:rsidP="009F0064">
            <w:pPr>
              <w:tabs>
                <w:tab w:val="left" w:pos="4111"/>
              </w:tabs>
              <w:spacing w:before="40" w:after="40"/>
              <w:ind w:left="57"/>
              <w:rPr>
                <w:szCs w:val="24"/>
              </w:rPr>
            </w:pPr>
            <w:r w:rsidRPr="009F0064">
              <w:rPr>
                <w:szCs w:val="24"/>
              </w:rPr>
              <w:t>Tel.:</w:t>
            </w:r>
          </w:p>
        </w:tc>
        <w:tc>
          <w:tcPr>
            <w:tcW w:w="3750" w:type="dxa"/>
            <w:gridSpan w:val="2"/>
          </w:tcPr>
          <w:p w14:paraId="6884370E" w14:textId="5A4E434F" w:rsidR="007B6316" w:rsidRPr="00C7475A" w:rsidRDefault="00C7475A" w:rsidP="009F0064">
            <w:pPr>
              <w:tabs>
                <w:tab w:val="left" w:pos="4111"/>
              </w:tabs>
              <w:spacing w:before="40" w:after="40"/>
              <w:ind w:left="57"/>
              <w:rPr>
                <w:rStyle w:val="Hyperlink"/>
                <w:color w:val="auto"/>
              </w:rPr>
            </w:pPr>
            <w:r w:rsidRPr="00C7475A">
              <w:t>+41 22 730 6206</w:t>
            </w:r>
          </w:p>
        </w:tc>
        <w:tc>
          <w:tcPr>
            <w:tcW w:w="4897" w:type="dxa"/>
            <w:vMerge/>
          </w:tcPr>
          <w:p w14:paraId="334109CD" w14:textId="77777777" w:rsidR="007B6316" w:rsidRDefault="007B6316" w:rsidP="00303D62">
            <w:pPr>
              <w:tabs>
                <w:tab w:val="left" w:pos="4111"/>
              </w:tabs>
              <w:spacing w:before="0"/>
              <w:rPr>
                <w:b/>
              </w:rPr>
            </w:pPr>
          </w:p>
        </w:tc>
      </w:tr>
      <w:tr w:rsidR="007B6316" w14:paraId="0AC3C4E5" w14:textId="77777777" w:rsidTr="0062236F">
        <w:trPr>
          <w:cantSplit/>
        </w:trPr>
        <w:tc>
          <w:tcPr>
            <w:tcW w:w="1268" w:type="dxa"/>
          </w:tcPr>
          <w:p w14:paraId="6A0EAC94" w14:textId="77777777" w:rsidR="007B6316" w:rsidRPr="009F0064" w:rsidRDefault="007B6316" w:rsidP="009F0064">
            <w:pPr>
              <w:tabs>
                <w:tab w:val="left" w:pos="4111"/>
              </w:tabs>
              <w:spacing w:before="40" w:after="40"/>
              <w:ind w:left="57"/>
              <w:rPr>
                <w:szCs w:val="24"/>
              </w:rPr>
            </w:pPr>
            <w:r w:rsidRPr="009F0064">
              <w:rPr>
                <w:szCs w:val="24"/>
              </w:rPr>
              <w:t>Fax:</w:t>
            </w:r>
          </w:p>
        </w:tc>
        <w:tc>
          <w:tcPr>
            <w:tcW w:w="3750" w:type="dxa"/>
            <w:gridSpan w:val="2"/>
          </w:tcPr>
          <w:p w14:paraId="4FFF9117" w14:textId="77777777" w:rsidR="007B6316" w:rsidRPr="00C7475A" w:rsidRDefault="007B6316" w:rsidP="009F0064">
            <w:pPr>
              <w:tabs>
                <w:tab w:val="left" w:pos="4111"/>
              </w:tabs>
              <w:spacing w:before="40" w:after="40"/>
              <w:ind w:left="57"/>
              <w:rPr>
                <w:rStyle w:val="Hyperlink"/>
                <w:color w:val="auto"/>
              </w:rPr>
            </w:pPr>
            <w:r w:rsidRPr="00C7475A">
              <w:t>+41 22 730 5853</w:t>
            </w:r>
          </w:p>
        </w:tc>
        <w:tc>
          <w:tcPr>
            <w:tcW w:w="4897" w:type="dxa"/>
            <w:vMerge/>
          </w:tcPr>
          <w:p w14:paraId="1A6E0BB4" w14:textId="77777777" w:rsidR="007B6316" w:rsidRDefault="007B6316" w:rsidP="00303D62">
            <w:pPr>
              <w:tabs>
                <w:tab w:val="left" w:pos="4111"/>
              </w:tabs>
              <w:spacing w:before="0"/>
              <w:rPr>
                <w:b/>
              </w:rPr>
            </w:pPr>
          </w:p>
        </w:tc>
      </w:tr>
      <w:tr w:rsidR="00C34772" w14:paraId="426376B9" w14:textId="77777777" w:rsidTr="0062236F">
        <w:trPr>
          <w:cantSplit/>
        </w:trPr>
        <w:tc>
          <w:tcPr>
            <w:tcW w:w="1268" w:type="dxa"/>
          </w:tcPr>
          <w:p w14:paraId="13654A21" w14:textId="77777777" w:rsidR="00C34772" w:rsidRPr="009F0064" w:rsidRDefault="00C34772" w:rsidP="009F0064">
            <w:pPr>
              <w:tabs>
                <w:tab w:val="left" w:pos="4111"/>
              </w:tabs>
              <w:spacing w:before="40" w:after="40"/>
              <w:ind w:left="57"/>
              <w:rPr>
                <w:szCs w:val="24"/>
              </w:rPr>
            </w:pPr>
            <w:r w:rsidRPr="009F0064">
              <w:rPr>
                <w:szCs w:val="24"/>
              </w:rPr>
              <w:t>Correo-e:</w:t>
            </w:r>
          </w:p>
        </w:tc>
        <w:tc>
          <w:tcPr>
            <w:tcW w:w="3750" w:type="dxa"/>
            <w:gridSpan w:val="2"/>
          </w:tcPr>
          <w:p w14:paraId="2FD98BA9" w14:textId="2E7E4202" w:rsidR="00C34772" w:rsidRDefault="00DA55EB" w:rsidP="009F0064">
            <w:pPr>
              <w:tabs>
                <w:tab w:val="left" w:pos="4111"/>
              </w:tabs>
              <w:spacing w:before="40" w:after="40"/>
              <w:ind w:left="57"/>
            </w:pPr>
            <w:hyperlink r:id="rId9" w:history="1">
              <w:r w:rsidR="00C7475A" w:rsidRPr="000E45D0">
                <w:rPr>
                  <w:rStyle w:val="Hyperlink"/>
                </w:rPr>
                <w:t>tsbsg17@itu.int</w:t>
              </w:r>
            </w:hyperlink>
          </w:p>
        </w:tc>
        <w:tc>
          <w:tcPr>
            <w:tcW w:w="4897" w:type="dxa"/>
          </w:tcPr>
          <w:p w14:paraId="47CFAAA9" w14:textId="77777777" w:rsidR="00C34772" w:rsidRDefault="00C34772" w:rsidP="009F0064">
            <w:pPr>
              <w:tabs>
                <w:tab w:val="left" w:pos="4111"/>
              </w:tabs>
              <w:spacing w:before="40"/>
              <w:ind w:left="57"/>
            </w:pPr>
            <w:r>
              <w:rPr>
                <w:b/>
              </w:rPr>
              <w:t>Copia</w:t>
            </w:r>
            <w:r>
              <w:t>:</w:t>
            </w:r>
          </w:p>
          <w:p w14:paraId="232B5066" w14:textId="206061E1" w:rsidR="00C7475A" w:rsidRDefault="00C7475A" w:rsidP="009F0064">
            <w:pPr>
              <w:tabs>
                <w:tab w:val="clear" w:pos="794"/>
                <w:tab w:val="clear" w:pos="1191"/>
                <w:tab w:val="clear" w:pos="1588"/>
                <w:tab w:val="clear" w:pos="1985"/>
                <w:tab w:val="left" w:pos="362"/>
              </w:tabs>
              <w:spacing w:before="0"/>
              <w:ind w:left="284" w:hanging="227"/>
            </w:pPr>
            <w:r>
              <w:t>–</w:t>
            </w:r>
            <w:r>
              <w:tab/>
            </w:r>
            <w:r w:rsidR="009F0064">
              <w:t>a</w:t>
            </w:r>
            <w:r>
              <w:t>l Presidente y a los Vicepresidentes de la</w:t>
            </w:r>
            <w:r w:rsidR="009F0064">
              <w:t xml:space="preserve"> </w:t>
            </w:r>
            <w:r>
              <w:t>Comisión de Estudio 17 del UIT-T;</w:t>
            </w:r>
          </w:p>
          <w:p w14:paraId="4FB821A9" w14:textId="52DD837A" w:rsidR="00C7475A" w:rsidRDefault="00C7475A" w:rsidP="009F0064">
            <w:pPr>
              <w:tabs>
                <w:tab w:val="clear" w:pos="794"/>
                <w:tab w:val="clear" w:pos="1191"/>
                <w:tab w:val="clear" w:pos="1588"/>
                <w:tab w:val="clear" w:pos="1985"/>
                <w:tab w:val="left" w:pos="362"/>
              </w:tabs>
              <w:spacing w:before="0"/>
              <w:ind w:left="284" w:hanging="227"/>
            </w:pPr>
            <w:r>
              <w:t>–</w:t>
            </w:r>
            <w:r>
              <w:tab/>
            </w:r>
            <w:r w:rsidR="009F0064">
              <w:t>a</w:t>
            </w:r>
            <w:r>
              <w:t xml:space="preserve"> la Directora de la Oficina de Desarrollo de las Telecomunicaciones;</w:t>
            </w:r>
          </w:p>
          <w:p w14:paraId="1D89969B" w14:textId="6C645C4E" w:rsidR="00C34772" w:rsidRDefault="00C7475A" w:rsidP="009F0064">
            <w:pPr>
              <w:tabs>
                <w:tab w:val="clear" w:pos="794"/>
                <w:tab w:val="clear" w:pos="1191"/>
                <w:tab w:val="clear" w:pos="1588"/>
                <w:tab w:val="clear" w:pos="1985"/>
                <w:tab w:val="left" w:pos="362"/>
              </w:tabs>
              <w:spacing w:before="0"/>
              <w:ind w:left="284" w:hanging="227"/>
            </w:pPr>
            <w:r>
              <w:t>–</w:t>
            </w:r>
            <w:r>
              <w:tab/>
            </w:r>
            <w:r w:rsidR="009F0064">
              <w:t>a</w:t>
            </w:r>
            <w:r>
              <w:t>l Director de la Oficina de Radiocomunicaciones</w:t>
            </w:r>
          </w:p>
        </w:tc>
      </w:tr>
      <w:tr w:rsidR="007B6316" w14:paraId="72841C34" w14:textId="77777777" w:rsidTr="0062236F">
        <w:trPr>
          <w:cantSplit/>
        </w:trPr>
        <w:tc>
          <w:tcPr>
            <w:tcW w:w="1268" w:type="dxa"/>
          </w:tcPr>
          <w:p w14:paraId="7CCE7CCE" w14:textId="77777777" w:rsidR="007B6316" w:rsidRPr="009F0064" w:rsidRDefault="007B6316" w:rsidP="009F0064">
            <w:pPr>
              <w:ind w:left="57"/>
            </w:pPr>
            <w:r w:rsidRPr="009F0064">
              <w:t>Asunto:</w:t>
            </w:r>
          </w:p>
        </w:tc>
        <w:tc>
          <w:tcPr>
            <w:tcW w:w="8647" w:type="dxa"/>
            <w:gridSpan w:val="3"/>
          </w:tcPr>
          <w:p w14:paraId="1896F6BB" w14:textId="4E556F5A" w:rsidR="007B6316" w:rsidRPr="009F0064" w:rsidRDefault="00C7475A" w:rsidP="009F0064">
            <w:pPr>
              <w:ind w:left="57"/>
              <w:rPr>
                <w:b/>
                <w:bCs/>
              </w:rPr>
            </w:pPr>
            <w:r w:rsidRPr="009F0064">
              <w:rPr>
                <w:b/>
                <w:bCs/>
              </w:rPr>
              <w:t xml:space="preserve">Consulta a los Estados Miembros sobre los proyectos determinados de nuevas Recomendaciones X.1363 (X.iotsec-3), X.1364 (X.nb-iot) y X.1371 (X.stcv), propuestos para aprobación en la reunión de la Comisión de Estudio 17 del UIT-T </w:t>
            </w:r>
            <w:r w:rsidR="00CC2FB9">
              <w:rPr>
                <w:b/>
                <w:bCs/>
              </w:rPr>
              <w:br/>
            </w:r>
            <w:r w:rsidRPr="009F0064">
              <w:rPr>
                <w:b/>
                <w:bCs/>
              </w:rPr>
              <w:t>(Ginebra, 17</w:t>
            </w:r>
            <w:r w:rsidR="009F0064">
              <w:rPr>
                <w:b/>
                <w:bCs/>
              </w:rPr>
              <w:noBreakHyphen/>
            </w:r>
            <w:r w:rsidRPr="009F0064">
              <w:rPr>
                <w:b/>
                <w:bCs/>
              </w:rPr>
              <w:t>26 de marzo de 2020)</w:t>
            </w:r>
          </w:p>
        </w:tc>
      </w:tr>
    </w:tbl>
    <w:p w14:paraId="513AE08A" w14:textId="77777777" w:rsidR="00C34772" w:rsidRDefault="00C34772" w:rsidP="00DB3358">
      <w:pPr>
        <w:pStyle w:val="Normalaftertitle"/>
      </w:pPr>
      <w:bookmarkStart w:id="1" w:name="StartTyping_S"/>
      <w:bookmarkStart w:id="2" w:name="suitetext"/>
      <w:bookmarkStart w:id="3" w:name="text"/>
      <w:bookmarkEnd w:id="1"/>
      <w:bookmarkEnd w:id="2"/>
      <w:bookmarkEnd w:id="3"/>
      <w:r>
        <w:t>Muy Señora mía/Muy Señor mío:</w:t>
      </w:r>
    </w:p>
    <w:p w14:paraId="54BB58C6" w14:textId="13BA9677" w:rsidR="00C7475A" w:rsidRPr="00C7475A" w:rsidRDefault="00C7475A" w:rsidP="00C7475A">
      <w:r w:rsidRPr="00C7475A">
        <w:rPr>
          <w:bCs/>
        </w:rPr>
        <w:t>1</w:t>
      </w:r>
      <w:r w:rsidRPr="00C7475A">
        <w:tab/>
        <w:t>La Comisión de Estudio 17 (</w:t>
      </w:r>
      <w:r w:rsidRPr="00C7475A">
        <w:rPr>
          <w:i/>
          <w:iCs/>
        </w:rPr>
        <w:t>Seguridad</w:t>
      </w:r>
      <w:r w:rsidRPr="00C7475A">
        <w:t xml:space="preserve">) tiene previsto aplicar el procedimiento de aprobación tradicional descrito en la Sección 9 de la Resolución 1 (Rev. Hammamet, 2016) de la AMNT a efectos de la aprobación de los citados proyectos durante la próxima reunión que </w:t>
      </w:r>
      <w:r w:rsidR="0062236F">
        <w:t xml:space="preserve">se </w:t>
      </w:r>
      <w:r w:rsidRPr="00C7475A">
        <w:t>celebrará en Ginebra, del 17 al 26 de marzo de 2020. El orden del día y toda la información pertinente sobre la reunión de la Comisión de Estudio 17 del UIT-T figuran en la Carta Colectiva 7/17.</w:t>
      </w:r>
    </w:p>
    <w:p w14:paraId="324977A0" w14:textId="44EB3D30" w:rsidR="00C7475A" w:rsidRPr="00C7475A" w:rsidRDefault="00C7475A" w:rsidP="00C7475A">
      <w:r w:rsidRPr="00C7475A">
        <w:t>2</w:t>
      </w:r>
      <w:r w:rsidRPr="00C7475A">
        <w:tab/>
        <w:t xml:space="preserve">El </w:t>
      </w:r>
      <w:r w:rsidRPr="00C7475A">
        <w:rPr>
          <w:b/>
          <w:bCs/>
        </w:rPr>
        <w:t xml:space="preserve">Anexo 1 </w:t>
      </w:r>
      <w:r w:rsidRPr="00C7475A">
        <w:t xml:space="preserve">contiene los títulos, resúmenes y documentos de los proyectos de </w:t>
      </w:r>
      <w:r w:rsidR="0062236F">
        <w:t xml:space="preserve">nueva </w:t>
      </w:r>
      <w:r w:rsidRPr="00C7475A">
        <w:t>Recomendaci</w:t>
      </w:r>
      <w:r w:rsidR="0062236F">
        <w:t>ó</w:t>
      </w:r>
      <w:r w:rsidRPr="00C7475A">
        <w:t>n UIT-T X.1363 (X.iotsec 3), X.1364 (X.nb-iot) y X.1371 (X.stcv) propuestos para aprobación.</w:t>
      </w:r>
    </w:p>
    <w:p w14:paraId="477F0AD8" w14:textId="77777777" w:rsidR="00C7475A" w:rsidRPr="00C7475A" w:rsidRDefault="00C7475A" w:rsidP="00DB3358">
      <w:pPr>
        <w:pStyle w:val="Note"/>
      </w:pPr>
      <w:bookmarkStart w:id="4" w:name="lt_pId054"/>
      <w:r w:rsidRPr="00C7475A">
        <w:t>NOTA 1 de la TSB – En el momento en que se publica la presente Circular, la TSB no había recibido declaración alguna en materia de derechos de propiedad intelectual en relación con estos proyectos de texto.</w:t>
      </w:r>
      <w:bookmarkEnd w:id="4"/>
      <w:r w:rsidRPr="00C7475A">
        <w:t xml:space="preserve"> </w:t>
      </w:r>
      <w:bookmarkStart w:id="5" w:name="lt_pId055"/>
      <w:r w:rsidRPr="00C7475A">
        <w:t xml:space="preserve">Para obtener información actualizada, se invita a los miembros a consultar la base de datos de DPI en la dirección </w:t>
      </w:r>
      <w:hyperlink r:id="rId10" w:history="1">
        <w:r w:rsidRPr="00C7475A">
          <w:rPr>
            <w:rStyle w:val="Hyperlink"/>
          </w:rPr>
          <w:t>www.itu.int/ipr/</w:t>
        </w:r>
      </w:hyperlink>
      <w:r w:rsidRPr="00C7475A">
        <w:t>.</w:t>
      </w:r>
      <w:bookmarkEnd w:id="5"/>
    </w:p>
    <w:p w14:paraId="6FCFD283" w14:textId="3C4F844E" w:rsidR="00C7475A" w:rsidRPr="00C7475A" w:rsidRDefault="00C7475A" w:rsidP="00DB3358">
      <w:pPr>
        <w:pStyle w:val="Note"/>
      </w:pPr>
      <w:bookmarkStart w:id="6" w:name="lt_pId056"/>
      <w:r w:rsidRPr="00C7475A">
        <w:t>NOTA 2 de la TSB – No se ha preparado un documento justificativo de la Rec</w:t>
      </w:r>
      <w:r w:rsidR="00007A16">
        <w:t>omendación</w:t>
      </w:r>
      <w:r w:rsidRPr="00C7475A">
        <w:t xml:space="preserve"> UIT</w:t>
      </w:r>
      <w:r w:rsidR="00007A16">
        <w:noBreakHyphen/>
      </w:r>
      <w:r w:rsidRPr="00C7475A">
        <w:t>T A.5 para los demás proyectos determinados de textos.</w:t>
      </w:r>
      <w:bookmarkEnd w:id="6"/>
      <w:r w:rsidRPr="00C7475A">
        <w:t xml:space="preserve"> Sin embargo, durante el examen de la TSB se añadieron referencias normativas en el proyecto X.1364 (X.nb-iot), por lo que los editores de la</w:t>
      </w:r>
      <w:r w:rsidR="00007A16">
        <w:t> </w:t>
      </w:r>
      <w:r w:rsidRPr="00C7475A">
        <w:t>CE</w:t>
      </w:r>
      <w:r w:rsidR="00007A16">
        <w:t> </w:t>
      </w:r>
      <w:r w:rsidRPr="00C7475A">
        <w:t xml:space="preserve">17 prepararon una justificación adicional UIT-T A.5 que se encuentra en </w:t>
      </w:r>
      <w:hyperlink r:id="rId11" w:history="1">
        <w:r w:rsidRPr="00C7475A">
          <w:rPr>
            <w:rStyle w:val="Hyperlink"/>
          </w:rPr>
          <w:t>SG17-TD2556</w:t>
        </w:r>
      </w:hyperlink>
      <w:r w:rsidRPr="00C7475A">
        <w:t>.</w:t>
      </w:r>
    </w:p>
    <w:p w14:paraId="12CBE7D3" w14:textId="67BD90BD" w:rsidR="00C7475A" w:rsidRPr="00C7475A" w:rsidRDefault="00C7475A" w:rsidP="00007A16">
      <w:pPr>
        <w:pStyle w:val="Note"/>
        <w:keepNext/>
        <w:keepLines/>
      </w:pPr>
      <w:r w:rsidRPr="00C7475A">
        <w:lastRenderedPageBreak/>
        <w:t xml:space="preserve">NOTA 3 de la TSB </w:t>
      </w:r>
      <w:r w:rsidR="003B47D3">
        <w:t>–</w:t>
      </w:r>
      <w:r w:rsidRPr="00C7475A">
        <w:t xml:space="preserve"> Durante el examen de la TSB para preparar los textos para esta consulta oficial, el Consejero de la CE</w:t>
      </w:r>
      <w:r w:rsidR="003B47D3">
        <w:t> </w:t>
      </w:r>
      <w:r w:rsidRPr="00C7475A">
        <w:t>17 formuló comentarios que culminaron o podrían culminar en cambios sustanciales en estos textos determinados por la Sesión Plenaria de clausura de la CE</w:t>
      </w:r>
      <w:r w:rsidR="003B47D3">
        <w:t> </w:t>
      </w:r>
      <w:r w:rsidRPr="00C7475A">
        <w:t>17 el 5 de septiembre de 2019. Para más detalles, véase la "Nota de la TSB" en la portada de cada uno de los textos.</w:t>
      </w:r>
    </w:p>
    <w:p w14:paraId="3389436C" w14:textId="77777777" w:rsidR="00C7475A" w:rsidRPr="00C7475A" w:rsidRDefault="00C7475A" w:rsidP="00C7475A">
      <w:r w:rsidRPr="00C7475A">
        <w:t>3</w:t>
      </w:r>
      <w:r w:rsidRPr="00C7475A">
        <w:tab/>
        <w:t xml:space="preserve">Con esta Circular se inicia la consulta oficial con los Estados Miembros de la UIT sobre si estos textos pueden considerarse para aprobación en la próxima reunión, de acuerdo con la cláusula 9.4 de la Resolución 1. Se ruega a los Estados Miembros que completen y devuelvan el formulario del </w:t>
      </w:r>
      <w:r w:rsidRPr="00C7475A">
        <w:rPr>
          <w:b/>
          <w:bCs/>
        </w:rPr>
        <w:t xml:space="preserve">Anexo 2 </w:t>
      </w:r>
      <w:r w:rsidRPr="00C7475A">
        <w:t xml:space="preserve">antes de las 23.59 horas UTC del </w:t>
      </w:r>
      <w:r w:rsidRPr="00C7475A">
        <w:rPr>
          <w:b/>
          <w:bCs/>
        </w:rPr>
        <w:t>16 de marzo de 2020</w:t>
      </w:r>
      <w:r w:rsidRPr="00C7475A">
        <w:t>.</w:t>
      </w:r>
    </w:p>
    <w:p w14:paraId="33EC61CC" w14:textId="235FB00C" w:rsidR="00C7475A" w:rsidRPr="00C7475A" w:rsidRDefault="00C7475A" w:rsidP="00C7475A">
      <w:r w:rsidRPr="00C7475A">
        <w:t>4</w:t>
      </w:r>
      <w:r w:rsidRPr="00C7475A">
        <w:tab/>
        <w:t xml:space="preserve">Si el 70% como mínimo de las respuestas de los Estados Miembros es favorable a que se considere la aprobación, se dedicará una Sesión Plenaria a la aplicación del procedimiento de aprobación. Los Estados Miembros que no otorguen autoridad para proceder deben informar al Director de la TSB de los motivos en que se fundamenta esta opinión e indicar los cambios que podrían permitir el proseguimiento </w:t>
      </w:r>
      <w:r w:rsidR="00830729">
        <w:t xml:space="preserve">de </w:t>
      </w:r>
      <w:r w:rsidRPr="00C7475A">
        <w:t>los trabajos.</w:t>
      </w:r>
    </w:p>
    <w:p w14:paraId="0E70A79A" w14:textId="77777777" w:rsidR="00C7475A" w:rsidRPr="00C7475A" w:rsidRDefault="00C7475A" w:rsidP="00C7475A">
      <w:r w:rsidRPr="00C7475A">
        <w:t>Atentamente.</w:t>
      </w:r>
    </w:p>
    <w:p w14:paraId="155E17A2" w14:textId="3597532C" w:rsidR="007B6316" w:rsidRPr="00081FE5" w:rsidRDefault="007B6316" w:rsidP="00DB3358">
      <w:pPr>
        <w:spacing w:before="480" w:after="480" w:line="480" w:lineRule="auto"/>
        <w:rPr>
          <w:sz w:val="28"/>
          <w:szCs w:val="22"/>
        </w:rPr>
      </w:pPr>
      <w:r w:rsidRPr="00081FE5">
        <w:rPr>
          <w:i/>
          <w:iCs/>
          <w:szCs w:val="24"/>
        </w:rPr>
        <w:t>(firmado)</w:t>
      </w:r>
    </w:p>
    <w:p w14:paraId="55BD5A1F" w14:textId="77777777" w:rsidR="007B6316" w:rsidRPr="00081FE5" w:rsidRDefault="007B6316" w:rsidP="00DB3358">
      <w:r w:rsidRPr="00081FE5">
        <w:t>Chaesub Lee</w:t>
      </w:r>
      <w:r w:rsidRPr="00081FE5">
        <w:br/>
        <w:t xml:space="preserve">Director de la Oficina de </w:t>
      </w:r>
      <w:r w:rsidRPr="00081FE5">
        <w:br/>
        <w:t>Normalización de las Telecomunicaciones</w:t>
      </w:r>
    </w:p>
    <w:p w14:paraId="5C3740E9" w14:textId="7766E4CE" w:rsidR="00401C20" w:rsidRDefault="00C7475A" w:rsidP="00DB3358">
      <w:pPr>
        <w:spacing w:before="1080"/>
        <w:rPr>
          <w:lang w:val="es-ES"/>
        </w:rPr>
      </w:pPr>
      <w:r w:rsidRPr="00DB3358">
        <w:rPr>
          <w:b/>
          <w:bCs/>
          <w:lang w:val="es-ES"/>
        </w:rPr>
        <w:t>Anexos</w:t>
      </w:r>
      <w:r w:rsidRPr="00C7475A">
        <w:rPr>
          <w:lang w:val="es-ES"/>
        </w:rPr>
        <w:t>: 2</w:t>
      </w:r>
    </w:p>
    <w:p w14:paraId="14AED508" w14:textId="122F4463" w:rsidR="00C7475A" w:rsidRDefault="00C7475A" w:rsidP="00DB3358">
      <w:pPr>
        <w:rPr>
          <w:lang w:val="es-ES"/>
        </w:rPr>
      </w:pPr>
      <w:r>
        <w:rPr>
          <w:lang w:val="es-ES"/>
        </w:rPr>
        <w:br w:type="page"/>
      </w:r>
    </w:p>
    <w:p w14:paraId="2CA0BD81" w14:textId="28F17528" w:rsidR="00C7475A" w:rsidRPr="00C7475A" w:rsidRDefault="00C7475A" w:rsidP="00DB3358">
      <w:pPr>
        <w:pStyle w:val="AnnexNotitle"/>
      </w:pPr>
      <w:r w:rsidRPr="00C7475A">
        <w:lastRenderedPageBreak/>
        <w:t>ANEXO 1</w:t>
      </w:r>
      <w:r w:rsidRPr="00C7475A">
        <w:br/>
      </w:r>
      <w:r w:rsidRPr="00C7475A">
        <w:br/>
        <w:t xml:space="preserve">Resumen y ubicación de los proyectos determinados de </w:t>
      </w:r>
      <w:r w:rsidRPr="00C7475A">
        <w:br/>
        <w:t>Recomendaciones UIT-</w:t>
      </w:r>
      <w:r w:rsidR="00830729">
        <w:t>T</w:t>
      </w:r>
      <w:r w:rsidRPr="00C7475A">
        <w:t xml:space="preserve"> X.1363 (X.iotsec-3), </w:t>
      </w:r>
      <w:r w:rsidRPr="00C7475A">
        <w:br/>
        <w:t>X.1364 (X.nb-iot) y X.1371 (X.stcv)</w:t>
      </w:r>
    </w:p>
    <w:p w14:paraId="2D92D442" w14:textId="3CB05817" w:rsidR="00C7475A" w:rsidRPr="00C7475A" w:rsidRDefault="00C7475A" w:rsidP="00DB3358">
      <w:pPr>
        <w:pStyle w:val="Heading1"/>
      </w:pPr>
      <w:r w:rsidRPr="00C7475A">
        <w:t>1</w:t>
      </w:r>
      <w:r w:rsidRPr="00C7475A">
        <w:tab/>
      </w:r>
      <w:bookmarkStart w:id="7" w:name="lt_pId074"/>
      <w:r w:rsidRPr="00C7475A">
        <w:t xml:space="preserve">Proyecto de </w:t>
      </w:r>
      <w:r w:rsidR="00CF7DCA">
        <w:t xml:space="preserve">nueva </w:t>
      </w:r>
      <w:r w:rsidRPr="00C7475A">
        <w:t>Recomendación UIT-T X.1363 (X.iotsec-3) [</w:t>
      </w:r>
      <w:hyperlink r:id="rId12" w:history="1">
        <w:r w:rsidRPr="00C7475A">
          <w:rPr>
            <w:rStyle w:val="Hyperlink"/>
          </w:rPr>
          <w:t>R044</w:t>
        </w:r>
      </w:hyperlink>
      <w:r w:rsidRPr="00C7475A">
        <w:t>]</w:t>
      </w:r>
      <w:bookmarkEnd w:id="7"/>
    </w:p>
    <w:p w14:paraId="74E5AC02" w14:textId="4BA7AF08" w:rsidR="00C7475A" w:rsidRPr="00C7475A" w:rsidRDefault="00C7475A" w:rsidP="00DB3358">
      <w:pPr>
        <w:pStyle w:val="Headingb0"/>
      </w:pPr>
      <w:bookmarkStart w:id="8" w:name="lt_pId075"/>
      <w:r w:rsidRPr="00C7475A">
        <w:rPr>
          <w:lang w:val="es-ES"/>
        </w:rPr>
        <w:t xml:space="preserve">Marco técnico para el tratamiento de la información de identificación personal </w:t>
      </w:r>
      <w:r w:rsidR="00CF7DCA">
        <w:rPr>
          <w:lang w:val="es-ES"/>
        </w:rPr>
        <w:t xml:space="preserve">(IIP) </w:t>
      </w:r>
      <w:r w:rsidRPr="00C7475A">
        <w:rPr>
          <w:lang w:val="es-ES"/>
        </w:rPr>
        <w:t xml:space="preserve">en el contexto de la Internet de las cosas (IoT) </w:t>
      </w:r>
      <w:bookmarkEnd w:id="8"/>
    </w:p>
    <w:p w14:paraId="2A04C63C" w14:textId="77777777" w:rsidR="00C7475A" w:rsidRPr="00C7475A" w:rsidRDefault="00C7475A" w:rsidP="00DB3358">
      <w:pPr>
        <w:pStyle w:val="Headingb0"/>
        <w:rPr>
          <w:lang w:val="es-ES"/>
        </w:rPr>
      </w:pPr>
      <w:r w:rsidRPr="00C7475A">
        <w:rPr>
          <w:lang w:val="es-ES"/>
        </w:rPr>
        <w:t>Resumen</w:t>
      </w:r>
    </w:p>
    <w:p w14:paraId="1435A8DE" w14:textId="77777777" w:rsidR="00C7475A" w:rsidRPr="00C7475A" w:rsidRDefault="00C7475A" w:rsidP="00DB3358">
      <w:bookmarkStart w:id="9" w:name="lt_pId081"/>
      <w:r w:rsidRPr="00C7475A">
        <w:t>Los dispositivos de Internet de las cosas (IoT) pueden recabar muchos tipos de datos, incluida la información de identificación personal (IIP). Como los datos de IIP son útiles para diferentes tipos de servicios, pueden compartirlos múltiples proveedores de servicios.</w:t>
      </w:r>
    </w:p>
    <w:bookmarkEnd w:id="9"/>
    <w:p w14:paraId="699C018C" w14:textId="77777777" w:rsidR="00C7475A" w:rsidRPr="00C7475A" w:rsidRDefault="00C7475A" w:rsidP="00DB3358">
      <w:r w:rsidRPr="00C7475A">
        <w:t>En el contexto de la IoT es mejor que cada usuario gestione sus propios datos, incluida la IIP, con arreglo a sus propios fines. Dado que la utilización de datos en el contexto de la IoT con múltiples proveedores de servicios es un asunto complejo, los fines del usuario en cuanto a la utilización de datos deben adaptarse de manera flexible. Por ejemplo, si un proveedor de servicios de IoT ofrece las siguientes funciones, el usuario puede considerar que el proveedor de servicios recopila y controla adecuadamente los datos recopilados (incluida la IIP):</w:t>
      </w:r>
    </w:p>
    <w:p w14:paraId="20F43AD8" w14:textId="08DD490C" w:rsidR="00C7475A" w:rsidRPr="00C7475A" w:rsidRDefault="00DB3358" w:rsidP="00DB3358">
      <w:pPr>
        <w:pStyle w:val="enumlev1"/>
      </w:pPr>
      <w:r>
        <w:t>–</w:t>
      </w:r>
      <w:r>
        <w:tab/>
      </w:r>
      <w:r w:rsidR="00C7475A" w:rsidRPr="00C7475A">
        <w:t>El usuario puede configurar sus preferencias en materia de IIP. Estas preferencias incluyen la lista de datos que permite compartir con otros proveedores de servicios.</w:t>
      </w:r>
    </w:p>
    <w:p w14:paraId="548221EC" w14:textId="6E100EBD" w:rsidR="00C7475A" w:rsidRPr="00C7475A" w:rsidRDefault="00DB3358" w:rsidP="00DB3358">
      <w:pPr>
        <w:pStyle w:val="enumlev1"/>
      </w:pPr>
      <w:r>
        <w:t>–</w:t>
      </w:r>
      <w:r>
        <w:tab/>
      </w:r>
      <w:r w:rsidR="00C7475A" w:rsidRPr="00C7475A">
        <w:t>La recopilación y el intercambio de datos están sujetos a un acceso controlado basado en las preferencias de IIP. Los datos no autorizados no se pueden almacenar ni compartir con otros proveedores de servicios.</w:t>
      </w:r>
    </w:p>
    <w:p w14:paraId="1F5C3014" w14:textId="79126B7B" w:rsidR="00C7475A" w:rsidRPr="00C7475A" w:rsidRDefault="00DB3358" w:rsidP="00DB3358">
      <w:pPr>
        <w:pStyle w:val="enumlev1"/>
      </w:pPr>
      <w:r>
        <w:t>–</w:t>
      </w:r>
      <w:r>
        <w:tab/>
      </w:r>
      <w:r w:rsidR="00C7475A" w:rsidRPr="00C7475A">
        <w:t>El usuario puede verificar el registro histórico de los datos compartidos entre los proveedores de servicios. También puede verificar el instante en que se utilizaron los datos.</w:t>
      </w:r>
    </w:p>
    <w:p w14:paraId="2EAD44D6" w14:textId="493EB5EE" w:rsidR="00C7475A" w:rsidRPr="00C7475A" w:rsidRDefault="00C7475A" w:rsidP="00DB3358">
      <w:r w:rsidRPr="00C7475A">
        <w:t>Esta Recomendación especifica un marco técnico para la gestión de la IIP en el contexto de la IoT con un</w:t>
      </w:r>
      <w:r w:rsidR="00CF7DCA">
        <w:t>o</w:t>
      </w:r>
      <w:r w:rsidRPr="00C7475A">
        <w:t xml:space="preserve"> o múltiples proveedores de servicios.</w:t>
      </w:r>
    </w:p>
    <w:p w14:paraId="483689DA" w14:textId="782D17BF" w:rsidR="00C7475A" w:rsidRPr="00C7475A" w:rsidRDefault="00C7475A" w:rsidP="00DB3358">
      <w:pPr>
        <w:pStyle w:val="Heading1"/>
      </w:pPr>
      <w:r w:rsidRPr="00C7475A">
        <w:t>2</w:t>
      </w:r>
      <w:r w:rsidRPr="00C7475A">
        <w:tab/>
      </w:r>
      <w:bookmarkStart w:id="10" w:name="lt_pId090"/>
      <w:r w:rsidRPr="00C7475A">
        <w:t xml:space="preserve">Proyecto de </w:t>
      </w:r>
      <w:r w:rsidR="00CF7DCA">
        <w:t xml:space="preserve">nueva </w:t>
      </w:r>
      <w:r w:rsidRPr="00C7475A">
        <w:t>Recomendación UIT-T X.1364 (X.nb-iot) [</w:t>
      </w:r>
      <w:hyperlink r:id="rId13" w:history="1">
        <w:r w:rsidRPr="00C7475A">
          <w:rPr>
            <w:rStyle w:val="Hyperlink"/>
          </w:rPr>
          <w:t>R045</w:t>
        </w:r>
      </w:hyperlink>
      <w:r w:rsidRPr="00C7475A">
        <w:t>]</w:t>
      </w:r>
      <w:bookmarkEnd w:id="10"/>
    </w:p>
    <w:p w14:paraId="6F534E4D" w14:textId="76A8744E" w:rsidR="00C7475A" w:rsidRPr="00C7475A" w:rsidRDefault="00C7475A" w:rsidP="00DB3358">
      <w:pPr>
        <w:pStyle w:val="Headingb0"/>
        <w:rPr>
          <w:lang w:val="es-ES"/>
        </w:rPr>
      </w:pPr>
      <w:r w:rsidRPr="00C7475A">
        <w:rPr>
          <w:lang w:val="es-ES"/>
        </w:rPr>
        <w:t>Requisitos de seguridad y marco para l</w:t>
      </w:r>
      <w:r w:rsidR="00CF7DCA">
        <w:rPr>
          <w:lang w:val="es-ES"/>
        </w:rPr>
        <w:t>a</w:t>
      </w:r>
      <w:r w:rsidRPr="00C7475A">
        <w:rPr>
          <w:lang w:val="es-ES"/>
        </w:rPr>
        <w:t xml:space="preserve"> Internet de las cosas de banda estrecha</w:t>
      </w:r>
    </w:p>
    <w:p w14:paraId="69EFE591" w14:textId="77777777" w:rsidR="00C7475A" w:rsidRPr="00C7475A" w:rsidRDefault="00C7475A" w:rsidP="00DB3358">
      <w:pPr>
        <w:pStyle w:val="Headingb0"/>
        <w:rPr>
          <w:lang w:val="es-ES"/>
        </w:rPr>
      </w:pPr>
      <w:r w:rsidRPr="00C7475A">
        <w:rPr>
          <w:lang w:val="es-ES"/>
        </w:rPr>
        <w:t>Resumen</w:t>
      </w:r>
    </w:p>
    <w:p w14:paraId="3346E6C9" w14:textId="77777777" w:rsidR="00C7475A" w:rsidRPr="00C7475A" w:rsidRDefault="00C7475A" w:rsidP="00DB3358">
      <w:bookmarkStart w:id="11" w:name="lt_pId096"/>
      <w:r w:rsidRPr="00C7475A">
        <w:t>El desarrollo actual de la tecnología de las telecomunicaciones, en el dominio de la comunicación móvil, está cambiando el patrón de comunicación de persona-persona a persona-objeto y de objeto a objeto, haciendo inevitable la evolución a Internet de las cosas.</w:t>
      </w:r>
    </w:p>
    <w:p w14:paraId="42107134" w14:textId="6E66A256" w:rsidR="00C7475A" w:rsidRPr="00C7475A" w:rsidRDefault="00C7475A" w:rsidP="00DB3358">
      <w:r w:rsidRPr="00C7475A">
        <w:t>En comparación con las tecnologías de comunicación de corta distancia, como Bluetooth, ZigBee, entre otras, se supone que las redes móviles celulares, caracterizadas por una amplia cobertura, movilidad y conexiones extensas que podrían permitir casos de aplicación más eficaces, se convertirán en la principal tecnología de interconexión de la Internet de las cosas.</w:t>
      </w:r>
    </w:p>
    <w:p w14:paraId="0BD3BCF9" w14:textId="0AFBF9A6" w:rsidR="00C7475A" w:rsidRPr="00C7475A" w:rsidRDefault="00C7475A" w:rsidP="003B47D3">
      <w:pPr>
        <w:keepNext/>
        <w:keepLines/>
      </w:pPr>
      <w:r w:rsidRPr="00C7475A">
        <w:lastRenderedPageBreak/>
        <w:t>La Internet de las cosas de banda estrecha (NB-IoT) se basa en la red móvil celular que utiliza un ancho de banda de aproximadamente sólo 180</w:t>
      </w:r>
      <w:r w:rsidR="00C9798F">
        <w:t> </w:t>
      </w:r>
      <w:r w:rsidRPr="00C7475A">
        <w:t>KHz. Podría desplegarse directamente en la red del sistema global de comunicaciones móviles (GSM), en la red del sistema universal de telecomunicaciones móviles (UMTS) o en la red de evolución a largo plazo (LTE) para reducir los costes y lograr una actualización sin problemas.</w:t>
      </w:r>
      <w:bookmarkEnd w:id="11"/>
    </w:p>
    <w:p w14:paraId="55055135" w14:textId="21094FB0" w:rsidR="00C7475A" w:rsidRPr="00C7475A" w:rsidRDefault="00C7475A" w:rsidP="00DB3358">
      <w:bookmarkStart w:id="12" w:name="lt_pId103"/>
      <w:r w:rsidRPr="00C7475A">
        <w:t>Gracias a</w:t>
      </w:r>
      <w:r w:rsidR="00DB3358">
        <w:t xml:space="preserve"> </w:t>
      </w:r>
      <w:r w:rsidRPr="00C7475A">
        <w:t>su baja disipación de energía, amplia cobertura, bajo coste y alta capacidad, cabe esperar que los operadores adopten masivamente la NB-IoT, con una amplia aplicación en múltiples industrias verticales.</w:t>
      </w:r>
    </w:p>
    <w:p w14:paraId="4809334C" w14:textId="77777777" w:rsidR="00C7475A" w:rsidRPr="00C7475A" w:rsidRDefault="00C7475A" w:rsidP="00DB3358">
      <w:r w:rsidRPr="00C7475A">
        <w:t>En cuanto nueva tecnología, NB-IoT tiene sus propias características que conllevan nuevos problemas de seguridad. Para garantizar la seguridad de los despliegues y aplicaciones de NB-IoT, es necesario analizar las amenazas a la seguridad y los correspondientes requisitos de seguridad específicos de NB-IoT, así como establecer un marco de seguridad general para NB-IoT.</w:t>
      </w:r>
    </w:p>
    <w:p w14:paraId="2401CAAB" w14:textId="77777777" w:rsidR="00C7475A" w:rsidRPr="00C7475A" w:rsidRDefault="00C7475A" w:rsidP="00DB3358">
      <w:r w:rsidRPr="00C7475A">
        <w:t>La presente Recomendación tiene por objeto analizar el posible método de despliegue y los casos de aplicación característicos de la NB-IoT. Se especifican las amenazas a la seguridad y los requisitos específicos de los despliegues de NB-IoT y, por consiguiente, se establece un marco de seguridad para que el operador proteja estas nuevas aplicaciones tecnológicas.</w:t>
      </w:r>
    </w:p>
    <w:p w14:paraId="73C8D6B6" w14:textId="6721AF66" w:rsidR="00C7475A" w:rsidRPr="00C7475A" w:rsidRDefault="00CF7DCA" w:rsidP="00DB3358">
      <w:pPr>
        <w:pStyle w:val="Note"/>
      </w:pPr>
      <w:r w:rsidRPr="00C7475A">
        <w:t xml:space="preserve">NOTA </w:t>
      </w:r>
      <w:r w:rsidR="001833BD" w:rsidRPr="00C7475A">
        <w:t>de la</w:t>
      </w:r>
      <w:r w:rsidRPr="00C7475A">
        <w:t xml:space="preserve"> </w:t>
      </w:r>
      <w:r w:rsidR="00C7475A" w:rsidRPr="00C7475A">
        <w:t>TSB</w:t>
      </w:r>
      <w:r>
        <w:t xml:space="preserve"> –</w:t>
      </w:r>
      <w:r w:rsidR="00C7475A" w:rsidRPr="00C7475A">
        <w:t xml:space="preserve"> Este proyecto de texto determinado en la Sesión Plenaria de clausura de la</w:t>
      </w:r>
      <w:r w:rsidR="006179D1">
        <w:t> </w:t>
      </w:r>
      <w:r w:rsidR="00C7475A" w:rsidRPr="00C7475A">
        <w:t>CE</w:t>
      </w:r>
      <w:r>
        <w:t> </w:t>
      </w:r>
      <w:r w:rsidR="00C7475A" w:rsidRPr="00C7475A">
        <w:t>17 del 5 de septiembre de 2019 no incluía referencia normativa. Sin embargo, durante el examen de la TSB para preparar este proyecto de Recomendación para la consulta con arreglo al</w:t>
      </w:r>
      <w:r w:rsidR="006179D1">
        <w:t> </w:t>
      </w:r>
      <w:r w:rsidR="00C7475A" w:rsidRPr="00C7475A">
        <w:t>TAP, se añadieron referencias normativas, por lo que los editores de la CE</w:t>
      </w:r>
      <w:r w:rsidR="00C9798F">
        <w:t> </w:t>
      </w:r>
      <w:r w:rsidR="00C7475A" w:rsidRPr="00C7475A">
        <w:t xml:space="preserve">17 prepararon una justificación adicional UIT-T A.5 que se encuentra en </w:t>
      </w:r>
      <w:hyperlink r:id="rId14" w:history="1">
        <w:r w:rsidR="00C7475A" w:rsidRPr="00C7475A">
          <w:rPr>
            <w:rStyle w:val="Hyperlink"/>
          </w:rPr>
          <w:t>SG17-TD2556</w:t>
        </w:r>
      </w:hyperlink>
      <w:r w:rsidR="00C7475A" w:rsidRPr="00C7475A">
        <w:t>.</w:t>
      </w:r>
      <w:bookmarkEnd w:id="12"/>
    </w:p>
    <w:p w14:paraId="7AE20717" w14:textId="210B09CF" w:rsidR="00C7475A" w:rsidRPr="00C7475A" w:rsidRDefault="00C7475A" w:rsidP="00DB3358">
      <w:pPr>
        <w:pStyle w:val="Heading1"/>
      </w:pPr>
      <w:r w:rsidRPr="00C7475A">
        <w:t>3</w:t>
      </w:r>
      <w:r w:rsidRPr="00C7475A">
        <w:tab/>
      </w:r>
      <w:bookmarkStart w:id="13" w:name="lt_pId105"/>
      <w:r w:rsidRPr="00C7475A">
        <w:t xml:space="preserve">Proyecto de </w:t>
      </w:r>
      <w:r w:rsidR="00CF7DCA">
        <w:t xml:space="preserve">nueva </w:t>
      </w:r>
      <w:r w:rsidRPr="00C7475A">
        <w:t>Recomendación UIT-T X.1371 (X.stcv) [</w:t>
      </w:r>
      <w:hyperlink r:id="rId15" w:history="1">
        <w:r w:rsidRPr="00C7475A">
          <w:rPr>
            <w:rStyle w:val="Hyperlink"/>
          </w:rPr>
          <w:t>R050</w:t>
        </w:r>
      </w:hyperlink>
      <w:r w:rsidRPr="00C7475A">
        <w:t>]</w:t>
      </w:r>
      <w:bookmarkEnd w:id="13"/>
    </w:p>
    <w:p w14:paraId="4C36EAAD" w14:textId="77777777" w:rsidR="00C7475A" w:rsidRPr="00C7475A" w:rsidRDefault="00C7475A" w:rsidP="00DB3358">
      <w:pPr>
        <w:pStyle w:val="Headingb0"/>
        <w:rPr>
          <w:lang w:val="es-ES"/>
        </w:rPr>
      </w:pPr>
      <w:r w:rsidRPr="00C7475A">
        <w:rPr>
          <w:lang w:val="es-ES"/>
        </w:rPr>
        <w:t>Amenazas a la seguridad de los vehículos conectados</w:t>
      </w:r>
    </w:p>
    <w:p w14:paraId="71D5C949" w14:textId="77777777" w:rsidR="00C7475A" w:rsidRPr="00C7475A" w:rsidRDefault="00C7475A" w:rsidP="00DB3358">
      <w:pPr>
        <w:pStyle w:val="Headingb0"/>
        <w:rPr>
          <w:lang w:val="es-ES"/>
        </w:rPr>
      </w:pPr>
      <w:r w:rsidRPr="00C7475A">
        <w:rPr>
          <w:lang w:val="es-ES"/>
        </w:rPr>
        <w:t>Resumen</w:t>
      </w:r>
    </w:p>
    <w:p w14:paraId="3197D893" w14:textId="77777777" w:rsidR="00C7475A" w:rsidRPr="00C7475A" w:rsidRDefault="00C7475A" w:rsidP="00DB3358">
      <w:pPr>
        <w:rPr>
          <w:lang w:val="es-ES"/>
        </w:rPr>
      </w:pPr>
      <w:bookmarkStart w:id="14" w:name="lt_pId108"/>
      <w:r w:rsidRPr="00C7475A">
        <w:rPr>
          <w:lang w:val="es-ES"/>
        </w:rPr>
        <w:t>En esta Recomendación se describen amenazas a la seguridad de los vehículos conectados y al ecosistema del vehículo.</w:t>
      </w:r>
      <w:bookmarkEnd w:id="14"/>
      <w:r w:rsidRPr="00C7475A">
        <w:rPr>
          <w:lang w:val="es-ES"/>
        </w:rPr>
        <w:t xml:space="preserve"> </w:t>
      </w:r>
    </w:p>
    <w:p w14:paraId="295C5E57" w14:textId="77777777" w:rsidR="00C7475A" w:rsidRPr="00C7475A" w:rsidRDefault="00C7475A" w:rsidP="00DB3358">
      <w:r w:rsidRPr="00C7475A">
        <w:br w:type="page"/>
      </w:r>
      <w:bookmarkStart w:id="15" w:name="_GoBack"/>
      <w:bookmarkEnd w:id="15"/>
    </w:p>
    <w:p w14:paraId="579BE866" w14:textId="75172688" w:rsidR="00C7475A" w:rsidRPr="00C7475A" w:rsidRDefault="00C7475A" w:rsidP="00DB3358">
      <w:pPr>
        <w:pStyle w:val="AnnexNotitle"/>
      </w:pPr>
      <w:r w:rsidRPr="00C7475A">
        <w:lastRenderedPageBreak/>
        <w:t>ANEXO 2</w:t>
      </w:r>
      <w:r w:rsidRPr="00C7475A">
        <w:br/>
      </w:r>
      <w:r w:rsidRPr="00C7475A">
        <w:br/>
        <w:t>Asunto: Respuesta de Estado Miembro a la Circular 219 de la TSB:</w:t>
      </w:r>
      <w:r w:rsidRPr="00C7475A">
        <w:br/>
        <w:t xml:space="preserve">Consulta sobre los proyectos determinados de Recomendaciones </w:t>
      </w:r>
      <w:r w:rsidR="006179D1">
        <w:br/>
      </w:r>
      <w:r w:rsidRPr="00C7475A">
        <w:t xml:space="preserve">UIT-T X.1363 (X.iotsec-3), X.1364 (X.nb-iot) y X.1371 (X.stcv) </w:t>
      </w:r>
    </w:p>
    <w:p w14:paraId="132F851F" w14:textId="77777777" w:rsidR="00C7475A" w:rsidRPr="00C7475A" w:rsidRDefault="00C7475A" w:rsidP="00C7475A">
      <w:pPr>
        <w:ind w:right="92"/>
      </w:pPr>
    </w:p>
    <w:tbl>
      <w:tblPr>
        <w:tblW w:w="10240" w:type="dxa"/>
        <w:tblInd w:w="-176" w:type="dxa"/>
        <w:tblLayout w:type="fixed"/>
        <w:tblLook w:val="04A0" w:firstRow="1" w:lastRow="0" w:firstColumn="1" w:lastColumn="0" w:noHBand="0" w:noVBand="1"/>
      </w:tblPr>
      <w:tblGrid>
        <w:gridCol w:w="1169"/>
        <w:gridCol w:w="4788"/>
        <w:gridCol w:w="1165"/>
        <w:gridCol w:w="3118"/>
      </w:tblGrid>
      <w:tr w:rsidR="00C7475A" w:rsidRPr="00C7475A" w14:paraId="3B379043" w14:textId="77777777" w:rsidTr="00CB31FD">
        <w:tc>
          <w:tcPr>
            <w:tcW w:w="1169" w:type="dxa"/>
            <w:shd w:val="clear" w:color="auto" w:fill="auto"/>
          </w:tcPr>
          <w:p w14:paraId="2112B79A" w14:textId="77777777" w:rsidR="00C7475A" w:rsidRPr="00DB3358" w:rsidRDefault="00C7475A" w:rsidP="003B47D3">
            <w:pPr>
              <w:jc w:val="right"/>
              <w:rPr>
                <w:b/>
                <w:bCs/>
              </w:rPr>
            </w:pPr>
            <w:bookmarkStart w:id="16" w:name="lt_pId114"/>
            <w:r w:rsidRPr="00DB3358">
              <w:rPr>
                <w:b/>
                <w:bCs/>
              </w:rPr>
              <w:t>A:</w:t>
            </w:r>
            <w:bookmarkEnd w:id="16"/>
          </w:p>
        </w:tc>
        <w:tc>
          <w:tcPr>
            <w:tcW w:w="4788" w:type="dxa"/>
            <w:tcBorders>
              <w:right w:val="single" w:sz="8" w:space="0" w:color="auto"/>
            </w:tcBorders>
            <w:shd w:val="clear" w:color="auto" w:fill="auto"/>
          </w:tcPr>
          <w:p w14:paraId="661A5168" w14:textId="77777777" w:rsidR="00C7475A" w:rsidRPr="00C7475A" w:rsidRDefault="00C7475A" w:rsidP="003B47D3">
            <w:bookmarkStart w:id="17" w:name="lt_pId115"/>
            <w:r w:rsidRPr="00C7475A">
              <w:t xml:space="preserve">Director </w:t>
            </w:r>
            <w:bookmarkStart w:id="18" w:name="lt_pId116"/>
            <w:bookmarkEnd w:id="17"/>
            <w:r w:rsidRPr="00C7475A">
              <w:t xml:space="preserve">de la Oficina de </w:t>
            </w:r>
            <w:r w:rsidRPr="00C7475A">
              <w:br/>
              <w:t>Normalización de las Telecomunicaciones,</w:t>
            </w:r>
            <w:bookmarkEnd w:id="18"/>
            <w:r w:rsidRPr="00C7475A">
              <w:t xml:space="preserve"> </w:t>
            </w:r>
            <w:r w:rsidRPr="00C7475A">
              <w:br/>
              <w:t>Unión Internacional de Telecomunicaciones</w:t>
            </w:r>
            <w:bookmarkStart w:id="19" w:name="lt_pId118"/>
            <w:r w:rsidRPr="00C7475A">
              <w:br/>
              <w:t>Place des Nations</w:t>
            </w:r>
            <w:bookmarkStart w:id="20" w:name="lt_pId119"/>
            <w:bookmarkEnd w:id="19"/>
            <w:r w:rsidRPr="00C7475A">
              <w:br/>
              <w:t xml:space="preserve">CH 1211 Ginebra 20, </w:t>
            </w:r>
            <w:bookmarkEnd w:id="20"/>
            <w:r w:rsidRPr="00C7475A">
              <w:t>Suiza</w:t>
            </w:r>
          </w:p>
        </w:tc>
        <w:tc>
          <w:tcPr>
            <w:tcW w:w="1165" w:type="dxa"/>
            <w:tcBorders>
              <w:left w:val="single" w:sz="8" w:space="0" w:color="auto"/>
            </w:tcBorders>
            <w:shd w:val="clear" w:color="auto" w:fill="auto"/>
          </w:tcPr>
          <w:p w14:paraId="1AB1E10B" w14:textId="77777777" w:rsidR="00C7475A" w:rsidRPr="00C7475A" w:rsidRDefault="00C7475A" w:rsidP="003B47D3">
            <w:pPr>
              <w:jc w:val="right"/>
              <w:rPr>
                <w:b/>
                <w:bCs/>
              </w:rPr>
            </w:pPr>
            <w:bookmarkStart w:id="21" w:name="lt_pId120"/>
            <w:r w:rsidRPr="00C7475A">
              <w:rPr>
                <w:b/>
                <w:bCs/>
              </w:rPr>
              <w:t>De:</w:t>
            </w:r>
            <w:bookmarkEnd w:id="21"/>
          </w:p>
        </w:tc>
        <w:tc>
          <w:tcPr>
            <w:tcW w:w="3118" w:type="dxa"/>
            <w:shd w:val="clear" w:color="auto" w:fill="auto"/>
          </w:tcPr>
          <w:p w14:paraId="351329CE" w14:textId="77777777" w:rsidR="00C7475A" w:rsidRPr="00C7475A" w:rsidRDefault="00C7475A" w:rsidP="003B47D3">
            <w:bookmarkStart w:id="22" w:name="lt_pId121"/>
            <w:r w:rsidRPr="00C7475A">
              <w:rPr>
                <w:highlight w:val="green"/>
              </w:rPr>
              <w:t>[Nombre]</w:t>
            </w:r>
            <w:bookmarkStart w:id="23" w:name="lt_pId122"/>
            <w:bookmarkEnd w:id="22"/>
            <w:r w:rsidRPr="00C7475A">
              <w:rPr>
                <w:highlight w:val="green"/>
              </w:rPr>
              <w:br/>
              <w:t>[Cargo oficial/Título]</w:t>
            </w:r>
            <w:bookmarkStart w:id="24" w:name="lt_pId123"/>
            <w:bookmarkEnd w:id="23"/>
            <w:r w:rsidRPr="00C7475A">
              <w:rPr>
                <w:highlight w:val="green"/>
              </w:rPr>
              <w:br/>
              <w:t>[Dirección]</w:t>
            </w:r>
            <w:bookmarkEnd w:id="24"/>
          </w:p>
        </w:tc>
      </w:tr>
      <w:tr w:rsidR="00C7475A" w:rsidRPr="00C7475A" w14:paraId="4285ADC5" w14:textId="77777777" w:rsidTr="00CB31FD">
        <w:tc>
          <w:tcPr>
            <w:tcW w:w="1169" w:type="dxa"/>
            <w:shd w:val="clear" w:color="auto" w:fill="auto"/>
          </w:tcPr>
          <w:p w14:paraId="4DBF0847" w14:textId="039C3BC1" w:rsidR="00C7475A" w:rsidRPr="00C7475A" w:rsidRDefault="00C7475A" w:rsidP="00007A16">
            <w:pPr>
              <w:jc w:val="right"/>
              <w:rPr>
                <w:b/>
                <w:bCs/>
              </w:rPr>
            </w:pPr>
            <w:bookmarkStart w:id="25" w:name="lt_pId124"/>
            <w:r w:rsidRPr="00C7475A">
              <w:rPr>
                <w:b/>
                <w:bCs/>
              </w:rPr>
              <w:t>Fax:</w:t>
            </w:r>
            <w:bookmarkStart w:id="26" w:name="lt_pId125"/>
            <w:bookmarkEnd w:id="25"/>
            <w:r w:rsidR="00007A16">
              <w:rPr>
                <w:b/>
                <w:bCs/>
              </w:rPr>
              <w:br/>
            </w:r>
            <w:r w:rsidRPr="00C7475A">
              <w:rPr>
                <w:b/>
                <w:bCs/>
              </w:rPr>
              <w:t>Correo-e:</w:t>
            </w:r>
            <w:bookmarkEnd w:id="26"/>
          </w:p>
        </w:tc>
        <w:tc>
          <w:tcPr>
            <w:tcW w:w="4788" w:type="dxa"/>
            <w:tcBorders>
              <w:right w:val="single" w:sz="8" w:space="0" w:color="auto"/>
            </w:tcBorders>
            <w:shd w:val="clear" w:color="auto" w:fill="auto"/>
          </w:tcPr>
          <w:p w14:paraId="7AD60CE2" w14:textId="700E3FB4" w:rsidR="00C7475A" w:rsidRPr="00C7475A" w:rsidRDefault="00C7475A" w:rsidP="00007A16">
            <w:r w:rsidRPr="00C7475A">
              <w:t>+41 22 730 5853</w:t>
            </w:r>
            <w:bookmarkStart w:id="27" w:name="lt_pId127"/>
            <w:r w:rsidR="00007A16">
              <w:br/>
            </w:r>
            <w:hyperlink r:id="rId16" w:history="1">
              <w:r w:rsidRPr="00C7475A">
                <w:rPr>
                  <w:rStyle w:val="Hyperlink"/>
                </w:rPr>
                <w:t>tsbdir@itu.int</w:t>
              </w:r>
              <w:bookmarkEnd w:id="27"/>
            </w:hyperlink>
          </w:p>
        </w:tc>
        <w:tc>
          <w:tcPr>
            <w:tcW w:w="1165" w:type="dxa"/>
            <w:tcBorders>
              <w:left w:val="single" w:sz="8" w:space="0" w:color="auto"/>
            </w:tcBorders>
            <w:shd w:val="clear" w:color="auto" w:fill="auto"/>
          </w:tcPr>
          <w:p w14:paraId="00B931EB" w14:textId="77777777" w:rsidR="00C7475A" w:rsidRPr="00C7475A" w:rsidRDefault="00C7475A" w:rsidP="003B47D3">
            <w:pPr>
              <w:jc w:val="right"/>
              <w:rPr>
                <w:b/>
                <w:bCs/>
              </w:rPr>
            </w:pPr>
            <w:bookmarkStart w:id="28" w:name="lt_pId128"/>
            <w:r w:rsidRPr="00C7475A">
              <w:rPr>
                <w:b/>
                <w:bCs/>
              </w:rPr>
              <w:t>Fax:</w:t>
            </w:r>
            <w:bookmarkEnd w:id="28"/>
          </w:p>
          <w:p w14:paraId="5BBCA291" w14:textId="77777777" w:rsidR="00C7475A" w:rsidRPr="00C7475A" w:rsidRDefault="00C7475A" w:rsidP="00DB3358">
            <w:pPr>
              <w:spacing w:before="0"/>
              <w:jc w:val="right"/>
              <w:rPr>
                <w:b/>
                <w:bCs/>
              </w:rPr>
            </w:pPr>
            <w:bookmarkStart w:id="29" w:name="lt_pId129"/>
            <w:r w:rsidRPr="00C7475A">
              <w:rPr>
                <w:b/>
                <w:bCs/>
              </w:rPr>
              <w:t>Correo-e:</w:t>
            </w:r>
            <w:bookmarkEnd w:id="29"/>
          </w:p>
        </w:tc>
        <w:tc>
          <w:tcPr>
            <w:tcW w:w="3118" w:type="dxa"/>
            <w:shd w:val="clear" w:color="auto" w:fill="auto"/>
          </w:tcPr>
          <w:p w14:paraId="6EB5763B" w14:textId="77777777" w:rsidR="00C7475A" w:rsidRPr="00C7475A" w:rsidRDefault="00C7475A" w:rsidP="00DB3358">
            <w:pPr>
              <w:spacing w:before="0"/>
            </w:pPr>
          </w:p>
        </w:tc>
      </w:tr>
    </w:tbl>
    <w:p w14:paraId="256EEAC3" w14:textId="77777777" w:rsidR="00C7475A" w:rsidRPr="00C7475A" w:rsidRDefault="00C7475A" w:rsidP="00DB3358">
      <w:pPr>
        <w:pStyle w:val="Normalaftertitle"/>
      </w:pPr>
      <w:r w:rsidRPr="00C7475A">
        <w:t>Muy Señora mía/Muy Señor mío:</w:t>
      </w:r>
    </w:p>
    <w:p w14:paraId="2B30F429" w14:textId="195F2B85" w:rsidR="00C7475A" w:rsidRPr="00C7475A" w:rsidRDefault="00C7475A" w:rsidP="00DB3358">
      <w:pPr>
        <w:spacing w:after="240"/>
      </w:pPr>
      <w:bookmarkStart w:id="30" w:name="lt_pId133"/>
      <w:r w:rsidRPr="00C7475A">
        <w:t>En lo que respecta a la consulta a los Estados Miembros sobre los proyectos determinados que se enumeran en la Circular</w:t>
      </w:r>
      <w:r w:rsidR="00007A16">
        <w:t> 2</w:t>
      </w:r>
      <w:r w:rsidRPr="00C7475A">
        <w:t>19 de la TSB, deseo informarle de la opinión de esta Administración, que se refleja en el siguiente cuadro:</w:t>
      </w:r>
      <w:bookmarkEnd w:id="30"/>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C7475A" w:rsidRPr="00C7475A" w14:paraId="22549B00" w14:textId="77777777" w:rsidTr="00CB31FD">
        <w:trPr>
          <w:tblHeader/>
        </w:trPr>
        <w:tc>
          <w:tcPr>
            <w:tcW w:w="2067" w:type="dxa"/>
            <w:shd w:val="clear" w:color="auto" w:fill="auto"/>
            <w:vAlign w:val="center"/>
          </w:tcPr>
          <w:p w14:paraId="1013A103" w14:textId="77777777" w:rsidR="00C7475A" w:rsidRPr="00C7475A" w:rsidRDefault="00C7475A" w:rsidP="00DB3358">
            <w:pPr>
              <w:pStyle w:val="Tablehead0"/>
            </w:pPr>
          </w:p>
        </w:tc>
        <w:tc>
          <w:tcPr>
            <w:tcW w:w="7652" w:type="dxa"/>
            <w:shd w:val="clear" w:color="auto" w:fill="auto"/>
            <w:vAlign w:val="center"/>
          </w:tcPr>
          <w:p w14:paraId="5C14BAF1" w14:textId="77777777" w:rsidR="00C7475A" w:rsidRPr="00C7475A" w:rsidRDefault="00C7475A" w:rsidP="00DB3358">
            <w:pPr>
              <w:pStyle w:val="Tablehead0"/>
            </w:pPr>
            <w:bookmarkStart w:id="31" w:name="lt_pId134"/>
            <w:r w:rsidRPr="00C7475A">
              <w:t>Seleccione una de las dos casillas</w:t>
            </w:r>
            <w:bookmarkEnd w:id="31"/>
            <w:r w:rsidRPr="00C7475A">
              <w:t xml:space="preserve"> para cada texto</w:t>
            </w:r>
          </w:p>
        </w:tc>
      </w:tr>
      <w:tr w:rsidR="00C7475A" w:rsidRPr="00C7475A" w14:paraId="765C0198" w14:textId="77777777" w:rsidTr="00CB31FD">
        <w:trPr>
          <w:trHeight w:val="748"/>
        </w:trPr>
        <w:tc>
          <w:tcPr>
            <w:tcW w:w="2067" w:type="dxa"/>
            <w:vMerge w:val="restart"/>
            <w:shd w:val="clear" w:color="auto" w:fill="auto"/>
            <w:vAlign w:val="center"/>
          </w:tcPr>
          <w:p w14:paraId="22CB149C" w14:textId="3328BD8C" w:rsidR="00C7475A" w:rsidRPr="00C7475A" w:rsidRDefault="00C7475A" w:rsidP="00DB3358">
            <w:pPr>
              <w:pStyle w:val="Tablehead0"/>
            </w:pPr>
            <w:r w:rsidRPr="00C7475A">
              <w:t xml:space="preserve">Proyecto de </w:t>
            </w:r>
            <w:r w:rsidRPr="00C7475A">
              <w:br/>
              <w:t>Recomendación UIT-T X.1363</w:t>
            </w:r>
            <w:r w:rsidR="003B47D3" w:rsidRPr="00C7475A">
              <w:br/>
            </w:r>
            <w:r w:rsidRPr="00C7475A">
              <w:t>(X.iotsec-3)</w:t>
            </w:r>
          </w:p>
        </w:tc>
        <w:tc>
          <w:tcPr>
            <w:tcW w:w="7652" w:type="dxa"/>
            <w:shd w:val="clear" w:color="auto" w:fill="auto"/>
            <w:vAlign w:val="center"/>
          </w:tcPr>
          <w:p w14:paraId="63E274B2" w14:textId="77777777" w:rsidR="00C7475A" w:rsidRPr="00C7475A" w:rsidRDefault="00C7475A" w:rsidP="00DB3358">
            <w:pPr>
              <w:pStyle w:val="Tabletext0"/>
              <w:tabs>
                <w:tab w:val="clear" w:pos="284"/>
                <w:tab w:val="left" w:pos="656"/>
              </w:tabs>
              <w:ind w:left="567" w:hanging="567"/>
            </w:pPr>
            <w:r w:rsidRPr="00C7475A">
              <w:fldChar w:fldCharType="begin">
                <w:ffData>
                  <w:name w:val="Check1"/>
                  <w:enabled/>
                  <w:calcOnExit w:val="0"/>
                  <w:checkBox>
                    <w:sizeAuto/>
                    <w:default w:val="0"/>
                  </w:checkBox>
                </w:ffData>
              </w:fldChar>
            </w:r>
            <w:r w:rsidRPr="00C7475A">
              <w:instrText xml:space="preserve"> FORMCHECKBOX </w:instrText>
            </w:r>
            <w:r w:rsidR="00DA55EB">
              <w:fldChar w:fldCharType="separate"/>
            </w:r>
            <w:r w:rsidRPr="00C7475A">
              <w:rPr>
                <w:lang w:val="es-ES"/>
              </w:rPr>
              <w:fldChar w:fldCharType="end"/>
            </w:r>
            <w:r w:rsidRPr="00C7475A">
              <w:tab/>
            </w:r>
            <w:r w:rsidRPr="00C7475A">
              <w:rPr>
                <w:b/>
                <w:bCs/>
              </w:rPr>
              <w:t xml:space="preserve">Otorga autoridad </w:t>
            </w:r>
            <w:r w:rsidRPr="00C7475A">
              <w:t>a la Comisión de Estudio 17 a fin de examinar este texto para aprobación (en cuyo caso seleccionará una de las dos opciones ⃝):</w:t>
            </w:r>
          </w:p>
          <w:p w14:paraId="01A3AA35" w14:textId="77777777" w:rsidR="00C7475A" w:rsidRPr="00C7475A" w:rsidRDefault="00C7475A" w:rsidP="00DB3358">
            <w:pPr>
              <w:pStyle w:val="Tabletext0"/>
              <w:tabs>
                <w:tab w:val="clear" w:pos="851"/>
                <w:tab w:val="left" w:pos="940"/>
              </w:tabs>
              <w:ind w:left="567"/>
            </w:pPr>
            <w:r w:rsidRPr="00C7475A">
              <w:t>⃝</w:t>
            </w:r>
            <w:r w:rsidRPr="00C7475A">
              <w:tab/>
              <w:t>Sin comentarios o cambios sugeridos</w:t>
            </w:r>
          </w:p>
          <w:p w14:paraId="7EC5690D" w14:textId="77777777" w:rsidR="00C7475A" w:rsidRPr="00C7475A" w:rsidRDefault="00C7475A" w:rsidP="00DB3358">
            <w:pPr>
              <w:pStyle w:val="Tabletext0"/>
              <w:tabs>
                <w:tab w:val="clear" w:pos="851"/>
                <w:tab w:val="left" w:pos="940"/>
              </w:tabs>
              <w:ind w:left="567"/>
            </w:pPr>
            <w:r w:rsidRPr="00C7475A">
              <w:t>⃝</w:t>
            </w:r>
            <w:r w:rsidRPr="00C7475A">
              <w:tab/>
              <w:t>Se adjuntan los comentarios o cambios sugeridos</w:t>
            </w:r>
          </w:p>
        </w:tc>
      </w:tr>
      <w:tr w:rsidR="00C7475A" w:rsidRPr="00C7475A" w14:paraId="5AD17BBA" w14:textId="77777777" w:rsidTr="00CB31FD">
        <w:trPr>
          <w:trHeight w:val="1322"/>
        </w:trPr>
        <w:tc>
          <w:tcPr>
            <w:tcW w:w="2067" w:type="dxa"/>
            <w:vMerge/>
            <w:shd w:val="clear" w:color="auto" w:fill="auto"/>
            <w:vAlign w:val="center"/>
          </w:tcPr>
          <w:p w14:paraId="42B622EC" w14:textId="77777777" w:rsidR="00C7475A" w:rsidRPr="00C7475A" w:rsidRDefault="00C7475A" w:rsidP="00DB3358">
            <w:pPr>
              <w:pStyle w:val="Tablehead0"/>
            </w:pPr>
          </w:p>
        </w:tc>
        <w:tc>
          <w:tcPr>
            <w:tcW w:w="7652" w:type="dxa"/>
            <w:shd w:val="clear" w:color="auto" w:fill="auto"/>
            <w:vAlign w:val="center"/>
          </w:tcPr>
          <w:p w14:paraId="60669791" w14:textId="77777777" w:rsidR="00C7475A" w:rsidRPr="00C7475A" w:rsidRDefault="00C7475A" w:rsidP="00DB3358">
            <w:pPr>
              <w:pStyle w:val="Tabletext0"/>
              <w:tabs>
                <w:tab w:val="clear" w:pos="284"/>
                <w:tab w:val="left" w:pos="656"/>
              </w:tabs>
              <w:ind w:left="567" w:hanging="567"/>
            </w:pPr>
            <w:r w:rsidRPr="00C7475A">
              <w:fldChar w:fldCharType="begin">
                <w:ffData>
                  <w:name w:val="Check1"/>
                  <w:enabled/>
                  <w:calcOnExit w:val="0"/>
                  <w:checkBox>
                    <w:sizeAuto/>
                    <w:default w:val="0"/>
                  </w:checkBox>
                </w:ffData>
              </w:fldChar>
            </w:r>
            <w:r w:rsidRPr="00C7475A">
              <w:instrText xml:space="preserve"> FORMCHECKBOX </w:instrText>
            </w:r>
            <w:r w:rsidR="00DA55EB">
              <w:fldChar w:fldCharType="separate"/>
            </w:r>
            <w:r w:rsidRPr="00C7475A">
              <w:rPr>
                <w:lang w:val="es-ES"/>
              </w:rPr>
              <w:fldChar w:fldCharType="end"/>
            </w:r>
            <w:r w:rsidRPr="00C7475A">
              <w:tab/>
            </w:r>
            <w:r w:rsidRPr="00C7475A">
              <w:rPr>
                <w:b/>
                <w:bCs/>
              </w:rPr>
              <w:t xml:space="preserve">No otorga autoridad </w:t>
            </w:r>
            <w:r w:rsidRPr="00C7475A">
              <w:t>a la Comisión de Estudio 17 a fin de examinar este texto para aprobación (se adjuntan los motivos en que se fundamenta esta opinión y las modificaciones que podrían permitir el proseguimiento de los trabajos)</w:t>
            </w:r>
          </w:p>
        </w:tc>
      </w:tr>
      <w:tr w:rsidR="00C7475A" w:rsidRPr="00C7475A" w14:paraId="32B2450E" w14:textId="77777777" w:rsidTr="00CB31FD">
        <w:trPr>
          <w:trHeight w:val="748"/>
        </w:trPr>
        <w:tc>
          <w:tcPr>
            <w:tcW w:w="2067" w:type="dxa"/>
            <w:vMerge w:val="restart"/>
            <w:tcBorders>
              <w:top w:val="single" w:sz="4" w:space="0" w:color="auto"/>
              <w:left w:val="single" w:sz="4" w:space="0" w:color="auto"/>
              <w:right w:val="single" w:sz="4" w:space="0" w:color="auto"/>
            </w:tcBorders>
            <w:shd w:val="clear" w:color="auto" w:fill="auto"/>
            <w:vAlign w:val="center"/>
          </w:tcPr>
          <w:p w14:paraId="41EAFBB1" w14:textId="201A5D2B" w:rsidR="00C7475A" w:rsidRPr="00C7475A" w:rsidRDefault="00C7475A" w:rsidP="003B47D3">
            <w:pPr>
              <w:pStyle w:val="Tablehead0"/>
            </w:pPr>
            <w:bookmarkStart w:id="32" w:name="lt_pId145"/>
            <w:bookmarkStart w:id="33" w:name="lt_pId163"/>
            <w:r w:rsidRPr="00C7475A">
              <w:t xml:space="preserve">Proyecto de </w:t>
            </w:r>
            <w:r w:rsidR="003B47D3">
              <w:br/>
            </w:r>
            <w:r w:rsidRPr="00C7475A">
              <w:t>Recomendación UIT-T X.1364</w:t>
            </w:r>
            <w:r w:rsidR="003B47D3" w:rsidRPr="00C7475A">
              <w:br/>
            </w:r>
            <w:r w:rsidRPr="00C7475A">
              <w:t>(X.nb</w:t>
            </w:r>
            <w:r w:rsidR="003B47D3">
              <w:noBreakHyphen/>
            </w:r>
            <w:r w:rsidRPr="00C7475A">
              <w:t>iot)</w:t>
            </w:r>
            <w:bookmarkEnd w:id="32"/>
          </w:p>
        </w:tc>
        <w:tc>
          <w:tcPr>
            <w:tcW w:w="7652" w:type="dxa"/>
            <w:tcBorders>
              <w:top w:val="single" w:sz="4" w:space="0" w:color="auto"/>
              <w:left w:val="single" w:sz="4" w:space="0" w:color="auto"/>
              <w:bottom w:val="single" w:sz="4" w:space="0" w:color="auto"/>
              <w:right w:val="single" w:sz="4" w:space="0" w:color="auto"/>
            </w:tcBorders>
            <w:shd w:val="clear" w:color="auto" w:fill="auto"/>
            <w:vAlign w:val="center"/>
          </w:tcPr>
          <w:p w14:paraId="6EC69A3A" w14:textId="77777777" w:rsidR="00C7475A" w:rsidRPr="00C7475A" w:rsidRDefault="00C7475A" w:rsidP="00DB3358">
            <w:pPr>
              <w:pStyle w:val="Tabletext0"/>
              <w:tabs>
                <w:tab w:val="clear" w:pos="284"/>
                <w:tab w:val="left" w:pos="656"/>
              </w:tabs>
              <w:ind w:left="567" w:hanging="567"/>
            </w:pPr>
            <w:r w:rsidRPr="00C7475A">
              <w:fldChar w:fldCharType="begin">
                <w:ffData>
                  <w:name w:val="Check1"/>
                  <w:enabled/>
                  <w:calcOnExit w:val="0"/>
                  <w:checkBox>
                    <w:sizeAuto/>
                    <w:default w:val="0"/>
                  </w:checkBox>
                </w:ffData>
              </w:fldChar>
            </w:r>
            <w:r w:rsidRPr="00C7475A">
              <w:instrText xml:space="preserve"> FORMCHECKBOX </w:instrText>
            </w:r>
            <w:r w:rsidR="00DA55EB">
              <w:fldChar w:fldCharType="separate"/>
            </w:r>
            <w:r w:rsidRPr="00C7475A">
              <w:rPr>
                <w:lang w:val="es-ES"/>
              </w:rPr>
              <w:fldChar w:fldCharType="end"/>
            </w:r>
            <w:r w:rsidRPr="00C7475A">
              <w:tab/>
            </w:r>
            <w:r w:rsidRPr="00C7475A">
              <w:rPr>
                <w:b/>
                <w:bCs/>
              </w:rPr>
              <w:t xml:space="preserve">Otorga autoridad </w:t>
            </w:r>
            <w:r w:rsidRPr="00C7475A">
              <w:t xml:space="preserve">a la </w:t>
            </w:r>
            <w:r w:rsidRPr="00DB3358">
              <w:rPr>
                <w:lang w:val="es-ES"/>
              </w:rPr>
              <w:t>Comisión</w:t>
            </w:r>
            <w:r w:rsidRPr="00C7475A">
              <w:t xml:space="preserve"> de Estudio 17 a fin de examinar este texto para aprobación (en cuyo caso seleccionará una de las dos opciones ⃝):</w:t>
            </w:r>
          </w:p>
          <w:p w14:paraId="5417969C" w14:textId="77777777" w:rsidR="00C7475A" w:rsidRPr="00C7475A" w:rsidRDefault="00C7475A" w:rsidP="00DB3358">
            <w:pPr>
              <w:pStyle w:val="Tabletext0"/>
              <w:tabs>
                <w:tab w:val="clear" w:pos="851"/>
                <w:tab w:val="left" w:pos="940"/>
              </w:tabs>
              <w:ind w:left="567"/>
            </w:pPr>
            <w:r w:rsidRPr="00C7475A">
              <w:t>⃝</w:t>
            </w:r>
            <w:r w:rsidRPr="00C7475A">
              <w:tab/>
              <w:t>Sin comentarios o cambios sugeridos</w:t>
            </w:r>
          </w:p>
          <w:p w14:paraId="27F9BC1C" w14:textId="77777777" w:rsidR="00C7475A" w:rsidRPr="00C7475A" w:rsidRDefault="00C7475A" w:rsidP="00DB3358">
            <w:pPr>
              <w:pStyle w:val="Tabletext0"/>
              <w:tabs>
                <w:tab w:val="clear" w:pos="851"/>
                <w:tab w:val="left" w:pos="940"/>
              </w:tabs>
              <w:ind w:left="567"/>
            </w:pPr>
            <w:r w:rsidRPr="00C7475A">
              <w:t>⃝</w:t>
            </w:r>
            <w:r w:rsidRPr="00C7475A">
              <w:tab/>
              <w:t>Se adjuntan los comentarios o cambios sugeridos</w:t>
            </w:r>
          </w:p>
        </w:tc>
      </w:tr>
      <w:tr w:rsidR="00C7475A" w:rsidRPr="00C7475A" w14:paraId="1479085D" w14:textId="77777777" w:rsidTr="00CB31FD">
        <w:trPr>
          <w:trHeight w:val="748"/>
        </w:trPr>
        <w:tc>
          <w:tcPr>
            <w:tcW w:w="2067" w:type="dxa"/>
            <w:vMerge/>
            <w:tcBorders>
              <w:left w:val="single" w:sz="4" w:space="0" w:color="auto"/>
              <w:bottom w:val="single" w:sz="4" w:space="0" w:color="auto"/>
              <w:right w:val="single" w:sz="4" w:space="0" w:color="auto"/>
            </w:tcBorders>
            <w:shd w:val="clear" w:color="auto" w:fill="auto"/>
            <w:vAlign w:val="center"/>
          </w:tcPr>
          <w:p w14:paraId="7C0FFD7A" w14:textId="77777777" w:rsidR="00C7475A" w:rsidRPr="00C7475A" w:rsidRDefault="00C7475A" w:rsidP="00C7475A">
            <w:pPr>
              <w:ind w:right="92"/>
              <w:rPr>
                <w:b/>
                <w:bCs/>
              </w:rPr>
            </w:pPr>
          </w:p>
        </w:tc>
        <w:tc>
          <w:tcPr>
            <w:tcW w:w="7652" w:type="dxa"/>
            <w:tcBorders>
              <w:top w:val="single" w:sz="4" w:space="0" w:color="auto"/>
              <w:left w:val="single" w:sz="4" w:space="0" w:color="auto"/>
              <w:bottom w:val="single" w:sz="4" w:space="0" w:color="auto"/>
              <w:right w:val="single" w:sz="4" w:space="0" w:color="auto"/>
            </w:tcBorders>
            <w:shd w:val="clear" w:color="auto" w:fill="auto"/>
            <w:vAlign w:val="center"/>
          </w:tcPr>
          <w:p w14:paraId="0C7C37E5" w14:textId="77777777" w:rsidR="00C7475A" w:rsidRPr="00C7475A" w:rsidRDefault="00C7475A" w:rsidP="00DB3358">
            <w:pPr>
              <w:pStyle w:val="Tabletext0"/>
              <w:tabs>
                <w:tab w:val="clear" w:pos="284"/>
                <w:tab w:val="left" w:pos="656"/>
              </w:tabs>
              <w:ind w:left="567" w:hanging="567"/>
            </w:pPr>
            <w:r w:rsidRPr="00C7475A">
              <w:fldChar w:fldCharType="begin">
                <w:ffData>
                  <w:name w:val="Check1"/>
                  <w:enabled/>
                  <w:calcOnExit w:val="0"/>
                  <w:checkBox>
                    <w:sizeAuto/>
                    <w:default w:val="0"/>
                  </w:checkBox>
                </w:ffData>
              </w:fldChar>
            </w:r>
            <w:r w:rsidRPr="00C7475A">
              <w:instrText xml:space="preserve"> FORMCHECKBOX </w:instrText>
            </w:r>
            <w:r w:rsidR="00DA55EB">
              <w:fldChar w:fldCharType="separate"/>
            </w:r>
            <w:r w:rsidRPr="00C7475A">
              <w:rPr>
                <w:lang w:val="es-ES"/>
              </w:rPr>
              <w:fldChar w:fldCharType="end"/>
            </w:r>
            <w:r w:rsidRPr="00C7475A">
              <w:tab/>
            </w:r>
            <w:r w:rsidRPr="00C7475A">
              <w:rPr>
                <w:b/>
                <w:bCs/>
              </w:rPr>
              <w:t xml:space="preserve">No otorga autoridad </w:t>
            </w:r>
            <w:r w:rsidRPr="00C7475A">
              <w:t>a la Comisión de Estudio 17 a fin de examinar este texto para aprobación (se adjuntan los motivos en que se fundamenta esta opinión y las modificaciones que podrían permitir el proseguimiento de los trabajos)</w:t>
            </w:r>
          </w:p>
        </w:tc>
      </w:tr>
      <w:tr w:rsidR="00C7475A" w:rsidRPr="00C7475A" w14:paraId="109940FB" w14:textId="77777777" w:rsidTr="00CB31FD">
        <w:trPr>
          <w:trHeight w:val="748"/>
        </w:trPr>
        <w:tc>
          <w:tcPr>
            <w:tcW w:w="2067" w:type="dxa"/>
            <w:vMerge w:val="restart"/>
            <w:shd w:val="clear" w:color="auto" w:fill="auto"/>
            <w:vAlign w:val="center"/>
          </w:tcPr>
          <w:p w14:paraId="00CD2978" w14:textId="41F7FB75" w:rsidR="00C7475A" w:rsidRPr="00C7475A" w:rsidRDefault="00C7475A" w:rsidP="003B47D3">
            <w:pPr>
              <w:pStyle w:val="Tablehead0"/>
              <w:keepLines/>
            </w:pPr>
            <w:r w:rsidRPr="00C7475A">
              <w:lastRenderedPageBreak/>
              <w:t xml:space="preserve">Proyecto de </w:t>
            </w:r>
            <w:r w:rsidR="003B47D3">
              <w:br/>
            </w:r>
            <w:r w:rsidRPr="00C7475A">
              <w:t xml:space="preserve">Recomendación UIT-T </w:t>
            </w:r>
            <w:r w:rsidRPr="00C7475A">
              <w:rPr>
                <w:lang w:val="fr-CH"/>
              </w:rPr>
              <w:t>X1371</w:t>
            </w:r>
            <w:r w:rsidR="003B47D3">
              <w:rPr>
                <w:lang w:val="fr-CH"/>
              </w:rPr>
              <w:br/>
            </w:r>
            <w:r w:rsidRPr="00C7475A">
              <w:rPr>
                <w:lang w:val="fr-CH"/>
              </w:rPr>
              <w:t>(X.stcv</w:t>
            </w:r>
            <w:bookmarkStart w:id="34" w:name="lt_pId154"/>
            <w:r w:rsidRPr="00C7475A">
              <w:t>)</w:t>
            </w:r>
            <w:bookmarkEnd w:id="34"/>
          </w:p>
        </w:tc>
        <w:tc>
          <w:tcPr>
            <w:tcW w:w="7652" w:type="dxa"/>
            <w:shd w:val="clear" w:color="auto" w:fill="auto"/>
            <w:vAlign w:val="center"/>
          </w:tcPr>
          <w:p w14:paraId="59BC841C" w14:textId="77777777" w:rsidR="00C7475A" w:rsidRPr="00C7475A" w:rsidRDefault="00C7475A" w:rsidP="003B47D3">
            <w:pPr>
              <w:pStyle w:val="Tabletext0"/>
              <w:keepNext/>
              <w:keepLines/>
              <w:tabs>
                <w:tab w:val="clear" w:pos="284"/>
                <w:tab w:val="left" w:pos="656"/>
              </w:tabs>
              <w:ind w:left="567" w:hanging="567"/>
            </w:pPr>
            <w:r w:rsidRPr="00C7475A">
              <w:fldChar w:fldCharType="begin">
                <w:ffData>
                  <w:name w:val="Check1"/>
                  <w:enabled/>
                  <w:calcOnExit w:val="0"/>
                  <w:checkBox>
                    <w:sizeAuto/>
                    <w:default w:val="0"/>
                  </w:checkBox>
                </w:ffData>
              </w:fldChar>
            </w:r>
            <w:r w:rsidRPr="00C7475A">
              <w:instrText xml:space="preserve"> FORMCHECKBOX </w:instrText>
            </w:r>
            <w:r w:rsidR="00DA55EB">
              <w:fldChar w:fldCharType="separate"/>
            </w:r>
            <w:r w:rsidRPr="00C7475A">
              <w:rPr>
                <w:lang w:val="es-ES"/>
              </w:rPr>
              <w:fldChar w:fldCharType="end"/>
            </w:r>
            <w:r w:rsidRPr="00C7475A">
              <w:tab/>
            </w:r>
            <w:r w:rsidRPr="00C7475A">
              <w:rPr>
                <w:b/>
                <w:bCs/>
              </w:rPr>
              <w:t xml:space="preserve">Otorga autoridad </w:t>
            </w:r>
            <w:r w:rsidRPr="00C7475A">
              <w:t xml:space="preserve">a la </w:t>
            </w:r>
            <w:r w:rsidRPr="00C7475A">
              <w:rPr>
                <w:lang w:val="es-ES"/>
              </w:rPr>
              <w:t>Comisión</w:t>
            </w:r>
            <w:r w:rsidRPr="00C7475A">
              <w:t xml:space="preserve"> de Estudio 17 a fin de examinar este texto para aprobación (en cuyo caso seleccionará una de las dos opciones ⃝):</w:t>
            </w:r>
          </w:p>
          <w:p w14:paraId="302503C3" w14:textId="77777777" w:rsidR="00C7475A" w:rsidRPr="00C7475A" w:rsidRDefault="00C7475A" w:rsidP="003B47D3">
            <w:pPr>
              <w:pStyle w:val="Tabletext0"/>
              <w:keepNext/>
              <w:keepLines/>
              <w:tabs>
                <w:tab w:val="clear" w:pos="851"/>
                <w:tab w:val="left" w:pos="940"/>
              </w:tabs>
              <w:ind w:left="567"/>
            </w:pPr>
            <w:r w:rsidRPr="00C7475A">
              <w:t>⃝</w:t>
            </w:r>
            <w:r w:rsidRPr="00C7475A">
              <w:tab/>
              <w:t>Sin comentarios o cambios sugeridos</w:t>
            </w:r>
          </w:p>
          <w:p w14:paraId="170E09C3" w14:textId="77777777" w:rsidR="00C7475A" w:rsidRPr="00C7475A" w:rsidRDefault="00C7475A" w:rsidP="003B47D3">
            <w:pPr>
              <w:pStyle w:val="Tabletext0"/>
              <w:keepNext/>
              <w:keepLines/>
              <w:tabs>
                <w:tab w:val="clear" w:pos="851"/>
                <w:tab w:val="left" w:pos="940"/>
              </w:tabs>
              <w:ind w:left="567"/>
            </w:pPr>
            <w:r w:rsidRPr="00C7475A">
              <w:t>⃝</w:t>
            </w:r>
            <w:r w:rsidRPr="00C7475A">
              <w:tab/>
              <w:t>Se adjuntan los comentarios o cambios sugeridos</w:t>
            </w:r>
          </w:p>
        </w:tc>
      </w:tr>
      <w:tr w:rsidR="00C7475A" w:rsidRPr="00C7475A" w14:paraId="7AC2F48F" w14:textId="77777777" w:rsidTr="00CB31FD">
        <w:trPr>
          <w:trHeight w:val="747"/>
        </w:trPr>
        <w:tc>
          <w:tcPr>
            <w:tcW w:w="2067" w:type="dxa"/>
            <w:vMerge/>
            <w:shd w:val="clear" w:color="auto" w:fill="auto"/>
            <w:vAlign w:val="center"/>
          </w:tcPr>
          <w:p w14:paraId="625E8711" w14:textId="77777777" w:rsidR="00C7475A" w:rsidRPr="00C7475A" w:rsidRDefault="00C7475A" w:rsidP="003B47D3">
            <w:pPr>
              <w:keepNext/>
              <w:keepLines/>
              <w:ind w:right="92"/>
              <w:rPr>
                <w:b/>
                <w:bCs/>
              </w:rPr>
            </w:pPr>
          </w:p>
        </w:tc>
        <w:tc>
          <w:tcPr>
            <w:tcW w:w="7652" w:type="dxa"/>
            <w:shd w:val="clear" w:color="auto" w:fill="auto"/>
            <w:vAlign w:val="center"/>
          </w:tcPr>
          <w:p w14:paraId="5F70859E" w14:textId="77777777" w:rsidR="00C7475A" w:rsidRPr="00C7475A" w:rsidRDefault="00C7475A" w:rsidP="003B47D3">
            <w:pPr>
              <w:pStyle w:val="Tabletext0"/>
              <w:keepNext/>
              <w:keepLines/>
              <w:tabs>
                <w:tab w:val="clear" w:pos="284"/>
                <w:tab w:val="left" w:pos="656"/>
              </w:tabs>
              <w:ind w:left="567" w:hanging="567"/>
            </w:pPr>
            <w:r w:rsidRPr="00C7475A">
              <w:fldChar w:fldCharType="begin">
                <w:ffData>
                  <w:name w:val="Check1"/>
                  <w:enabled/>
                  <w:calcOnExit w:val="0"/>
                  <w:checkBox>
                    <w:sizeAuto/>
                    <w:default w:val="0"/>
                  </w:checkBox>
                </w:ffData>
              </w:fldChar>
            </w:r>
            <w:r w:rsidRPr="00C7475A">
              <w:instrText xml:space="preserve"> FORMCHECKBOX </w:instrText>
            </w:r>
            <w:r w:rsidR="00DA55EB">
              <w:fldChar w:fldCharType="separate"/>
            </w:r>
            <w:r w:rsidRPr="00C7475A">
              <w:rPr>
                <w:lang w:val="es-ES"/>
              </w:rPr>
              <w:fldChar w:fldCharType="end"/>
            </w:r>
            <w:r w:rsidRPr="00C7475A">
              <w:tab/>
            </w:r>
            <w:r w:rsidRPr="00C7475A">
              <w:rPr>
                <w:b/>
                <w:bCs/>
              </w:rPr>
              <w:t xml:space="preserve">No otorga autoridad </w:t>
            </w:r>
            <w:r w:rsidRPr="00C7475A">
              <w:t xml:space="preserve">a la </w:t>
            </w:r>
            <w:r w:rsidRPr="00C7475A">
              <w:rPr>
                <w:lang w:val="es-ES"/>
              </w:rPr>
              <w:t>Comisión</w:t>
            </w:r>
            <w:r w:rsidRPr="00C7475A">
              <w:t xml:space="preserve"> de Estudio 17 a fin de examinar este texto para aprobación (se adjuntan los motivos en que se fundamenta esta opinión y las modificaciones que podrían permitir el proseguimiento de los trabajos)</w:t>
            </w:r>
          </w:p>
        </w:tc>
      </w:tr>
    </w:tbl>
    <w:p w14:paraId="6CF0B870" w14:textId="135D66A9" w:rsidR="00C7475A" w:rsidRPr="00C7475A" w:rsidRDefault="00C7475A" w:rsidP="00DB3358">
      <w:pPr>
        <w:pStyle w:val="Normalaftertitle"/>
      </w:pPr>
      <w:r w:rsidRPr="00C7475A">
        <w:t>Atentamente</w:t>
      </w:r>
      <w:bookmarkEnd w:id="33"/>
      <w:r w:rsidR="00007A16">
        <w:t>,</w:t>
      </w:r>
    </w:p>
    <w:p w14:paraId="3A5F5172" w14:textId="760E1BAA" w:rsidR="00C7475A" w:rsidRDefault="00C7475A" w:rsidP="00DB3358">
      <w:pPr>
        <w:spacing w:before="600"/>
      </w:pPr>
      <w:bookmarkStart w:id="35" w:name="lt_pId164"/>
      <w:r w:rsidRPr="00DB3358">
        <w:rPr>
          <w:highlight w:val="green"/>
        </w:rPr>
        <w:t>[Nombre]</w:t>
      </w:r>
      <w:bookmarkStart w:id="36" w:name="lt_pId165"/>
      <w:bookmarkEnd w:id="35"/>
      <w:r w:rsidRPr="00DB3358">
        <w:rPr>
          <w:highlight w:val="green"/>
        </w:rPr>
        <w:br/>
        <w:t>[Cargo oficial/Título]</w:t>
      </w:r>
      <w:bookmarkStart w:id="37" w:name="lt_pId166"/>
      <w:bookmarkEnd w:id="36"/>
      <w:r w:rsidRPr="00C7475A">
        <w:br/>
        <w:t xml:space="preserve">Administración de </w:t>
      </w:r>
      <w:r w:rsidRPr="00DB3358">
        <w:rPr>
          <w:highlight w:val="green"/>
        </w:rPr>
        <w:t>[Estado Miembro]</w:t>
      </w:r>
      <w:bookmarkEnd w:id="37"/>
    </w:p>
    <w:sectPr w:rsidR="00C7475A" w:rsidSect="00B87E9E">
      <w:headerReference w:type="default" r:id="rId17"/>
      <w:footerReference w:type="first" r:id="rId18"/>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9FD1E" w14:textId="77777777" w:rsidR="00C7475A" w:rsidRDefault="00C7475A">
      <w:r>
        <w:separator/>
      </w:r>
    </w:p>
  </w:endnote>
  <w:endnote w:type="continuationSeparator" w:id="0">
    <w:p w14:paraId="1FA478CC" w14:textId="77777777" w:rsidR="00C7475A" w:rsidRDefault="00C7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kia Pure Text Light">
    <w:altName w:val="Times New Roman"/>
    <w:charset w:val="00"/>
    <w:family w:val="swiss"/>
    <w:pitch w:val="variable"/>
    <w:sig w:usb0="A00002FF" w:usb1="700078FB" w:usb2="0001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59FF" w14:textId="2B86CEEF" w:rsidR="0014464D" w:rsidRPr="0055719E" w:rsidRDefault="0014464D" w:rsidP="00FC416A">
    <w:pPr>
      <w:pStyle w:val="FirstFooter"/>
      <w:ind w:left="-397" w:right="-397"/>
      <w:jc w:val="center"/>
      <w:rPr>
        <w:szCs w:val="18"/>
        <w:lang w:val="es-ES"/>
      </w:rPr>
    </w:pPr>
    <w:r w:rsidRPr="00DA55EB">
      <w:rPr>
        <w:color w:val="0070C0"/>
        <w:szCs w:val="18"/>
        <w:lang w:val="es-ES"/>
      </w:rPr>
      <w:t>Unión Internacional de Telecomunicaciones • Place des Nations, CH</w:t>
    </w:r>
    <w:r w:rsidRPr="00DA55EB">
      <w:rPr>
        <w:color w:val="0070C0"/>
        <w:szCs w:val="18"/>
        <w:lang w:val="es-ES"/>
      </w:rPr>
      <w:noBreakHyphen/>
      <w:t xml:space="preserve">1211 Ginebra 20, Suiza </w:t>
    </w:r>
    <w:r w:rsidRPr="00DA55EB">
      <w:rPr>
        <w:color w:val="0070C0"/>
        <w:szCs w:val="18"/>
        <w:lang w:val="es-ES"/>
      </w:rPr>
      <w:br/>
      <w:t>Tel</w:t>
    </w:r>
    <w:r w:rsidR="009F0064" w:rsidRPr="00DA55EB">
      <w:rPr>
        <w:color w:val="0070C0"/>
        <w:szCs w:val="18"/>
        <w:lang w:val="es-ES"/>
      </w:rPr>
      <w:t>.</w:t>
    </w:r>
    <w:r w:rsidRPr="00DA55EB">
      <w:rPr>
        <w:color w:val="0070C0"/>
        <w:szCs w:val="18"/>
        <w:lang w:val="es-ES"/>
      </w:rPr>
      <w:t xml:space="preserve">: +41 22 730 5111 • Fax: +41 22 733 7256 • Correo-e: </w:t>
    </w:r>
    <w:hyperlink r:id="rId1" w:history="1">
      <w:r w:rsidRPr="00DA55EB">
        <w:rPr>
          <w:rStyle w:val="Hyperlink"/>
          <w:color w:val="0070C0"/>
          <w:lang w:val="es-ES"/>
        </w:rPr>
        <w:t>itumail@itu.int</w:t>
      </w:r>
    </w:hyperlink>
    <w:r w:rsidRPr="00DA55EB">
      <w:rPr>
        <w:color w:val="0070C0"/>
        <w:szCs w:val="18"/>
        <w:lang w:val="es-ES"/>
      </w:rPr>
      <w:t xml:space="preserve"> • </w:t>
    </w:r>
    <w:hyperlink r:id="rId2" w:history="1">
      <w:r w:rsidRPr="00DA55EB">
        <w:rPr>
          <w:rStyle w:val="Hyperlink"/>
          <w:color w:val="0070C0"/>
          <w:lang w:val="es-ES"/>
        </w:rPr>
        <w:t>www.itu.int</w:t>
      </w:r>
    </w:hyperlink>
    <w:r w:rsidRPr="00DA55EB">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65DC9" w14:textId="77777777" w:rsidR="00C7475A" w:rsidRDefault="00C7475A">
      <w:r>
        <w:t>____________________</w:t>
      </w:r>
    </w:p>
  </w:footnote>
  <w:footnote w:type="continuationSeparator" w:id="0">
    <w:p w14:paraId="31B85460" w14:textId="77777777" w:rsidR="00C7475A" w:rsidRDefault="00C74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2DCCD" w14:textId="2093F979"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DA55EB">
      <w:rPr>
        <w:rStyle w:val="PageNumber"/>
        <w:noProof/>
        <w:sz w:val="18"/>
        <w:szCs w:val="18"/>
      </w:rPr>
      <w:t>6</w:t>
    </w:r>
    <w:r w:rsidR="00B87E9E" w:rsidRPr="00303D62">
      <w:rPr>
        <w:rStyle w:val="PageNumber"/>
        <w:sz w:val="18"/>
        <w:szCs w:val="18"/>
      </w:rPr>
      <w:fldChar w:fldCharType="end"/>
    </w:r>
    <w:r w:rsidRPr="00303D62">
      <w:rPr>
        <w:rStyle w:val="PageNumber"/>
        <w:sz w:val="18"/>
        <w:szCs w:val="18"/>
      </w:rPr>
      <w:t xml:space="preserve"> -</w:t>
    </w:r>
    <w:r w:rsidR="009F0064">
      <w:rPr>
        <w:sz w:val="18"/>
        <w:szCs w:val="18"/>
      </w:rPr>
      <w:br/>
    </w:r>
    <w:r w:rsidR="009F0064" w:rsidRPr="009F0064">
      <w:rPr>
        <w:sz w:val="18"/>
        <w:szCs w:val="18"/>
      </w:rPr>
      <w:t>Circular TSB 219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47234DD2"/>
    <w:multiLevelType w:val="hybridMultilevel"/>
    <w:tmpl w:val="5E4ABCB6"/>
    <w:lvl w:ilvl="0" w:tplc="DAC0889E">
      <w:start w:val="1"/>
      <w:numFmt w:val="bullet"/>
      <w:lvlText w:val="−"/>
      <w:lvlJc w:val="left"/>
      <w:pPr>
        <w:ind w:left="420" w:hanging="420"/>
      </w:pPr>
      <w:rPr>
        <w:rFonts w:ascii="Nokia Pure Text Light" w:hAnsi="Nokia Pure Text Light" w:hint="default"/>
      </w:rPr>
    </w:lvl>
    <w:lvl w:ilvl="1" w:tplc="79C616F6" w:tentative="1">
      <w:start w:val="1"/>
      <w:numFmt w:val="bullet"/>
      <w:lvlText w:val=""/>
      <w:lvlJc w:val="left"/>
      <w:pPr>
        <w:ind w:left="840" w:hanging="420"/>
      </w:pPr>
      <w:rPr>
        <w:rFonts w:ascii="Wingdings" w:hAnsi="Wingdings" w:hint="default"/>
      </w:rPr>
    </w:lvl>
    <w:lvl w:ilvl="2" w:tplc="197CF264" w:tentative="1">
      <w:start w:val="1"/>
      <w:numFmt w:val="bullet"/>
      <w:lvlText w:val=""/>
      <w:lvlJc w:val="left"/>
      <w:pPr>
        <w:ind w:left="1260" w:hanging="420"/>
      </w:pPr>
      <w:rPr>
        <w:rFonts w:ascii="Wingdings" w:hAnsi="Wingdings" w:hint="default"/>
      </w:rPr>
    </w:lvl>
    <w:lvl w:ilvl="3" w:tplc="6F6032C6" w:tentative="1">
      <w:start w:val="1"/>
      <w:numFmt w:val="bullet"/>
      <w:lvlText w:val=""/>
      <w:lvlJc w:val="left"/>
      <w:pPr>
        <w:ind w:left="1680" w:hanging="420"/>
      </w:pPr>
      <w:rPr>
        <w:rFonts w:ascii="Wingdings" w:hAnsi="Wingdings" w:hint="default"/>
      </w:rPr>
    </w:lvl>
    <w:lvl w:ilvl="4" w:tplc="3C3ADE0E" w:tentative="1">
      <w:start w:val="1"/>
      <w:numFmt w:val="bullet"/>
      <w:lvlText w:val=""/>
      <w:lvlJc w:val="left"/>
      <w:pPr>
        <w:ind w:left="2100" w:hanging="420"/>
      </w:pPr>
      <w:rPr>
        <w:rFonts w:ascii="Wingdings" w:hAnsi="Wingdings" w:hint="default"/>
      </w:rPr>
    </w:lvl>
    <w:lvl w:ilvl="5" w:tplc="708C0EF4" w:tentative="1">
      <w:start w:val="1"/>
      <w:numFmt w:val="bullet"/>
      <w:lvlText w:val=""/>
      <w:lvlJc w:val="left"/>
      <w:pPr>
        <w:ind w:left="2520" w:hanging="420"/>
      </w:pPr>
      <w:rPr>
        <w:rFonts w:ascii="Wingdings" w:hAnsi="Wingdings" w:hint="default"/>
      </w:rPr>
    </w:lvl>
    <w:lvl w:ilvl="6" w:tplc="021E88E6" w:tentative="1">
      <w:start w:val="1"/>
      <w:numFmt w:val="bullet"/>
      <w:lvlText w:val=""/>
      <w:lvlJc w:val="left"/>
      <w:pPr>
        <w:ind w:left="2940" w:hanging="420"/>
      </w:pPr>
      <w:rPr>
        <w:rFonts w:ascii="Wingdings" w:hAnsi="Wingdings" w:hint="default"/>
      </w:rPr>
    </w:lvl>
    <w:lvl w:ilvl="7" w:tplc="61E27588" w:tentative="1">
      <w:start w:val="1"/>
      <w:numFmt w:val="bullet"/>
      <w:lvlText w:val=""/>
      <w:lvlJc w:val="left"/>
      <w:pPr>
        <w:ind w:left="3360" w:hanging="420"/>
      </w:pPr>
      <w:rPr>
        <w:rFonts w:ascii="Wingdings" w:hAnsi="Wingdings" w:hint="default"/>
      </w:rPr>
    </w:lvl>
    <w:lvl w:ilvl="8" w:tplc="72F6A990" w:tentative="1">
      <w:start w:val="1"/>
      <w:numFmt w:val="bullet"/>
      <w:lvlText w:val=""/>
      <w:lvlJc w:val="left"/>
      <w:pPr>
        <w:ind w:left="3780" w:hanging="42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75A"/>
    <w:rsid w:val="00002529"/>
    <w:rsid w:val="00007A16"/>
    <w:rsid w:val="00085662"/>
    <w:rsid w:val="000C382F"/>
    <w:rsid w:val="001173CC"/>
    <w:rsid w:val="0014464D"/>
    <w:rsid w:val="001833BD"/>
    <w:rsid w:val="001A54CC"/>
    <w:rsid w:val="00257FB4"/>
    <w:rsid w:val="002E496E"/>
    <w:rsid w:val="00303D62"/>
    <w:rsid w:val="00335367"/>
    <w:rsid w:val="00370C2D"/>
    <w:rsid w:val="003B47D3"/>
    <w:rsid w:val="003D1E8D"/>
    <w:rsid w:val="003D673B"/>
    <w:rsid w:val="003F2855"/>
    <w:rsid w:val="00401C20"/>
    <w:rsid w:val="004A7957"/>
    <w:rsid w:val="004C4144"/>
    <w:rsid w:val="0055719E"/>
    <w:rsid w:val="006179D1"/>
    <w:rsid w:val="0062236F"/>
    <w:rsid w:val="006969B4"/>
    <w:rsid w:val="006E4F7B"/>
    <w:rsid w:val="00781E2A"/>
    <w:rsid w:val="007933A2"/>
    <w:rsid w:val="007B6316"/>
    <w:rsid w:val="00814503"/>
    <w:rsid w:val="008258C2"/>
    <w:rsid w:val="00830729"/>
    <w:rsid w:val="008505BD"/>
    <w:rsid w:val="00850C78"/>
    <w:rsid w:val="00876165"/>
    <w:rsid w:val="00884D12"/>
    <w:rsid w:val="008C17AD"/>
    <w:rsid w:val="008D02CD"/>
    <w:rsid w:val="0091370C"/>
    <w:rsid w:val="0095172A"/>
    <w:rsid w:val="009A0BA0"/>
    <w:rsid w:val="009F0064"/>
    <w:rsid w:val="00A54E47"/>
    <w:rsid w:val="00AB6E3A"/>
    <w:rsid w:val="00AE7093"/>
    <w:rsid w:val="00B422BC"/>
    <w:rsid w:val="00B43F77"/>
    <w:rsid w:val="00B442CC"/>
    <w:rsid w:val="00B55A3E"/>
    <w:rsid w:val="00B87E9E"/>
    <w:rsid w:val="00B95F0A"/>
    <w:rsid w:val="00B96180"/>
    <w:rsid w:val="00C116FE"/>
    <w:rsid w:val="00C17AC0"/>
    <w:rsid w:val="00C34772"/>
    <w:rsid w:val="00C5465A"/>
    <w:rsid w:val="00C7475A"/>
    <w:rsid w:val="00C9798F"/>
    <w:rsid w:val="00CC2FB9"/>
    <w:rsid w:val="00CF7DCA"/>
    <w:rsid w:val="00D54642"/>
    <w:rsid w:val="00DA55EB"/>
    <w:rsid w:val="00DB3358"/>
    <w:rsid w:val="00DD77C9"/>
    <w:rsid w:val="00DF3538"/>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E8B2D1"/>
  <w15:docId w15:val="{DED2BA90-1B83-43CD-8750-2985A148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UnresolvedMention">
    <w:name w:val="Unresolved Mention"/>
    <w:basedOn w:val="DefaultParagraphFont"/>
    <w:uiPriority w:val="99"/>
    <w:semiHidden/>
    <w:unhideWhenUsed/>
    <w:rsid w:val="00C7475A"/>
    <w:rPr>
      <w:color w:val="605E5C"/>
      <w:shd w:val="clear" w:color="auto" w:fill="E1DFDD"/>
    </w:rPr>
  </w:style>
  <w:style w:type="paragraph" w:customStyle="1" w:styleId="Reasons">
    <w:name w:val="Reasons"/>
    <w:basedOn w:val="Normal"/>
    <w:qFormat/>
    <w:rsid w:val="00007A16"/>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17-SG17-R-0045/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17-SG17-R-0044/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sbdir@itu.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17-200317-TD-PLEN-2556/es" TargetMode="External"/><Relationship Id="rId5" Type="http://schemas.openxmlformats.org/officeDocument/2006/relationships/webSettings" Target="webSettings.xml"/><Relationship Id="rId15" Type="http://schemas.openxmlformats.org/officeDocument/2006/relationships/hyperlink" Target="https://www.itu.int/md/T17-SG17-R-0050/es" TargetMode="External"/><Relationship Id="rId10" Type="http://schemas.openxmlformats.org/officeDocument/2006/relationships/hyperlink" Target="http://www.itu.int/ip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md/T17-SG17-200317-TD-PLEN-2556/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E6508-D51B-4A1E-9B66-72CE6CBA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162</TotalTime>
  <Pages>6</Pages>
  <Words>1710</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11251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Bilani, Joumana</cp:lastModifiedBy>
  <cp:revision>10</cp:revision>
  <cp:lastPrinted>2019-12-20T13:09:00Z</cp:lastPrinted>
  <dcterms:created xsi:type="dcterms:W3CDTF">2019-12-20T10:44:00Z</dcterms:created>
  <dcterms:modified xsi:type="dcterms:W3CDTF">2019-12-20T15:58:00Z</dcterms:modified>
</cp:coreProperties>
</file>