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92378B" w14:paraId="097661A1" w14:textId="77777777" w:rsidTr="00CB634F">
        <w:trPr>
          <w:cantSplit/>
        </w:trPr>
        <w:tc>
          <w:tcPr>
            <w:tcW w:w="1418" w:type="dxa"/>
            <w:vAlign w:val="center"/>
          </w:tcPr>
          <w:p w14:paraId="6A3127FD" w14:textId="77777777" w:rsidR="00884D12" w:rsidRPr="0092378B" w:rsidRDefault="00AC6FC3" w:rsidP="00CB634F">
            <w:pPr>
              <w:tabs>
                <w:tab w:val="right" w:pos="8732"/>
              </w:tabs>
              <w:spacing w:before="0"/>
              <w:rPr>
                <w:b/>
                <w:bCs/>
                <w:iCs/>
                <w:color w:val="FFFFFF"/>
                <w:sz w:val="30"/>
                <w:szCs w:val="30"/>
                <w:lang w:val="es-ES"/>
              </w:rPr>
            </w:pPr>
            <w:r w:rsidRPr="0092378B">
              <w:rPr>
                <w:noProof/>
                <w:lang w:val="en-GB" w:eastAsia="en-GB"/>
              </w:rPr>
              <w:drawing>
                <wp:inline distT="0" distB="0" distL="0" distR="0" wp14:anchorId="59181538" wp14:editId="0BF2EF39">
                  <wp:extent cx="807720" cy="807720"/>
                  <wp:effectExtent l="0" t="0" r="0" b="0"/>
                  <wp:docPr id="6" name="Picture 6"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vAlign w:val="center"/>
          </w:tcPr>
          <w:p w14:paraId="7AD7FF28" w14:textId="77777777" w:rsidR="00884D12" w:rsidRPr="0092378B" w:rsidRDefault="00884D12" w:rsidP="00884D12">
            <w:pPr>
              <w:spacing w:before="0"/>
              <w:rPr>
                <w:rFonts w:cs="Times New Roman Bold"/>
                <w:b/>
                <w:bCs/>
                <w:smallCaps/>
                <w:sz w:val="26"/>
                <w:szCs w:val="26"/>
                <w:lang w:val="es-ES"/>
              </w:rPr>
            </w:pPr>
            <w:r w:rsidRPr="0092378B">
              <w:rPr>
                <w:rFonts w:cs="Times New Roman Bold"/>
                <w:b/>
                <w:bCs/>
                <w:smallCaps/>
                <w:sz w:val="36"/>
                <w:szCs w:val="36"/>
                <w:lang w:val="es-ES"/>
              </w:rPr>
              <w:t>Unión Internacional de Telecomunicaciones</w:t>
            </w:r>
          </w:p>
          <w:p w14:paraId="4B649119" w14:textId="77777777" w:rsidR="00884D12" w:rsidRPr="0092378B" w:rsidRDefault="00884D12" w:rsidP="00884D12">
            <w:pPr>
              <w:tabs>
                <w:tab w:val="right" w:pos="8732"/>
              </w:tabs>
              <w:spacing w:before="0"/>
              <w:rPr>
                <w:b/>
                <w:bCs/>
                <w:iCs/>
                <w:color w:val="FFFFFF"/>
                <w:sz w:val="30"/>
                <w:szCs w:val="30"/>
                <w:lang w:val="es-ES"/>
              </w:rPr>
            </w:pPr>
            <w:r w:rsidRPr="0092378B">
              <w:rPr>
                <w:rFonts w:cs="Times New Roman Bold"/>
                <w:b/>
                <w:bCs/>
                <w:iCs/>
                <w:smallCaps/>
                <w:sz w:val="28"/>
                <w:szCs w:val="28"/>
                <w:lang w:val="es-ES"/>
              </w:rPr>
              <w:t>Oficina de Normalización de las Telecomunicaciones</w:t>
            </w:r>
          </w:p>
        </w:tc>
        <w:tc>
          <w:tcPr>
            <w:tcW w:w="1984" w:type="dxa"/>
            <w:vAlign w:val="center"/>
          </w:tcPr>
          <w:p w14:paraId="6C1F57C0" w14:textId="77777777" w:rsidR="00884D12" w:rsidRPr="0092378B" w:rsidRDefault="00884D12" w:rsidP="00CB634F">
            <w:pPr>
              <w:spacing w:before="0"/>
              <w:jc w:val="right"/>
              <w:rPr>
                <w:color w:val="FFFFFF"/>
                <w:sz w:val="26"/>
                <w:szCs w:val="26"/>
                <w:lang w:val="es-ES"/>
              </w:rPr>
            </w:pPr>
          </w:p>
        </w:tc>
      </w:tr>
    </w:tbl>
    <w:p w14:paraId="1D8C2127" w14:textId="77777777" w:rsidR="00C34772" w:rsidRPr="0092378B" w:rsidRDefault="00C34772" w:rsidP="00303D62">
      <w:pPr>
        <w:tabs>
          <w:tab w:val="clear" w:pos="794"/>
          <w:tab w:val="clear" w:pos="1191"/>
          <w:tab w:val="clear" w:pos="1588"/>
          <w:tab w:val="clear" w:pos="1985"/>
          <w:tab w:val="left" w:pos="4962"/>
        </w:tabs>
        <w:rPr>
          <w:lang w:val="es-ES"/>
        </w:rPr>
      </w:pPr>
    </w:p>
    <w:p w14:paraId="23E08978" w14:textId="4B1CBFC2" w:rsidR="00C34772" w:rsidRPr="0092378B" w:rsidRDefault="00C34772" w:rsidP="0098109A">
      <w:pPr>
        <w:tabs>
          <w:tab w:val="clear" w:pos="794"/>
          <w:tab w:val="clear" w:pos="1191"/>
          <w:tab w:val="clear" w:pos="1588"/>
          <w:tab w:val="clear" w:pos="1985"/>
          <w:tab w:val="left" w:pos="4962"/>
        </w:tabs>
        <w:spacing w:after="360"/>
        <w:rPr>
          <w:lang w:val="es-ES"/>
        </w:rPr>
      </w:pPr>
      <w:r w:rsidRPr="0092378B">
        <w:rPr>
          <w:lang w:val="es-ES"/>
        </w:rPr>
        <w:tab/>
      </w:r>
      <w:r w:rsidR="002F45CD" w:rsidRPr="0092378B">
        <w:rPr>
          <w:lang w:val="es-ES"/>
        </w:rPr>
        <w:t>Ginebra, 2</w:t>
      </w:r>
      <w:r w:rsidR="002B3C27" w:rsidRPr="0092378B">
        <w:rPr>
          <w:lang w:val="es-ES"/>
        </w:rPr>
        <w:t>1</w:t>
      </w:r>
      <w:r w:rsidR="002F45CD" w:rsidRPr="0092378B">
        <w:rPr>
          <w:lang w:val="es-ES"/>
        </w:rPr>
        <w:t xml:space="preserve"> de </w:t>
      </w:r>
      <w:r w:rsidR="002B3C27" w:rsidRPr="0092378B">
        <w:rPr>
          <w:lang w:val="es-ES"/>
        </w:rPr>
        <w:t>noviembre</w:t>
      </w:r>
      <w:r w:rsidR="002F45CD" w:rsidRPr="0092378B">
        <w:rPr>
          <w:lang w:val="es-ES"/>
        </w:rPr>
        <w:t xml:space="preserve"> de 201</w:t>
      </w:r>
      <w:r w:rsidR="002B3C27" w:rsidRPr="0092378B">
        <w:rPr>
          <w:lang w:val="es-ES"/>
        </w:rPr>
        <w:t>9</w:t>
      </w:r>
    </w:p>
    <w:p w14:paraId="78069230" w14:textId="77777777" w:rsidR="00C34772" w:rsidRPr="0092378B"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65459C" w:rsidRPr="0092378B" w14:paraId="0A694E66" w14:textId="77777777" w:rsidTr="0065459C">
        <w:trPr>
          <w:cantSplit/>
          <w:trHeight w:val="426"/>
        </w:trPr>
        <w:tc>
          <w:tcPr>
            <w:tcW w:w="1126" w:type="dxa"/>
          </w:tcPr>
          <w:p w14:paraId="2F233439" w14:textId="77777777" w:rsidR="0065459C" w:rsidRPr="0092378B" w:rsidRDefault="0065459C" w:rsidP="0065459C">
            <w:pPr>
              <w:spacing w:before="0"/>
              <w:ind w:left="57"/>
              <w:rPr>
                <w:lang w:val="es-ES"/>
              </w:rPr>
            </w:pPr>
            <w:r w:rsidRPr="0092378B">
              <w:rPr>
                <w:lang w:val="es-ES"/>
              </w:rPr>
              <w:t>Ref.:</w:t>
            </w:r>
          </w:p>
          <w:p w14:paraId="7497410D" w14:textId="77777777" w:rsidR="0065459C" w:rsidRPr="0092378B" w:rsidRDefault="0065459C" w:rsidP="0065459C">
            <w:pPr>
              <w:spacing w:before="0"/>
              <w:ind w:left="57"/>
              <w:rPr>
                <w:lang w:val="es-ES"/>
              </w:rPr>
            </w:pPr>
          </w:p>
        </w:tc>
        <w:tc>
          <w:tcPr>
            <w:tcW w:w="3751" w:type="dxa"/>
          </w:tcPr>
          <w:p w14:paraId="69A78176" w14:textId="53E226D1" w:rsidR="0065459C" w:rsidRPr="0092378B" w:rsidRDefault="0065459C" w:rsidP="0065459C">
            <w:pPr>
              <w:spacing w:before="0"/>
              <w:ind w:left="57"/>
              <w:rPr>
                <w:b/>
                <w:bCs/>
                <w:lang w:val="es-ES"/>
              </w:rPr>
            </w:pPr>
            <w:r w:rsidRPr="0092378B">
              <w:rPr>
                <w:b/>
                <w:bCs/>
                <w:lang w:val="es-ES"/>
              </w:rPr>
              <w:t xml:space="preserve">Circular TSB </w:t>
            </w:r>
            <w:r w:rsidR="002B3C27" w:rsidRPr="0092378B">
              <w:rPr>
                <w:b/>
                <w:bCs/>
                <w:lang w:val="es-ES"/>
              </w:rPr>
              <w:t>209</w:t>
            </w:r>
          </w:p>
          <w:p w14:paraId="5A1E81E1" w14:textId="77777777" w:rsidR="0065459C" w:rsidRPr="0092378B" w:rsidRDefault="0065459C" w:rsidP="0065459C">
            <w:pPr>
              <w:tabs>
                <w:tab w:val="left" w:pos="4111"/>
              </w:tabs>
              <w:spacing w:before="0"/>
              <w:ind w:left="57"/>
              <w:rPr>
                <w:lang w:val="es-ES"/>
              </w:rPr>
            </w:pPr>
          </w:p>
        </w:tc>
        <w:tc>
          <w:tcPr>
            <w:tcW w:w="5329" w:type="dxa"/>
            <w:vMerge w:val="restart"/>
          </w:tcPr>
          <w:p w14:paraId="31D9BB50" w14:textId="77777777" w:rsidR="00450B12" w:rsidRPr="00450B12" w:rsidRDefault="00450B12" w:rsidP="00741384">
            <w:pPr>
              <w:tabs>
                <w:tab w:val="clear" w:pos="794"/>
                <w:tab w:val="clear" w:pos="1191"/>
                <w:tab w:val="clear" w:pos="1588"/>
                <w:tab w:val="clear" w:pos="1985"/>
                <w:tab w:val="left" w:pos="284"/>
              </w:tabs>
              <w:spacing w:before="0"/>
              <w:ind w:left="284" w:hanging="227"/>
              <w:rPr>
                <w:b/>
                <w:bCs/>
                <w:lang w:val="es-ES"/>
              </w:rPr>
            </w:pPr>
            <w:bookmarkStart w:id="0" w:name="Addressee_S"/>
            <w:bookmarkEnd w:id="0"/>
            <w:r w:rsidRPr="00450B12">
              <w:rPr>
                <w:b/>
                <w:bCs/>
                <w:lang w:val="es-ES"/>
              </w:rPr>
              <w:t>A:</w:t>
            </w:r>
          </w:p>
          <w:p w14:paraId="5F6971CC" w14:textId="08F3C5AE" w:rsidR="0065459C" w:rsidRPr="0092378B" w:rsidRDefault="0065459C" w:rsidP="00741384">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t xml:space="preserve">las Administraciones de los Estados Miembros </w:t>
            </w:r>
            <w:r w:rsidRPr="0092378B">
              <w:rPr>
                <w:lang w:val="es-ES"/>
              </w:rPr>
              <w:br/>
              <w:t>de la Unión;</w:t>
            </w:r>
          </w:p>
          <w:p w14:paraId="6B3F8FE0" w14:textId="0AF360FB" w:rsidR="0065459C" w:rsidRPr="0092378B" w:rsidRDefault="0065459C" w:rsidP="00741384">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t>los Miembros de Sector del UIT-T;</w:t>
            </w:r>
          </w:p>
          <w:p w14:paraId="007F6C61" w14:textId="35DC3C93" w:rsidR="0065459C" w:rsidRPr="0092378B" w:rsidRDefault="0065459C" w:rsidP="00741384">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t>los Asociados del UIT-T;</w:t>
            </w:r>
          </w:p>
          <w:p w14:paraId="336D7D36" w14:textId="5D0CA081" w:rsidR="0065459C" w:rsidRPr="0092378B" w:rsidRDefault="0065459C" w:rsidP="00741384">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t>las Instituciones Académicas de la UIT</w:t>
            </w:r>
          </w:p>
        </w:tc>
      </w:tr>
      <w:tr w:rsidR="0065459C" w:rsidRPr="0092378B" w14:paraId="13F6DFF9" w14:textId="77777777" w:rsidTr="0065459C">
        <w:trPr>
          <w:cantSplit/>
          <w:trHeight w:val="425"/>
        </w:trPr>
        <w:tc>
          <w:tcPr>
            <w:tcW w:w="1126" w:type="dxa"/>
          </w:tcPr>
          <w:p w14:paraId="04F14C81" w14:textId="77777777" w:rsidR="0065459C" w:rsidRPr="0092378B" w:rsidRDefault="0065459C" w:rsidP="0065459C">
            <w:pPr>
              <w:spacing w:before="0"/>
              <w:ind w:left="57"/>
              <w:rPr>
                <w:lang w:val="es-ES"/>
              </w:rPr>
            </w:pPr>
            <w:r w:rsidRPr="0092378B">
              <w:rPr>
                <w:lang w:val="es-ES"/>
              </w:rPr>
              <w:t>Tel.:</w:t>
            </w:r>
          </w:p>
        </w:tc>
        <w:tc>
          <w:tcPr>
            <w:tcW w:w="3751" w:type="dxa"/>
          </w:tcPr>
          <w:p w14:paraId="3810977D" w14:textId="77777777" w:rsidR="0065459C" w:rsidRPr="0092378B" w:rsidRDefault="0065459C" w:rsidP="0065459C">
            <w:pPr>
              <w:spacing w:before="0"/>
              <w:ind w:left="57"/>
              <w:rPr>
                <w:lang w:val="es-ES"/>
              </w:rPr>
            </w:pPr>
            <w:r w:rsidRPr="0092378B">
              <w:rPr>
                <w:lang w:val="es-ES"/>
              </w:rPr>
              <w:t>+41 22 730 6805</w:t>
            </w:r>
          </w:p>
        </w:tc>
        <w:tc>
          <w:tcPr>
            <w:tcW w:w="5329" w:type="dxa"/>
            <w:vMerge/>
          </w:tcPr>
          <w:p w14:paraId="6F907574" w14:textId="77777777" w:rsidR="0065459C" w:rsidRPr="0092378B" w:rsidRDefault="0065459C" w:rsidP="0065459C">
            <w:pPr>
              <w:spacing w:before="0"/>
              <w:ind w:left="57"/>
              <w:rPr>
                <w:b/>
                <w:bCs/>
                <w:lang w:val="es-ES"/>
              </w:rPr>
            </w:pPr>
          </w:p>
        </w:tc>
      </w:tr>
      <w:tr w:rsidR="0065459C" w:rsidRPr="0092378B" w14:paraId="75AF21CE" w14:textId="77777777" w:rsidTr="0065459C">
        <w:trPr>
          <w:cantSplit/>
          <w:trHeight w:val="425"/>
        </w:trPr>
        <w:tc>
          <w:tcPr>
            <w:tcW w:w="1126" w:type="dxa"/>
          </w:tcPr>
          <w:p w14:paraId="00FB1E9D" w14:textId="77777777" w:rsidR="0065459C" w:rsidRPr="0092378B" w:rsidRDefault="0065459C" w:rsidP="0065459C">
            <w:pPr>
              <w:spacing w:before="0"/>
              <w:ind w:left="57"/>
              <w:rPr>
                <w:lang w:val="es-ES"/>
              </w:rPr>
            </w:pPr>
            <w:r w:rsidRPr="0092378B">
              <w:rPr>
                <w:lang w:val="es-ES"/>
              </w:rPr>
              <w:t>Fax:</w:t>
            </w:r>
          </w:p>
        </w:tc>
        <w:tc>
          <w:tcPr>
            <w:tcW w:w="3751" w:type="dxa"/>
          </w:tcPr>
          <w:p w14:paraId="3CD227A1" w14:textId="77777777" w:rsidR="0065459C" w:rsidRPr="0092378B" w:rsidRDefault="0065459C" w:rsidP="0065459C">
            <w:pPr>
              <w:spacing w:before="0"/>
              <w:ind w:left="57"/>
              <w:rPr>
                <w:lang w:val="es-ES"/>
              </w:rPr>
            </w:pPr>
            <w:r w:rsidRPr="0092378B">
              <w:rPr>
                <w:lang w:val="es-ES"/>
              </w:rPr>
              <w:t>+41 22 730 5853</w:t>
            </w:r>
          </w:p>
        </w:tc>
        <w:tc>
          <w:tcPr>
            <w:tcW w:w="5329" w:type="dxa"/>
            <w:vMerge/>
          </w:tcPr>
          <w:p w14:paraId="654726FA" w14:textId="77777777" w:rsidR="0065459C" w:rsidRPr="0092378B" w:rsidRDefault="0065459C" w:rsidP="0065459C">
            <w:pPr>
              <w:spacing w:before="0"/>
              <w:ind w:left="57"/>
              <w:rPr>
                <w:b/>
                <w:bCs/>
                <w:lang w:val="es-ES"/>
              </w:rPr>
            </w:pPr>
          </w:p>
        </w:tc>
      </w:tr>
      <w:tr w:rsidR="00C34772" w:rsidRPr="0092378B" w14:paraId="41D6370A" w14:textId="77777777" w:rsidTr="0065459C">
        <w:trPr>
          <w:cantSplit/>
        </w:trPr>
        <w:tc>
          <w:tcPr>
            <w:tcW w:w="1126" w:type="dxa"/>
          </w:tcPr>
          <w:p w14:paraId="5AB0C5A2" w14:textId="77777777" w:rsidR="00C34772" w:rsidRPr="0092378B" w:rsidRDefault="00C34772" w:rsidP="0065459C">
            <w:pPr>
              <w:spacing w:before="0"/>
              <w:ind w:left="57"/>
              <w:rPr>
                <w:lang w:val="es-ES"/>
              </w:rPr>
            </w:pPr>
            <w:r w:rsidRPr="0092378B">
              <w:rPr>
                <w:lang w:val="es-ES"/>
              </w:rPr>
              <w:t>Correo-e:</w:t>
            </w:r>
          </w:p>
        </w:tc>
        <w:tc>
          <w:tcPr>
            <w:tcW w:w="3751" w:type="dxa"/>
          </w:tcPr>
          <w:p w14:paraId="4A9AC3F9" w14:textId="6C1BCB9E" w:rsidR="00C34772" w:rsidRPr="0092378B" w:rsidRDefault="00666B08" w:rsidP="002F45CD">
            <w:pPr>
              <w:tabs>
                <w:tab w:val="left" w:pos="4111"/>
              </w:tabs>
              <w:spacing w:before="0"/>
              <w:ind w:left="57"/>
              <w:rPr>
                <w:lang w:val="es-ES"/>
              </w:rPr>
            </w:pPr>
            <w:hyperlink r:id="rId9" w:history="1">
              <w:r w:rsidR="00C53A8B" w:rsidRPr="0092378B">
                <w:rPr>
                  <w:rStyle w:val="Hyperlink"/>
                  <w:lang w:val="es-ES"/>
                </w:rPr>
                <w:t>tsbfgai4ad@itu.int</w:t>
              </w:r>
            </w:hyperlink>
          </w:p>
        </w:tc>
        <w:tc>
          <w:tcPr>
            <w:tcW w:w="5329" w:type="dxa"/>
          </w:tcPr>
          <w:p w14:paraId="2E5D056B" w14:textId="77777777" w:rsidR="002F45CD" w:rsidRPr="0092378B" w:rsidRDefault="002F45CD" w:rsidP="0098109A">
            <w:pPr>
              <w:ind w:left="57"/>
              <w:rPr>
                <w:b/>
                <w:bCs/>
                <w:lang w:val="es-ES"/>
              </w:rPr>
            </w:pPr>
            <w:r w:rsidRPr="0092378B">
              <w:rPr>
                <w:b/>
                <w:bCs/>
                <w:lang w:val="es-ES"/>
              </w:rPr>
              <w:t>Copia:</w:t>
            </w:r>
          </w:p>
          <w:p w14:paraId="41A5AB2B" w14:textId="37E84CD2" w:rsidR="002F45CD" w:rsidRPr="0092378B" w:rsidRDefault="002F45CD" w:rsidP="002F45CD">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r>
            <w:r w:rsidR="00450B12">
              <w:rPr>
                <w:lang w:val="es-ES"/>
              </w:rPr>
              <w:t>a</w:t>
            </w:r>
            <w:r w:rsidRPr="0092378B">
              <w:rPr>
                <w:lang w:val="es-ES"/>
              </w:rPr>
              <w:t xml:space="preserve"> los Presidentes y Vicepresidentes de las Comisiones de Estudio del UIT-T;</w:t>
            </w:r>
          </w:p>
          <w:p w14:paraId="0BA46D89" w14:textId="28613374" w:rsidR="002F45CD" w:rsidRPr="0092378B" w:rsidRDefault="002F45CD" w:rsidP="002F45CD">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r>
            <w:r w:rsidR="00450B12">
              <w:rPr>
                <w:lang w:val="es-ES"/>
              </w:rPr>
              <w:t>a</w:t>
            </w:r>
            <w:r w:rsidRPr="0092378B">
              <w:rPr>
                <w:lang w:val="es-ES"/>
              </w:rPr>
              <w:t>l Director de la Oficina de Radiocomunicaciones;</w:t>
            </w:r>
          </w:p>
          <w:p w14:paraId="3E0ADD3D" w14:textId="74F0B3F9" w:rsidR="00C34772" w:rsidRPr="0092378B" w:rsidRDefault="002F45CD" w:rsidP="002F45CD">
            <w:pPr>
              <w:tabs>
                <w:tab w:val="clear" w:pos="794"/>
                <w:tab w:val="clear" w:pos="1191"/>
                <w:tab w:val="clear" w:pos="1588"/>
                <w:tab w:val="clear" w:pos="1985"/>
                <w:tab w:val="left" w:pos="284"/>
              </w:tabs>
              <w:spacing w:before="0"/>
              <w:ind w:left="284" w:hanging="227"/>
              <w:rPr>
                <w:lang w:val="es-ES"/>
              </w:rPr>
            </w:pPr>
            <w:r w:rsidRPr="0092378B">
              <w:rPr>
                <w:lang w:val="es-ES"/>
              </w:rPr>
              <w:t>–</w:t>
            </w:r>
            <w:r w:rsidRPr="0092378B">
              <w:rPr>
                <w:lang w:val="es-ES"/>
              </w:rPr>
              <w:tab/>
            </w:r>
            <w:r w:rsidR="00450B12">
              <w:rPr>
                <w:lang w:val="es-ES"/>
              </w:rPr>
              <w:t>a</w:t>
            </w:r>
            <w:r w:rsidR="00576836" w:rsidRPr="0092378B">
              <w:rPr>
                <w:lang w:val="es-ES"/>
              </w:rPr>
              <w:t xml:space="preserve"> </w:t>
            </w:r>
            <w:r w:rsidRPr="0092378B">
              <w:rPr>
                <w:lang w:val="es-ES"/>
              </w:rPr>
              <w:t>l</w:t>
            </w:r>
            <w:r w:rsidR="00576836" w:rsidRPr="0092378B">
              <w:rPr>
                <w:lang w:val="es-ES"/>
              </w:rPr>
              <w:t>a</w:t>
            </w:r>
            <w:r w:rsidRPr="0092378B">
              <w:rPr>
                <w:lang w:val="es-ES"/>
              </w:rPr>
              <w:t xml:space="preserve"> Director</w:t>
            </w:r>
            <w:r w:rsidR="00576836" w:rsidRPr="0092378B">
              <w:rPr>
                <w:lang w:val="es-ES"/>
              </w:rPr>
              <w:t>a</w:t>
            </w:r>
            <w:r w:rsidRPr="0092378B">
              <w:rPr>
                <w:lang w:val="es-ES"/>
              </w:rPr>
              <w:t xml:space="preserve"> de la Oficina de Desarrollo de las Telecomunicaciones</w:t>
            </w:r>
          </w:p>
        </w:tc>
      </w:tr>
      <w:tr w:rsidR="0065459C" w:rsidRPr="0092378B" w14:paraId="4D55E369" w14:textId="77777777" w:rsidTr="0065459C">
        <w:trPr>
          <w:cantSplit/>
        </w:trPr>
        <w:tc>
          <w:tcPr>
            <w:tcW w:w="1126" w:type="dxa"/>
          </w:tcPr>
          <w:p w14:paraId="520A5838" w14:textId="77777777" w:rsidR="0065459C" w:rsidRPr="0092378B" w:rsidRDefault="0065459C" w:rsidP="0098109A">
            <w:pPr>
              <w:spacing w:before="360" w:after="120"/>
              <w:ind w:left="58"/>
              <w:rPr>
                <w:lang w:val="es-ES"/>
              </w:rPr>
            </w:pPr>
            <w:r w:rsidRPr="0092378B">
              <w:rPr>
                <w:lang w:val="es-ES"/>
              </w:rPr>
              <w:t>Asunto:</w:t>
            </w:r>
          </w:p>
        </w:tc>
        <w:tc>
          <w:tcPr>
            <w:tcW w:w="9080" w:type="dxa"/>
            <w:gridSpan w:val="2"/>
          </w:tcPr>
          <w:p w14:paraId="71E73129" w14:textId="4CC542E6" w:rsidR="0065459C" w:rsidRPr="0092378B" w:rsidRDefault="00576836" w:rsidP="0098109A">
            <w:pPr>
              <w:spacing w:before="360" w:after="120"/>
              <w:ind w:left="58"/>
              <w:rPr>
                <w:b/>
                <w:bCs/>
                <w:lang w:val="es-ES"/>
              </w:rPr>
            </w:pPr>
            <w:r w:rsidRPr="0092378B">
              <w:rPr>
                <w:b/>
                <w:bCs/>
                <w:lang w:val="es-ES"/>
              </w:rPr>
              <w:t>Creación</w:t>
            </w:r>
            <w:r w:rsidR="0065459C" w:rsidRPr="0092378B">
              <w:rPr>
                <w:b/>
                <w:bCs/>
                <w:lang w:val="es-ES"/>
              </w:rPr>
              <w:t xml:space="preserve"> del nuevo Grupo Temático del UIT-T sobre</w:t>
            </w:r>
            <w:r w:rsidRPr="0092378B">
              <w:rPr>
                <w:lang w:val="es-ES"/>
              </w:rPr>
              <w:t xml:space="preserve"> </w:t>
            </w:r>
            <w:r w:rsidRPr="0092378B">
              <w:rPr>
                <w:b/>
                <w:bCs/>
                <w:lang w:val="es-ES"/>
              </w:rPr>
              <w:t>IA para la conducción autónoma y asistida</w:t>
            </w:r>
            <w:r w:rsidR="0065459C" w:rsidRPr="0092378B">
              <w:rPr>
                <w:b/>
                <w:bCs/>
                <w:lang w:val="es-ES"/>
              </w:rPr>
              <w:t xml:space="preserve"> (FG</w:t>
            </w:r>
            <w:r w:rsidR="0065459C" w:rsidRPr="0092378B">
              <w:rPr>
                <w:b/>
                <w:bCs/>
                <w:lang w:val="es-ES"/>
              </w:rPr>
              <w:noBreakHyphen/>
            </w:r>
            <w:r w:rsidR="007974CB" w:rsidRPr="0092378B">
              <w:rPr>
                <w:b/>
                <w:bCs/>
                <w:lang w:val="es-ES"/>
              </w:rPr>
              <w:t>AI4AD</w:t>
            </w:r>
            <w:r w:rsidR="0065459C" w:rsidRPr="0092378B">
              <w:rPr>
                <w:b/>
                <w:bCs/>
                <w:lang w:val="es-ES"/>
              </w:rPr>
              <w:t>) y celebración de su pri</w:t>
            </w:r>
            <w:r w:rsidR="00741384" w:rsidRPr="0092378B">
              <w:rPr>
                <w:b/>
                <w:bCs/>
                <w:lang w:val="es-ES"/>
              </w:rPr>
              <w:t>mera reunión</w:t>
            </w:r>
            <w:r w:rsidRPr="0092378B">
              <w:rPr>
                <w:b/>
                <w:bCs/>
                <w:lang w:val="es-ES"/>
              </w:rPr>
              <w:t xml:space="preserve">, que incluirá un taller, </w:t>
            </w:r>
            <w:r w:rsidR="00741384" w:rsidRPr="0092378B">
              <w:rPr>
                <w:b/>
                <w:bCs/>
                <w:lang w:val="es-ES"/>
              </w:rPr>
              <w:t xml:space="preserve">en </w:t>
            </w:r>
            <w:r w:rsidR="007974CB" w:rsidRPr="0092378B">
              <w:rPr>
                <w:b/>
                <w:bCs/>
                <w:lang w:val="es-ES"/>
              </w:rPr>
              <w:t>Londres (Reino Unido)</w:t>
            </w:r>
            <w:r w:rsidRPr="0092378B">
              <w:rPr>
                <w:b/>
                <w:bCs/>
                <w:lang w:val="es-ES"/>
              </w:rPr>
              <w:t xml:space="preserve"> </w:t>
            </w:r>
            <w:r w:rsidR="004B046F">
              <w:rPr>
                <w:b/>
                <w:bCs/>
                <w:lang w:val="es-ES"/>
              </w:rPr>
              <w:t>del</w:t>
            </w:r>
            <w:r w:rsidR="0065459C" w:rsidRPr="0092378B">
              <w:rPr>
                <w:b/>
                <w:bCs/>
                <w:lang w:val="es-ES"/>
              </w:rPr>
              <w:t xml:space="preserve"> </w:t>
            </w:r>
            <w:r w:rsidR="007974CB" w:rsidRPr="0092378B">
              <w:rPr>
                <w:b/>
                <w:bCs/>
                <w:lang w:val="es-ES"/>
              </w:rPr>
              <w:t>21</w:t>
            </w:r>
            <w:r w:rsidRPr="0092378B">
              <w:rPr>
                <w:b/>
                <w:bCs/>
                <w:lang w:val="es-ES"/>
              </w:rPr>
              <w:t xml:space="preserve"> </w:t>
            </w:r>
            <w:r w:rsidR="004B046F">
              <w:rPr>
                <w:b/>
                <w:bCs/>
                <w:lang w:val="es-ES"/>
              </w:rPr>
              <w:t>al</w:t>
            </w:r>
            <w:r w:rsidRPr="0092378B">
              <w:rPr>
                <w:b/>
                <w:bCs/>
                <w:lang w:val="es-ES"/>
              </w:rPr>
              <w:t xml:space="preserve"> </w:t>
            </w:r>
            <w:r w:rsidR="007974CB" w:rsidRPr="0092378B">
              <w:rPr>
                <w:b/>
                <w:bCs/>
                <w:lang w:val="es-ES"/>
              </w:rPr>
              <w:t>22</w:t>
            </w:r>
            <w:r w:rsidR="0065459C" w:rsidRPr="0092378B">
              <w:rPr>
                <w:b/>
                <w:bCs/>
                <w:lang w:val="es-ES"/>
              </w:rPr>
              <w:t xml:space="preserve"> de </w:t>
            </w:r>
            <w:r w:rsidR="007974CB" w:rsidRPr="0092378B">
              <w:rPr>
                <w:b/>
                <w:bCs/>
                <w:lang w:val="es-ES"/>
              </w:rPr>
              <w:t>enero</w:t>
            </w:r>
            <w:r w:rsidR="0065459C" w:rsidRPr="0092378B">
              <w:rPr>
                <w:b/>
                <w:bCs/>
                <w:lang w:val="es-ES"/>
              </w:rPr>
              <w:t xml:space="preserve"> de </w:t>
            </w:r>
            <w:r w:rsidR="007974CB" w:rsidRPr="0092378B">
              <w:rPr>
                <w:b/>
                <w:bCs/>
                <w:lang w:val="es-ES"/>
              </w:rPr>
              <w:t>2020</w:t>
            </w:r>
          </w:p>
        </w:tc>
      </w:tr>
    </w:tbl>
    <w:p w14:paraId="7302142D" w14:textId="32142BC7" w:rsidR="00C34772" w:rsidRPr="0092378B" w:rsidRDefault="0098109A" w:rsidP="0098109A">
      <w:pPr>
        <w:pStyle w:val="Normalaftertitle"/>
        <w:spacing w:after="120"/>
        <w:rPr>
          <w:lang w:val="es-ES"/>
        </w:rPr>
      </w:pPr>
      <w:r>
        <w:rPr>
          <w:lang w:val="es-ES"/>
        </w:rPr>
        <w:t xml:space="preserve">Muy Señora mía, </w:t>
      </w:r>
      <w:r w:rsidR="00C216F6">
        <w:rPr>
          <w:lang w:val="es-ES"/>
        </w:rPr>
        <w:t>Muy Señor mío,</w:t>
      </w:r>
    </w:p>
    <w:p w14:paraId="2DE3E054" w14:textId="25DE6297" w:rsidR="00576836" w:rsidRPr="0092378B" w:rsidRDefault="002F45CD" w:rsidP="00576836">
      <w:pPr>
        <w:rPr>
          <w:lang w:val="es-ES"/>
        </w:rPr>
      </w:pPr>
      <w:r w:rsidRPr="0092378B">
        <w:rPr>
          <w:lang w:val="es-ES"/>
        </w:rPr>
        <w:t>1</w:t>
      </w:r>
      <w:r w:rsidRPr="0092378B">
        <w:rPr>
          <w:lang w:val="es-ES"/>
        </w:rPr>
        <w:tab/>
        <w:t>A raíz del acuerdo alcanzado por la Comisión de Estudio 16</w:t>
      </w:r>
      <w:r w:rsidR="00741384" w:rsidRPr="0092378B">
        <w:rPr>
          <w:lang w:val="es-ES"/>
        </w:rPr>
        <w:t xml:space="preserve"> del UIT-T</w:t>
      </w:r>
      <w:r w:rsidRPr="0092378B">
        <w:rPr>
          <w:lang w:val="es-ES"/>
        </w:rPr>
        <w:t xml:space="preserve"> en su reunión celebrada en </w:t>
      </w:r>
      <w:r w:rsidR="00FC2298" w:rsidRPr="0092378B">
        <w:rPr>
          <w:lang w:val="es-ES"/>
        </w:rPr>
        <w:t>Ginebra (7-17 de octubre de 2019</w:t>
      </w:r>
      <w:r w:rsidRPr="0092378B">
        <w:rPr>
          <w:lang w:val="es-ES"/>
        </w:rPr>
        <w:t xml:space="preserve">), tengo el placer de anunciarle </w:t>
      </w:r>
      <w:r w:rsidR="00576836" w:rsidRPr="0092378B">
        <w:rPr>
          <w:lang w:val="es-ES"/>
        </w:rPr>
        <w:t>la creación del</w:t>
      </w:r>
      <w:r w:rsidRPr="0092378B">
        <w:rPr>
          <w:lang w:val="es-ES"/>
        </w:rPr>
        <w:t xml:space="preserve"> Grupo Temático del UIT-T sobre </w:t>
      </w:r>
      <w:r w:rsidR="00576836" w:rsidRPr="0092378B">
        <w:rPr>
          <w:lang w:val="es-ES"/>
        </w:rPr>
        <w:t>IA para la conducción autónoma y asistida (FG</w:t>
      </w:r>
      <w:r w:rsidR="00341824">
        <w:rPr>
          <w:lang w:val="es-ES"/>
        </w:rPr>
        <w:t>-</w:t>
      </w:r>
      <w:r w:rsidR="00576836" w:rsidRPr="0092378B">
        <w:rPr>
          <w:lang w:val="es-ES"/>
        </w:rPr>
        <w:t>AI4AD)</w:t>
      </w:r>
      <w:r w:rsidRPr="0092378B">
        <w:rPr>
          <w:lang w:val="es-ES"/>
        </w:rPr>
        <w:t>,</w:t>
      </w:r>
      <w:r w:rsidR="00576836" w:rsidRPr="0092378B">
        <w:rPr>
          <w:lang w:val="es-ES"/>
        </w:rPr>
        <w:t xml:space="preserve"> cuya presidencia asumirá el Sr.</w:t>
      </w:r>
      <w:r w:rsidRPr="0092378B">
        <w:rPr>
          <w:lang w:val="es-ES"/>
        </w:rPr>
        <w:t xml:space="preserve"> </w:t>
      </w:r>
      <w:r w:rsidR="00FC2298" w:rsidRPr="0092378B">
        <w:rPr>
          <w:lang w:val="es-ES"/>
        </w:rPr>
        <w:t>Bryn James Balcombe</w:t>
      </w:r>
      <w:r w:rsidR="0074554E">
        <w:rPr>
          <w:lang w:val="es-ES"/>
        </w:rPr>
        <w:t xml:space="preserve"> (Reino Unido) de la</w:t>
      </w:r>
      <w:r w:rsidR="00FC2298" w:rsidRPr="0092378B">
        <w:rPr>
          <w:lang w:val="es-ES"/>
        </w:rPr>
        <w:t xml:space="preserve"> </w:t>
      </w:r>
      <w:r w:rsidR="00FC2298" w:rsidRPr="009218CD">
        <w:rPr>
          <w:lang w:val="es-ES"/>
        </w:rPr>
        <w:t xml:space="preserve">Autonomous Drivers Alliance </w:t>
      </w:r>
      <w:r w:rsidR="00FC2298" w:rsidRPr="0092378B">
        <w:rPr>
          <w:lang w:val="es-ES"/>
        </w:rPr>
        <w:t>(ADA</w:t>
      </w:r>
      <w:r w:rsidR="0074554E">
        <w:rPr>
          <w:lang w:val="es-ES"/>
        </w:rPr>
        <w:t>)</w:t>
      </w:r>
      <w:r w:rsidR="00576836" w:rsidRPr="0092378B">
        <w:rPr>
          <w:lang w:val="es-ES"/>
        </w:rPr>
        <w:t>.</w:t>
      </w:r>
    </w:p>
    <w:p w14:paraId="4267F290" w14:textId="19D76E36" w:rsidR="003405F1" w:rsidRDefault="00C955F4" w:rsidP="006321BC">
      <w:pPr>
        <w:rPr>
          <w:lang w:val="es-ES"/>
        </w:rPr>
      </w:pPr>
      <w:r w:rsidRPr="0092378B">
        <w:rPr>
          <w:lang w:val="es-ES"/>
        </w:rPr>
        <w:t>2</w:t>
      </w:r>
      <w:r w:rsidRPr="0092378B">
        <w:rPr>
          <w:lang w:val="es-ES"/>
        </w:rPr>
        <w:tab/>
      </w:r>
      <w:r w:rsidR="003405F1" w:rsidRPr="0092378B">
        <w:rPr>
          <w:lang w:val="es-ES"/>
        </w:rPr>
        <w:t xml:space="preserve">El objetivo de este Grupo Temático consiste en prestar apoyo a las actividades de normalización de servicios y aplicaciones </w:t>
      </w:r>
      <w:r w:rsidR="00A21566" w:rsidRPr="0092378B">
        <w:rPr>
          <w:lang w:val="es-ES"/>
        </w:rPr>
        <w:t>basado</w:t>
      </w:r>
      <w:r w:rsidR="009F30CD">
        <w:rPr>
          <w:lang w:val="es-ES"/>
        </w:rPr>
        <w:t>s</w:t>
      </w:r>
      <w:r w:rsidR="00A21566" w:rsidRPr="0092378B">
        <w:rPr>
          <w:lang w:val="es-ES"/>
        </w:rPr>
        <w:t xml:space="preserve"> en</w:t>
      </w:r>
      <w:r w:rsidR="003405F1" w:rsidRPr="0092378B">
        <w:rPr>
          <w:lang w:val="es-ES"/>
        </w:rPr>
        <w:t xml:space="preserve"> sistemas de inteligencia artificial en el marco de la conducción autónoma y asistida, conforme a lo estipulado en la Convención sobre la Circulación por Carretera (1949) y la Convención sobre la Circulación Vial (1968). La labor de este Grupo guarda una estrecha relación con la del Foro Mundial de Seguridad Vial de la CEPE</w:t>
      </w:r>
      <w:r w:rsidR="0074554E">
        <w:rPr>
          <w:lang w:val="es-ES"/>
        </w:rPr>
        <w:t xml:space="preserve"> y, en particular, con</w:t>
      </w:r>
      <w:r w:rsidR="009F30CD">
        <w:rPr>
          <w:lang w:val="es-ES"/>
        </w:rPr>
        <w:t xml:space="preserve"> la de</w:t>
      </w:r>
      <w:r w:rsidR="0074554E">
        <w:rPr>
          <w:lang w:val="es-ES"/>
        </w:rPr>
        <w:t xml:space="preserve"> </w:t>
      </w:r>
      <w:r w:rsidR="009F30CD">
        <w:rPr>
          <w:lang w:val="es-ES"/>
        </w:rPr>
        <w:t>sus grupos</w:t>
      </w:r>
      <w:r w:rsidR="006321BC" w:rsidRPr="0092378B">
        <w:rPr>
          <w:lang w:val="es-ES"/>
        </w:rPr>
        <w:t xml:space="preserve"> GT</w:t>
      </w:r>
      <w:r w:rsidR="009218CD">
        <w:rPr>
          <w:lang w:val="es-ES"/>
        </w:rPr>
        <w:t> </w:t>
      </w:r>
      <w:r w:rsidR="003405F1" w:rsidRPr="0092378B">
        <w:rPr>
          <w:lang w:val="es-ES"/>
        </w:rPr>
        <w:t>1,</w:t>
      </w:r>
      <w:r w:rsidR="006321BC" w:rsidRPr="0092378B">
        <w:rPr>
          <w:lang w:val="es-ES"/>
        </w:rPr>
        <w:t xml:space="preserve"> GT</w:t>
      </w:r>
      <w:r w:rsidR="009218CD">
        <w:rPr>
          <w:lang w:val="es-ES"/>
        </w:rPr>
        <w:t> </w:t>
      </w:r>
      <w:r w:rsidR="003405F1" w:rsidRPr="0092378B">
        <w:rPr>
          <w:lang w:val="es-ES"/>
        </w:rPr>
        <w:t>29</w:t>
      </w:r>
      <w:r w:rsidR="006321BC" w:rsidRPr="0092378B">
        <w:rPr>
          <w:lang w:val="es-ES"/>
        </w:rPr>
        <w:t xml:space="preserve"> y </w:t>
      </w:r>
      <w:r w:rsidR="003405F1" w:rsidRPr="0092378B">
        <w:rPr>
          <w:lang w:val="es-ES"/>
        </w:rPr>
        <w:t>GRVA</w:t>
      </w:r>
      <w:r w:rsidR="00DA4E20">
        <w:rPr>
          <w:lang w:val="es-ES"/>
        </w:rPr>
        <w:t>,</w:t>
      </w:r>
      <w:r w:rsidR="00A21566" w:rsidRPr="0092378B">
        <w:rPr>
          <w:lang w:val="es-ES"/>
        </w:rPr>
        <w:t xml:space="preserve"> con l</w:t>
      </w:r>
      <w:r w:rsidR="0074554E">
        <w:rPr>
          <w:lang w:val="es-ES"/>
        </w:rPr>
        <w:t>os</w:t>
      </w:r>
      <w:r w:rsidR="00A21566" w:rsidRPr="0092378B">
        <w:rPr>
          <w:lang w:val="es-ES"/>
        </w:rPr>
        <w:t xml:space="preserve"> que compartirá </w:t>
      </w:r>
      <w:r w:rsidR="003405F1" w:rsidRPr="0092378B">
        <w:rPr>
          <w:lang w:val="es-ES"/>
        </w:rPr>
        <w:t>los avances</w:t>
      </w:r>
      <w:r w:rsidR="00A21566" w:rsidRPr="0092378B">
        <w:rPr>
          <w:lang w:val="es-ES"/>
        </w:rPr>
        <w:t xml:space="preserve"> logrados</w:t>
      </w:r>
      <w:r w:rsidR="003405F1" w:rsidRPr="0092378B">
        <w:rPr>
          <w:lang w:val="es-ES"/>
        </w:rPr>
        <w:t xml:space="preserve">. El </w:t>
      </w:r>
      <w:r w:rsidR="006321BC" w:rsidRPr="0092378B">
        <w:rPr>
          <w:lang w:val="es-ES"/>
        </w:rPr>
        <w:t xml:space="preserve">Grupo Temático tiene por objeto </w:t>
      </w:r>
      <w:r w:rsidR="003405F1" w:rsidRPr="0092378B">
        <w:rPr>
          <w:lang w:val="es-ES"/>
        </w:rPr>
        <w:t xml:space="preserve">establecer un </w:t>
      </w:r>
      <w:r w:rsidR="003405F1" w:rsidRPr="00A073AB">
        <w:rPr>
          <w:lang w:val="es-ES"/>
        </w:rPr>
        <w:t xml:space="preserve">umbral </w:t>
      </w:r>
      <w:r w:rsidR="00DA4E20" w:rsidRPr="00A073AB">
        <w:rPr>
          <w:lang w:val="es-ES"/>
        </w:rPr>
        <w:t xml:space="preserve">mínimo </w:t>
      </w:r>
      <w:r w:rsidR="003405F1" w:rsidRPr="00A073AB">
        <w:rPr>
          <w:lang w:val="es-ES"/>
        </w:rPr>
        <w:t xml:space="preserve">de </w:t>
      </w:r>
      <w:r w:rsidR="006321BC" w:rsidRPr="00A073AB">
        <w:rPr>
          <w:lang w:val="es-ES"/>
        </w:rPr>
        <w:t>calidad de funcionamiento</w:t>
      </w:r>
      <w:r w:rsidR="003405F1" w:rsidRPr="00A073AB">
        <w:rPr>
          <w:lang w:val="es-ES"/>
        </w:rPr>
        <w:t xml:space="preserve"> </w:t>
      </w:r>
      <w:r w:rsidR="00DA4E20" w:rsidRPr="00A073AB">
        <w:rPr>
          <w:lang w:val="es-ES"/>
        </w:rPr>
        <w:t xml:space="preserve">a escala universal </w:t>
      </w:r>
      <w:r w:rsidR="003405F1" w:rsidRPr="00A073AB">
        <w:rPr>
          <w:lang w:val="es-ES"/>
        </w:rPr>
        <w:t>para</w:t>
      </w:r>
      <w:r w:rsidR="00DA4E20" w:rsidRPr="00A073AB">
        <w:rPr>
          <w:lang w:val="es-ES"/>
        </w:rPr>
        <w:t xml:space="preserve"> las</w:t>
      </w:r>
      <w:r w:rsidR="003405F1" w:rsidRPr="00A073AB">
        <w:rPr>
          <w:lang w:val="es-ES"/>
        </w:rPr>
        <w:t xml:space="preserve"> funciones de conducción </w:t>
      </w:r>
      <w:r w:rsidR="00A21566" w:rsidRPr="00A073AB">
        <w:rPr>
          <w:lang w:val="es-ES"/>
        </w:rPr>
        <w:t>basadas en</w:t>
      </w:r>
      <w:r w:rsidR="003405F1" w:rsidRPr="00A073AB">
        <w:rPr>
          <w:lang w:val="es-ES"/>
        </w:rPr>
        <w:t xml:space="preserve"> la IA (</w:t>
      </w:r>
      <w:r w:rsidR="00A21566" w:rsidRPr="00A073AB">
        <w:rPr>
          <w:lang w:val="es-ES"/>
        </w:rPr>
        <w:t>véase</w:t>
      </w:r>
      <w:r w:rsidR="003405F1" w:rsidRPr="00A073AB">
        <w:rPr>
          <w:lang w:val="es-ES"/>
        </w:rPr>
        <w:t xml:space="preserve"> la IA como conductor), </w:t>
      </w:r>
      <w:r w:rsidR="00A21566" w:rsidRPr="00A073AB">
        <w:rPr>
          <w:lang w:val="es-ES"/>
        </w:rPr>
        <w:t>lo</w:t>
      </w:r>
      <w:r w:rsidR="00A21566" w:rsidRPr="0092378B">
        <w:rPr>
          <w:lang w:val="es-ES"/>
        </w:rPr>
        <w:t xml:space="preserve"> que resulta</w:t>
      </w:r>
      <w:r w:rsidR="003405F1" w:rsidRPr="0092378B">
        <w:rPr>
          <w:lang w:val="es-ES"/>
        </w:rPr>
        <w:t xml:space="preserve"> esencial para crear la confianza pública necesaria</w:t>
      </w:r>
      <w:r w:rsidR="00DA4E20">
        <w:rPr>
          <w:lang w:val="es-ES"/>
        </w:rPr>
        <w:t xml:space="preserve"> </w:t>
      </w:r>
      <w:r w:rsidR="009F30CD">
        <w:rPr>
          <w:lang w:val="es-ES"/>
        </w:rPr>
        <w:t>a efectos</w:t>
      </w:r>
      <w:r w:rsidR="003405F1" w:rsidRPr="0092378B">
        <w:rPr>
          <w:lang w:val="es-ES"/>
        </w:rPr>
        <w:t xml:space="preserve"> </w:t>
      </w:r>
      <w:r w:rsidR="009F30CD">
        <w:rPr>
          <w:lang w:val="es-ES"/>
        </w:rPr>
        <w:t>d</w:t>
      </w:r>
      <w:r w:rsidR="003405F1" w:rsidRPr="0092378B">
        <w:rPr>
          <w:lang w:val="es-ES"/>
        </w:rPr>
        <w:t>el despliegue generalizado de la IA en nuestras carreteras.</w:t>
      </w:r>
    </w:p>
    <w:p w14:paraId="0C5FB2A1" w14:textId="506EEAE7" w:rsidR="0098109A" w:rsidRPr="0092378B" w:rsidRDefault="0098109A" w:rsidP="0098109A">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14208BD1" w14:textId="0130A2B3" w:rsidR="00C955F4" w:rsidRPr="0092378B" w:rsidRDefault="00A21566" w:rsidP="0058361F">
      <w:pPr>
        <w:rPr>
          <w:lang w:val="es-ES"/>
        </w:rPr>
      </w:pPr>
      <w:r w:rsidRPr="0092378B">
        <w:rPr>
          <w:lang w:val="es-ES"/>
        </w:rPr>
        <w:lastRenderedPageBreak/>
        <w:t xml:space="preserve">Es importante definir un umbral </w:t>
      </w:r>
      <w:r w:rsidR="00DA4E20" w:rsidRPr="0092378B">
        <w:rPr>
          <w:lang w:val="es-ES"/>
        </w:rPr>
        <w:t>mínim</w:t>
      </w:r>
      <w:r w:rsidR="00DA4E20">
        <w:rPr>
          <w:lang w:val="es-ES"/>
        </w:rPr>
        <w:t>o</w:t>
      </w:r>
      <w:r w:rsidR="00DA4E20" w:rsidRPr="0092378B">
        <w:rPr>
          <w:lang w:val="es-ES"/>
        </w:rPr>
        <w:t xml:space="preserve"> </w:t>
      </w:r>
      <w:r w:rsidRPr="0092378B">
        <w:rPr>
          <w:lang w:val="es-ES"/>
        </w:rPr>
        <w:t>de calidad de funcionamiento aceptable para la IA desplegada en las carreteras y satisfacer las expectativas mínimas del público</w:t>
      </w:r>
      <w:r w:rsidR="0058361F" w:rsidRPr="0092378B">
        <w:rPr>
          <w:lang w:val="es-ES"/>
        </w:rPr>
        <w:t xml:space="preserve"> en </w:t>
      </w:r>
      <w:r w:rsidR="00BB1CC1">
        <w:rPr>
          <w:lang w:val="es-ES"/>
        </w:rPr>
        <w:t>cuanto a</w:t>
      </w:r>
      <w:r w:rsidR="0058361F" w:rsidRPr="0092378B">
        <w:rPr>
          <w:lang w:val="es-ES"/>
        </w:rPr>
        <w:t xml:space="preserve"> </w:t>
      </w:r>
      <w:r w:rsidR="003F4AA6">
        <w:rPr>
          <w:lang w:val="es-ES"/>
        </w:rPr>
        <w:t>la capacidad de la IA para</w:t>
      </w:r>
      <w:r w:rsidRPr="0092378B">
        <w:rPr>
          <w:lang w:val="es-ES"/>
        </w:rPr>
        <w:t>:</w:t>
      </w:r>
    </w:p>
    <w:p w14:paraId="3FA09E41" w14:textId="0884045D" w:rsidR="00C955F4" w:rsidRPr="0098109A" w:rsidRDefault="009825FB" w:rsidP="00C216F6">
      <w:pPr>
        <w:pStyle w:val="enumlev1"/>
        <w:ind w:hanging="344"/>
        <w:rPr>
          <w:lang w:val="es-ES"/>
        </w:rPr>
      </w:pPr>
      <w:r w:rsidRPr="0098109A">
        <w:rPr>
          <w:lang w:val="es-ES"/>
        </w:rPr>
        <w:t>1)</w:t>
      </w:r>
      <w:r w:rsidRPr="0098109A">
        <w:rPr>
          <w:lang w:val="es-ES"/>
        </w:rPr>
        <w:tab/>
        <w:t>alcanza</w:t>
      </w:r>
      <w:r w:rsidR="003F4AA6" w:rsidRPr="0098109A">
        <w:rPr>
          <w:lang w:val="es-ES"/>
        </w:rPr>
        <w:t>r</w:t>
      </w:r>
      <w:r w:rsidRPr="0098109A">
        <w:rPr>
          <w:lang w:val="es-ES"/>
        </w:rPr>
        <w:t xml:space="preserve"> o supera</w:t>
      </w:r>
      <w:r w:rsidR="003F4AA6" w:rsidRPr="0098109A">
        <w:rPr>
          <w:lang w:val="es-ES"/>
        </w:rPr>
        <w:t>r</w:t>
      </w:r>
      <w:r w:rsidRPr="0098109A">
        <w:rPr>
          <w:lang w:val="es-ES"/>
        </w:rPr>
        <w:t xml:space="preserve"> la eficiencia de un conductor humano competente y atento</w:t>
      </w:r>
      <w:r w:rsidR="0058361F" w:rsidRPr="0098109A">
        <w:rPr>
          <w:lang w:val="es-ES"/>
        </w:rPr>
        <w:t>;</w:t>
      </w:r>
    </w:p>
    <w:p w14:paraId="0FE3E87A" w14:textId="5040BEFA" w:rsidR="00C955F4" w:rsidRPr="0098109A" w:rsidRDefault="009825FB" w:rsidP="00C216F6">
      <w:pPr>
        <w:pStyle w:val="enumlev1"/>
        <w:ind w:hanging="344"/>
        <w:rPr>
          <w:lang w:val="es-ES"/>
        </w:rPr>
      </w:pPr>
      <w:r w:rsidRPr="0098109A">
        <w:rPr>
          <w:lang w:val="es-ES"/>
        </w:rPr>
        <w:t>2)</w:t>
      </w:r>
      <w:r w:rsidRPr="0098109A">
        <w:rPr>
          <w:lang w:val="es-ES"/>
        </w:rPr>
        <w:tab/>
      </w:r>
      <w:r w:rsidR="003F4AA6" w:rsidRPr="0098109A">
        <w:rPr>
          <w:lang w:val="es-ES"/>
        </w:rPr>
        <w:t>no</w:t>
      </w:r>
      <w:r w:rsidRPr="0098109A">
        <w:rPr>
          <w:lang w:val="es-ES"/>
        </w:rPr>
        <w:t xml:space="preserve"> incurr</w:t>
      </w:r>
      <w:r w:rsidR="003F4AA6" w:rsidRPr="0098109A">
        <w:rPr>
          <w:lang w:val="es-ES"/>
        </w:rPr>
        <w:t>ir nunca</w:t>
      </w:r>
      <w:r w:rsidRPr="0098109A">
        <w:rPr>
          <w:lang w:val="es-ES"/>
        </w:rPr>
        <w:t xml:space="preserve"> en una conducción negligente, peligrosa o temeraria</w:t>
      </w:r>
      <w:r w:rsidR="0058361F" w:rsidRPr="0098109A">
        <w:rPr>
          <w:lang w:val="es-ES"/>
        </w:rPr>
        <w:t>; y</w:t>
      </w:r>
    </w:p>
    <w:p w14:paraId="21F8032B" w14:textId="61162952" w:rsidR="00C955F4" w:rsidRPr="0098109A" w:rsidRDefault="009825FB" w:rsidP="00C216F6">
      <w:pPr>
        <w:pStyle w:val="enumlev1"/>
        <w:ind w:hanging="344"/>
        <w:rPr>
          <w:lang w:val="es-ES"/>
        </w:rPr>
      </w:pPr>
      <w:r w:rsidRPr="0098109A">
        <w:rPr>
          <w:lang w:val="es-ES"/>
        </w:rPr>
        <w:t>3)</w:t>
      </w:r>
      <w:r w:rsidRPr="0098109A">
        <w:rPr>
          <w:lang w:val="es-ES"/>
        </w:rPr>
        <w:tab/>
        <w:t>mantene</w:t>
      </w:r>
      <w:r w:rsidR="003F4AA6" w:rsidRPr="0098109A">
        <w:rPr>
          <w:lang w:val="es-ES"/>
        </w:rPr>
        <w:t>r</w:t>
      </w:r>
      <w:r w:rsidRPr="0098109A">
        <w:rPr>
          <w:lang w:val="es-ES"/>
        </w:rPr>
        <w:t xml:space="preserve"> la atención, la disposición y la capacidad para evitar colisiones en todo momento</w:t>
      </w:r>
      <w:r w:rsidR="0058361F" w:rsidRPr="0098109A">
        <w:rPr>
          <w:lang w:val="es-ES"/>
        </w:rPr>
        <w:t>.</w:t>
      </w:r>
    </w:p>
    <w:p w14:paraId="6FB42FBA" w14:textId="7D2F0723" w:rsidR="002F45CD" w:rsidRPr="0092378B" w:rsidRDefault="002F45CD" w:rsidP="006321BC">
      <w:pPr>
        <w:rPr>
          <w:lang w:val="es-ES"/>
        </w:rPr>
      </w:pPr>
      <w:r w:rsidRPr="0092378B">
        <w:rPr>
          <w:lang w:val="es-ES"/>
        </w:rPr>
        <w:t>3</w:t>
      </w:r>
      <w:r w:rsidRPr="0092378B">
        <w:rPr>
          <w:lang w:val="es-ES"/>
        </w:rPr>
        <w:tab/>
        <w:t>La participación en el FG-</w:t>
      </w:r>
      <w:r w:rsidR="002E3EC9" w:rsidRPr="0092378B">
        <w:rPr>
          <w:lang w:val="es-ES"/>
        </w:rPr>
        <w:t>AI4AD</w:t>
      </w:r>
      <w:r w:rsidRPr="0092378B">
        <w:rPr>
          <w:lang w:val="es-ES"/>
        </w:rPr>
        <w:t xml:space="preserve"> es gratuita y está abierta a tod</w:t>
      </w:r>
      <w:r w:rsidR="00BB1CC1">
        <w:rPr>
          <w:lang w:val="es-ES"/>
        </w:rPr>
        <w:t>o</w:t>
      </w:r>
      <w:r w:rsidR="0058361F" w:rsidRPr="0092378B">
        <w:rPr>
          <w:lang w:val="es-ES"/>
        </w:rPr>
        <w:t>s l</w:t>
      </w:r>
      <w:r w:rsidR="00BB1CC1">
        <w:rPr>
          <w:lang w:val="es-ES"/>
        </w:rPr>
        <w:t>o</w:t>
      </w:r>
      <w:r w:rsidR="0058361F" w:rsidRPr="0092378B">
        <w:rPr>
          <w:lang w:val="es-ES"/>
        </w:rPr>
        <w:t>s nacionales de Estados Miembros de la UIT que estén interesad</w:t>
      </w:r>
      <w:r w:rsidR="00BB1CC1">
        <w:rPr>
          <w:lang w:val="es-ES"/>
        </w:rPr>
        <w:t>o</w:t>
      </w:r>
      <w:r w:rsidR="0058361F" w:rsidRPr="0092378B">
        <w:rPr>
          <w:lang w:val="es-ES"/>
        </w:rPr>
        <w:t>s en contribuir a sus trabajos, incluidos</w:t>
      </w:r>
      <w:r w:rsidRPr="0092378B">
        <w:rPr>
          <w:lang w:val="es-ES"/>
        </w:rPr>
        <w:t xml:space="preserve"> gobiernos, representantes de asociaciones </w:t>
      </w:r>
      <w:r w:rsidR="0058361F" w:rsidRPr="0092378B">
        <w:rPr>
          <w:lang w:val="es-ES"/>
        </w:rPr>
        <w:t>y empresas de los sectores</w:t>
      </w:r>
      <w:r w:rsidRPr="0092378B">
        <w:rPr>
          <w:lang w:val="es-ES"/>
        </w:rPr>
        <w:t xml:space="preserve"> del automóvil y las telecomunicaciones/TIC, </w:t>
      </w:r>
      <w:r w:rsidR="0058361F" w:rsidRPr="0092378B">
        <w:rPr>
          <w:lang w:val="es-ES"/>
        </w:rPr>
        <w:t>instituciones</w:t>
      </w:r>
      <w:r w:rsidRPr="0092378B">
        <w:rPr>
          <w:lang w:val="es-ES"/>
        </w:rPr>
        <w:t xml:space="preserve"> académicas </w:t>
      </w:r>
      <w:r w:rsidR="0058361F" w:rsidRPr="0092378B">
        <w:rPr>
          <w:lang w:val="es-ES"/>
        </w:rPr>
        <w:t>y centros</w:t>
      </w:r>
      <w:r w:rsidRPr="0092378B">
        <w:rPr>
          <w:lang w:val="es-ES"/>
        </w:rPr>
        <w:t xml:space="preserve"> de investigación,</w:t>
      </w:r>
      <w:r w:rsidR="0058361F" w:rsidRPr="0092378B">
        <w:rPr>
          <w:lang w:val="es-ES"/>
        </w:rPr>
        <w:t xml:space="preserve"> entidades ajenas a la</w:t>
      </w:r>
      <w:r w:rsidR="00450B12">
        <w:rPr>
          <w:lang w:val="es-ES"/>
        </w:rPr>
        <w:t> </w:t>
      </w:r>
      <w:r w:rsidR="0058361F" w:rsidRPr="0092378B">
        <w:rPr>
          <w:lang w:val="es-ES"/>
        </w:rPr>
        <w:t xml:space="preserve">UIT y </w:t>
      </w:r>
      <w:r w:rsidRPr="0092378B">
        <w:rPr>
          <w:lang w:val="es-ES"/>
        </w:rPr>
        <w:t xml:space="preserve">particulares. Se invita a las personas interesadas en recibir </w:t>
      </w:r>
      <w:r w:rsidR="003E0C67" w:rsidRPr="0092378B">
        <w:rPr>
          <w:lang w:val="es-ES"/>
        </w:rPr>
        <w:t xml:space="preserve">información </w:t>
      </w:r>
      <w:r w:rsidR="003E0C67">
        <w:rPr>
          <w:lang w:val="es-ES"/>
        </w:rPr>
        <w:t xml:space="preserve">y </w:t>
      </w:r>
      <w:r w:rsidRPr="0092378B">
        <w:rPr>
          <w:lang w:val="es-ES"/>
        </w:rPr>
        <w:t>noticias relativa</w:t>
      </w:r>
      <w:r w:rsidR="003E0C67">
        <w:rPr>
          <w:lang w:val="es-ES"/>
        </w:rPr>
        <w:t>s</w:t>
      </w:r>
      <w:r w:rsidRPr="0092378B">
        <w:rPr>
          <w:lang w:val="es-ES"/>
        </w:rPr>
        <w:t xml:space="preserve"> a este Grupo a que se inscriban en la lista de correo electrónico del FG</w:t>
      </w:r>
      <w:r w:rsidR="00E90AFA" w:rsidRPr="0092378B">
        <w:rPr>
          <w:lang w:val="es-ES"/>
        </w:rPr>
        <w:noBreakHyphen/>
        <w:t>AI4AD</w:t>
      </w:r>
      <w:r w:rsidRPr="0092378B">
        <w:rPr>
          <w:lang w:val="es-ES"/>
        </w:rPr>
        <w:t>. En la página web del FG</w:t>
      </w:r>
      <w:r w:rsidR="00741384" w:rsidRPr="0092378B">
        <w:rPr>
          <w:lang w:val="es-ES"/>
        </w:rPr>
        <w:noBreakHyphen/>
      </w:r>
      <w:r w:rsidR="00054053" w:rsidRPr="0092378B">
        <w:rPr>
          <w:lang w:val="es-ES"/>
        </w:rPr>
        <w:t>AI4AD</w:t>
      </w:r>
      <w:r w:rsidRPr="0092378B">
        <w:rPr>
          <w:lang w:val="es-ES"/>
        </w:rPr>
        <w:t xml:space="preserve"> se detalla el proceso de inscripción: </w:t>
      </w:r>
      <w:hyperlink r:id="rId10" w:history="1">
        <w:r w:rsidR="00F1722F" w:rsidRPr="0092378B">
          <w:rPr>
            <w:rStyle w:val="Hyperlink"/>
            <w:lang w:val="es-ES"/>
          </w:rPr>
          <w:t>http://itu.int/go/fgai4ad</w:t>
        </w:r>
      </w:hyperlink>
      <w:r w:rsidRPr="0092378B">
        <w:rPr>
          <w:lang w:val="es-ES"/>
        </w:rPr>
        <w:t>.</w:t>
      </w:r>
    </w:p>
    <w:p w14:paraId="6E97E3A2" w14:textId="229591A2" w:rsidR="002F45CD" w:rsidRPr="0092378B" w:rsidRDefault="002F45CD" w:rsidP="006321BC">
      <w:pPr>
        <w:rPr>
          <w:lang w:val="es-ES"/>
        </w:rPr>
      </w:pPr>
      <w:r w:rsidRPr="0092378B">
        <w:rPr>
          <w:lang w:val="es-ES"/>
        </w:rPr>
        <w:t>4</w:t>
      </w:r>
      <w:r w:rsidRPr="0092378B">
        <w:rPr>
          <w:lang w:val="es-ES"/>
        </w:rPr>
        <w:tab/>
        <w:t>E</w:t>
      </w:r>
      <w:r w:rsidR="0058361F" w:rsidRPr="0092378B">
        <w:rPr>
          <w:lang w:val="es-ES"/>
        </w:rPr>
        <w:t>ste</w:t>
      </w:r>
      <w:r w:rsidRPr="0092378B">
        <w:rPr>
          <w:lang w:val="es-ES"/>
        </w:rPr>
        <w:t xml:space="preserve"> Grupo Temático</w:t>
      </w:r>
      <w:r w:rsidR="0058361F" w:rsidRPr="0092378B">
        <w:rPr>
          <w:lang w:val="es-ES"/>
        </w:rPr>
        <w:t xml:space="preserve"> ejercerá sus funciones </w:t>
      </w:r>
      <w:r w:rsidRPr="0092378B">
        <w:rPr>
          <w:lang w:val="es-ES"/>
        </w:rPr>
        <w:t xml:space="preserve">con arreglo a los procedimientos estipulados en la </w:t>
      </w:r>
      <w:hyperlink r:id="rId11" w:history="1">
        <w:r w:rsidRPr="0092378B">
          <w:rPr>
            <w:rStyle w:val="Hyperlink"/>
            <w:szCs w:val="24"/>
            <w:lang w:val="es-ES"/>
          </w:rPr>
          <w:t>Recomendación UIT</w:t>
        </w:r>
        <w:r w:rsidRPr="0092378B">
          <w:rPr>
            <w:rStyle w:val="Hyperlink"/>
            <w:szCs w:val="24"/>
            <w:lang w:val="es-ES"/>
          </w:rPr>
          <w:noBreakHyphen/>
          <w:t>T A.7</w:t>
        </w:r>
      </w:hyperlink>
      <w:r w:rsidRPr="0092378B">
        <w:rPr>
          <w:lang w:val="es-ES"/>
        </w:rPr>
        <w:t>, así como al mandato convenido que figura en el Anexo 1</w:t>
      </w:r>
      <w:r w:rsidR="0058361F" w:rsidRPr="0092378B">
        <w:rPr>
          <w:lang w:val="es-ES"/>
        </w:rPr>
        <w:t>, durante un plazo inicial de dos años, con posibilidad de renovación</w:t>
      </w:r>
      <w:r w:rsidRPr="0092378B">
        <w:rPr>
          <w:lang w:val="es-ES"/>
        </w:rPr>
        <w:t>.</w:t>
      </w:r>
    </w:p>
    <w:p w14:paraId="5404C1CD" w14:textId="46F096CF" w:rsidR="002F45CD" w:rsidRPr="0092378B" w:rsidRDefault="002F45CD" w:rsidP="00CE51C7">
      <w:pPr>
        <w:rPr>
          <w:lang w:val="es-ES"/>
        </w:rPr>
      </w:pPr>
      <w:r w:rsidRPr="0092378B">
        <w:rPr>
          <w:lang w:val="es-ES"/>
        </w:rPr>
        <w:t>5</w:t>
      </w:r>
      <w:r w:rsidRPr="0092378B">
        <w:rPr>
          <w:lang w:val="es-ES"/>
        </w:rPr>
        <w:tab/>
        <w:t>La</w:t>
      </w:r>
      <w:r w:rsidRPr="0092378B">
        <w:rPr>
          <w:b/>
          <w:lang w:val="es-ES"/>
        </w:rPr>
        <w:t xml:space="preserve"> </w:t>
      </w:r>
      <w:r w:rsidRPr="0092378B">
        <w:rPr>
          <w:b/>
          <w:bCs/>
          <w:lang w:val="es-ES"/>
        </w:rPr>
        <w:t>primera reunión del FG-</w:t>
      </w:r>
      <w:r w:rsidR="0058361F" w:rsidRPr="0092378B">
        <w:rPr>
          <w:b/>
          <w:bCs/>
          <w:lang w:val="es-ES"/>
        </w:rPr>
        <w:t xml:space="preserve">AI4AD </w:t>
      </w:r>
      <w:r w:rsidRPr="0092378B">
        <w:rPr>
          <w:lang w:val="es-ES"/>
        </w:rPr>
        <w:t xml:space="preserve">se celebrará en </w:t>
      </w:r>
      <w:r w:rsidR="00D30EE1" w:rsidRPr="0092378B">
        <w:rPr>
          <w:lang w:val="es-ES"/>
        </w:rPr>
        <w:t>Londres (Reino Unido)</w:t>
      </w:r>
      <w:r w:rsidRPr="0092378B">
        <w:rPr>
          <w:lang w:val="es-ES"/>
        </w:rPr>
        <w:t>, por amable invitación de</w:t>
      </w:r>
      <w:r w:rsidR="0058361F" w:rsidRPr="0092378B">
        <w:rPr>
          <w:lang w:val="es-ES"/>
        </w:rPr>
        <w:t xml:space="preserve"> la</w:t>
      </w:r>
      <w:r w:rsidRPr="0092378B">
        <w:rPr>
          <w:lang w:val="es-ES"/>
        </w:rPr>
        <w:t xml:space="preserve"> </w:t>
      </w:r>
      <w:r w:rsidR="004F5145" w:rsidRPr="009218CD">
        <w:rPr>
          <w:lang w:val="es-ES"/>
        </w:rPr>
        <w:t>Autonomous Drivers Alliance</w:t>
      </w:r>
      <w:r w:rsidR="004F5145" w:rsidRPr="0092378B">
        <w:rPr>
          <w:lang w:val="es-ES"/>
        </w:rPr>
        <w:t xml:space="preserve"> (ADA)</w:t>
      </w:r>
      <w:r w:rsidR="0058361F" w:rsidRPr="0092378B">
        <w:rPr>
          <w:lang w:val="es-ES"/>
        </w:rPr>
        <w:t xml:space="preserve">, </w:t>
      </w:r>
      <w:r w:rsidR="003E0C67">
        <w:rPr>
          <w:lang w:val="es-ES"/>
        </w:rPr>
        <w:t>del</w:t>
      </w:r>
      <w:r w:rsidR="004F5145" w:rsidRPr="0092378B">
        <w:rPr>
          <w:lang w:val="es-ES"/>
        </w:rPr>
        <w:t xml:space="preserve"> 21</w:t>
      </w:r>
      <w:r w:rsidR="0058361F" w:rsidRPr="0092378B">
        <w:rPr>
          <w:lang w:val="es-ES"/>
        </w:rPr>
        <w:t xml:space="preserve"> </w:t>
      </w:r>
      <w:r w:rsidR="003E0C67">
        <w:rPr>
          <w:lang w:val="es-ES"/>
        </w:rPr>
        <w:t>al</w:t>
      </w:r>
      <w:r w:rsidR="0058361F" w:rsidRPr="0092378B">
        <w:rPr>
          <w:lang w:val="es-ES"/>
        </w:rPr>
        <w:t xml:space="preserve"> </w:t>
      </w:r>
      <w:r w:rsidR="004F5145" w:rsidRPr="0092378B">
        <w:rPr>
          <w:lang w:val="es-ES"/>
        </w:rPr>
        <w:t xml:space="preserve">22 </w:t>
      </w:r>
      <w:r w:rsidR="00D95534" w:rsidRPr="0092378B">
        <w:rPr>
          <w:lang w:val="es-ES"/>
        </w:rPr>
        <w:t xml:space="preserve">de enero de </w:t>
      </w:r>
      <w:r w:rsidR="004F5145" w:rsidRPr="0092378B">
        <w:rPr>
          <w:lang w:val="es-ES"/>
        </w:rPr>
        <w:t xml:space="preserve">2020. </w:t>
      </w:r>
      <w:r w:rsidR="00CE51C7" w:rsidRPr="0092378B">
        <w:rPr>
          <w:lang w:val="es-ES"/>
        </w:rPr>
        <w:t>En la página web del FG-AI4AD se concretará e</w:t>
      </w:r>
      <w:r w:rsidR="0058361F" w:rsidRPr="0092378B">
        <w:rPr>
          <w:lang w:val="es-ES"/>
        </w:rPr>
        <w:t>l lugar de celebración</w:t>
      </w:r>
      <w:r w:rsidR="00CE51C7" w:rsidRPr="0092378B">
        <w:rPr>
          <w:lang w:val="es-ES"/>
        </w:rPr>
        <w:t>.</w:t>
      </w:r>
    </w:p>
    <w:p w14:paraId="7939C472" w14:textId="66E5A11C" w:rsidR="00BA559B" w:rsidRPr="00A073AB" w:rsidRDefault="00CE51C7" w:rsidP="006321BC">
      <w:pPr>
        <w:rPr>
          <w:lang w:val="es-ES"/>
        </w:rPr>
      </w:pPr>
      <w:r w:rsidRPr="0092378B">
        <w:rPr>
          <w:lang w:val="es-ES"/>
        </w:rPr>
        <w:t xml:space="preserve">El primer día, el evento </w:t>
      </w:r>
      <w:r w:rsidRPr="00A073AB">
        <w:rPr>
          <w:lang w:val="es-ES"/>
        </w:rPr>
        <w:t xml:space="preserve">dará inicio con un </w:t>
      </w:r>
      <w:r w:rsidRPr="00A073AB">
        <w:rPr>
          <w:b/>
          <w:bCs/>
          <w:lang w:val="es-ES"/>
        </w:rPr>
        <w:t>taller</w:t>
      </w:r>
      <w:r w:rsidRPr="00A073AB">
        <w:rPr>
          <w:lang w:val="es-ES"/>
        </w:rPr>
        <w:t xml:space="preserve">. Un enfoque multipartito se considera fundamental para emprender el viaje </w:t>
      </w:r>
      <w:r w:rsidR="00A073AB" w:rsidRPr="00A073AB">
        <w:rPr>
          <w:lang w:val="es-ES"/>
        </w:rPr>
        <w:t>hacia</w:t>
      </w:r>
      <w:r w:rsidRPr="00A073AB">
        <w:rPr>
          <w:lang w:val="es-ES"/>
        </w:rPr>
        <w:t xml:space="preserve"> la conducción autónoma. El taller supondrá una oportunidad para aprender de los trabajos de investigación y los resultados experimentales de varias fuentes y, de esta forma, sentar </w:t>
      </w:r>
      <w:r w:rsidR="00A073AB" w:rsidRPr="00A073AB">
        <w:rPr>
          <w:lang w:val="es-ES"/>
        </w:rPr>
        <w:t>las</w:t>
      </w:r>
      <w:r w:rsidRPr="00A073AB">
        <w:rPr>
          <w:lang w:val="es-ES"/>
        </w:rPr>
        <w:t xml:space="preserve"> base</w:t>
      </w:r>
      <w:r w:rsidR="00A073AB" w:rsidRPr="00A073AB">
        <w:rPr>
          <w:lang w:val="es-ES"/>
        </w:rPr>
        <w:t xml:space="preserve">s en que se fundamentará </w:t>
      </w:r>
      <w:r w:rsidRPr="00A073AB">
        <w:rPr>
          <w:lang w:val="es-ES"/>
        </w:rPr>
        <w:t>este Grupo Temático</w:t>
      </w:r>
      <w:r w:rsidR="00A073AB" w:rsidRPr="00A073AB">
        <w:rPr>
          <w:lang w:val="es-ES"/>
        </w:rPr>
        <w:t>,</w:t>
      </w:r>
      <w:r w:rsidRPr="00A073AB">
        <w:rPr>
          <w:lang w:val="es-ES"/>
        </w:rPr>
        <w:t xml:space="preserve"> </w:t>
      </w:r>
      <w:r w:rsidR="00623101">
        <w:rPr>
          <w:lang w:val="es-ES"/>
        </w:rPr>
        <w:t xml:space="preserve">que ha previsto iniciar sus trabajos </w:t>
      </w:r>
      <w:r w:rsidR="003F4AA6">
        <w:rPr>
          <w:lang w:val="es-ES"/>
        </w:rPr>
        <w:t xml:space="preserve">de manera </w:t>
      </w:r>
      <w:r w:rsidR="00623101">
        <w:rPr>
          <w:lang w:val="es-ES"/>
        </w:rPr>
        <w:t xml:space="preserve">oficial </w:t>
      </w:r>
      <w:r w:rsidRPr="00A073AB">
        <w:rPr>
          <w:lang w:val="es-ES"/>
        </w:rPr>
        <w:t>al día siguiente. Los detalles específicos del taller se publicarán en la página web del</w:t>
      </w:r>
      <w:r w:rsidR="00BA559B" w:rsidRPr="00A073AB">
        <w:rPr>
          <w:lang w:val="es-ES"/>
        </w:rPr>
        <w:t xml:space="preserve"> FG-AI4AD.</w:t>
      </w:r>
    </w:p>
    <w:p w14:paraId="558BAA5E" w14:textId="690AA567" w:rsidR="002F45CD" w:rsidRPr="0092378B" w:rsidRDefault="00CE51C7" w:rsidP="00450B12">
      <w:pPr>
        <w:rPr>
          <w:lang w:val="es-ES"/>
        </w:rPr>
      </w:pPr>
      <w:r w:rsidRPr="00A073AB">
        <w:rPr>
          <w:lang w:val="es-ES"/>
        </w:rPr>
        <w:t>Entre l</w:t>
      </w:r>
      <w:r w:rsidR="002F45CD" w:rsidRPr="00A073AB">
        <w:rPr>
          <w:lang w:val="es-ES"/>
        </w:rPr>
        <w:t xml:space="preserve">os </w:t>
      </w:r>
      <w:r w:rsidR="002F45CD" w:rsidRPr="00A073AB">
        <w:rPr>
          <w:b/>
          <w:bCs/>
          <w:lang w:val="es-ES"/>
        </w:rPr>
        <w:t>objetivos</w:t>
      </w:r>
      <w:r w:rsidR="002F45CD" w:rsidRPr="00A073AB">
        <w:rPr>
          <w:lang w:val="es-ES"/>
        </w:rPr>
        <w:t xml:space="preserve"> de la primera reunión </w:t>
      </w:r>
      <w:r w:rsidR="00675647" w:rsidRPr="00A073AB">
        <w:rPr>
          <w:lang w:val="es-ES"/>
        </w:rPr>
        <w:t xml:space="preserve">del FG-AI4AD </w:t>
      </w:r>
      <w:r w:rsidRPr="00A073AB">
        <w:rPr>
          <w:lang w:val="es-ES"/>
        </w:rPr>
        <w:t>cabe destacar</w:t>
      </w:r>
      <w:r w:rsidR="002F45CD" w:rsidRPr="00A073AB">
        <w:rPr>
          <w:lang w:val="es-ES"/>
        </w:rPr>
        <w:t>:</w:t>
      </w:r>
    </w:p>
    <w:p w14:paraId="6A13AA45" w14:textId="7EC31AD6" w:rsidR="002F45CD" w:rsidRPr="0092378B" w:rsidRDefault="002F45CD" w:rsidP="006321BC">
      <w:pPr>
        <w:pStyle w:val="enumlev1"/>
        <w:rPr>
          <w:lang w:val="es-ES"/>
        </w:rPr>
      </w:pPr>
      <w:r w:rsidRPr="0092378B">
        <w:rPr>
          <w:lang w:val="es-ES"/>
        </w:rPr>
        <w:t>–</w:t>
      </w:r>
      <w:r w:rsidRPr="0092378B">
        <w:rPr>
          <w:lang w:val="es-ES"/>
        </w:rPr>
        <w:tab/>
      </w:r>
      <w:r w:rsidR="00CE51C7" w:rsidRPr="0092378B">
        <w:rPr>
          <w:lang w:val="es-ES"/>
        </w:rPr>
        <w:t>la celebración de</w:t>
      </w:r>
      <w:r w:rsidRPr="0092378B">
        <w:rPr>
          <w:lang w:val="es-ES"/>
        </w:rPr>
        <w:t xml:space="preserve"> un debate sobre</w:t>
      </w:r>
      <w:r w:rsidR="00CE51C7" w:rsidRPr="0092378B">
        <w:rPr>
          <w:lang w:val="es-ES"/>
        </w:rPr>
        <w:t xml:space="preserve"> el mandato y los planes en materia de</w:t>
      </w:r>
      <w:r w:rsidRPr="0092378B">
        <w:rPr>
          <w:lang w:val="es-ES"/>
        </w:rPr>
        <w:t xml:space="preserve"> </w:t>
      </w:r>
      <w:r w:rsidR="00CE51C7" w:rsidRPr="0092378B">
        <w:rPr>
          <w:lang w:val="es-ES"/>
        </w:rPr>
        <w:t>IA para la conducción autónoma y asistida</w:t>
      </w:r>
      <w:r w:rsidRPr="0092378B">
        <w:rPr>
          <w:lang w:val="es-ES"/>
        </w:rPr>
        <w:t>;</w:t>
      </w:r>
    </w:p>
    <w:p w14:paraId="077018A9" w14:textId="2426F0A0" w:rsidR="002F45CD" w:rsidRPr="0092378B" w:rsidRDefault="002F45CD" w:rsidP="006321BC">
      <w:pPr>
        <w:pStyle w:val="enumlev1"/>
        <w:rPr>
          <w:lang w:val="es-ES"/>
        </w:rPr>
      </w:pPr>
      <w:r w:rsidRPr="0092378B">
        <w:rPr>
          <w:lang w:val="es-ES"/>
        </w:rPr>
        <w:t>–</w:t>
      </w:r>
      <w:r w:rsidRPr="0092378B">
        <w:rPr>
          <w:lang w:val="es-ES"/>
        </w:rPr>
        <w:tab/>
      </w:r>
      <w:r w:rsidR="00CE51C7" w:rsidRPr="0092378B">
        <w:rPr>
          <w:lang w:val="es-ES"/>
        </w:rPr>
        <w:t>la conclusión de</w:t>
      </w:r>
      <w:r w:rsidRPr="0092378B">
        <w:rPr>
          <w:lang w:val="es-ES"/>
        </w:rPr>
        <w:t xml:space="preserve"> un acuerdo sobre los resultados previstos del FG-</w:t>
      </w:r>
      <w:r w:rsidR="007D47DA" w:rsidRPr="0092378B">
        <w:rPr>
          <w:lang w:val="es-ES"/>
        </w:rPr>
        <w:t>AI4AD</w:t>
      </w:r>
      <w:r w:rsidRPr="0092378B">
        <w:rPr>
          <w:lang w:val="es-ES"/>
        </w:rPr>
        <w:t xml:space="preserve">, </w:t>
      </w:r>
      <w:r w:rsidR="0089096A" w:rsidRPr="0092378B">
        <w:rPr>
          <w:lang w:val="es-ES"/>
        </w:rPr>
        <w:t>incluida la definición de plazos y</w:t>
      </w:r>
      <w:r w:rsidRPr="0092378B">
        <w:rPr>
          <w:lang w:val="es-ES"/>
        </w:rPr>
        <w:t xml:space="preserve"> ámbito</w:t>
      </w:r>
      <w:r w:rsidR="00496C36">
        <w:rPr>
          <w:lang w:val="es-ES"/>
        </w:rPr>
        <w:t>s</w:t>
      </w:r>
      <w:r w:rsidRPr="0092378B">
        <w:rPr>
          <w:lang w:val="es-ES"/>
        </w:rPr>
        <w:t xml:space="preserve"> de competencias,</w:t>
      </w:r>
      <w:r w:rsidR="0089096A" w:rsidRPr="0092378B">
        <w:rPr>
          <w:lang w:val="es-ES"/>
        </w:rPr>
        <w:t xml:space="preserve"> así como la designación de</w:t>
      </w:r>
      <w:r w:rsidRPr="0092378B">
        <w:rPr>
          <w:lang w:val="es-ES"/>
        </w:rPr>
        <w:t xml:space="preserve"> editores y</w:t>
      </w:r>
      <w:r w:rsidR="0089096A" w:rsidRPr="0092378B">
        <w:rPr>
          <w:lang w:val="es-ES"/>
        </w:rPr>
        <w:t xml:space="preserve"> la asignación de</w:t>
      </w:r>
      <w:r w:rsidRPr="0092378B">
        <w:rPr>
          <w:lang w:val="es-ES"/>
        </w:rPr>
        <w:t xml:space="preserve"> responsabilidades a los distintos</w:t>
      </w:r>
      <w:r w:rsidR="00685D97" w:rsidRPr="0092378B">
        <w:rPr>
          <w:lang w:val="es-ES"/>
        </w:rPr>
        <w:t> </w:t>
      </w:r>
      <w:r w:rsidR="00277844" w:rsidRPr="0092378B">
        <w:rPr>
          <w:lang w:val="es-ES"/>
        </w:rPr>
        <w:t>miembros del G</w:t>
      </w:r>
      <w:r w:rsidR="0089096A" w:rsidRPr="0092378B">
        <w:rPr>
          <w:lang w:val="es-ES"/>
        </w:rPr>
        <w:t>rupo</w:t>
      </w:r>
      <w:r w:rsidRPr="0092378B">
        <w:rPr>
          <w:lang w:val="es-ES"/>
        </w:rPr>
        <w:t>;</w:t>
      </w:r>
    </w:p>
    <w:p w14:paraId="726EC23D" w14:textId="7314A348" w:rsidR="002F45CD" w:rsidRPr="0092378B" w:rsidRDefault="002F45CD" w:rsidP="006321BC">
      <w:pPr>
        <w:pStyle w:val="enumlev1"/>
        <w:rPr>
          <w:lang w:val="es-ES"/>
        </w:rPr>
      </w:pPr>
      <w:r w:rsidRPr="0092378B">
        <w:rPr>
          <w:lang w:val="es-ES"/>
        </w:rPr>
        <w:t>–</w:t>
      </w:r>
      <w:r w:rsidRPr="0092378B">
        <w:rPr>
          <w:lang w:val="es-ES"/>
        </w:rPr>
        <w:tab/>
      </w:r>
      <w:r w:rsidR="00CE51C7" w:rsidRPr="0092378B">
        <w:rPr>
          <w:lang w:val="es-ES"/>
        </w:rPr>
        <w:t xml:space="preserve">la conclusión de un </w:t>
      </w:r>
      <w:r w:rsidRPr="0092378B">
        <w:rPr>
          <w:lang w:val="es-ES"/>
        </w:rPr>
        <w:t>acuerdo sobre los métodos de trabajo del FG-</w:t>
      </w:r>
      <w:r w:rsidR="007D47DA" w:rsidRPr="0092378B">
        <w:rPr>
          <w:lang w:val="es-ES"/>
        </w:rPr>
        <w:t>AI4AD</w:t>
      </w:r>
      <w:r w:rsidR="0089096A" w:rsidRPr="0092378B">
        <w:rPr>
          <w:lang w:val="es-ES"/>
        </w:rPr>
        <w:t>, con arreglo a</w:t>
      </w:r>
      <w:r w:rsidRPr="0092378B">
        <w:rPr>
          <w:lang w:val="es-ES"/>
        </w:rPr>
        <w:t xml:space="preserve"> la Recomendación UIT-T A.7;</w:t>
      </w:r>
      <w:r w:rsidR="0089096A" w:rsidRPr="0092378B">
        <w:rPr>
          <w:lang w:val="es-ES"/>
        </w:rPr>
        <w:t xml:space="preserve"> y</w:t>
      </w:r>
    </w:p>
    <w:p w14:paraId="1E1E9CDE" w14:textId="2B6DFC43" w:rsidR="002F45CD" w:rsidRPr="0092378B" w:rsidRDefault="002F45CD" w:rsidP="006321BC">
      <w:pPr>
        <w:pStyle w:val="enumlev1"/>
        <w:rPr>
          <w:lang w:val="es-ES"/>
        </w:rPr>
      </w:pPr>
      <w:r w:rsidRPr="0092378B">
        <w:rPr>
          <w:lang w:val="es-ES"/>
        </w:rPr>
        <w:t>–</w:t>
      </w:r>
      <w:r w:rsidRPr="0092378B">
        <w:rPr>
          <w:lang w:val="es-ES"/>
        </w:rPr>
        <w:tab/>
      </w:r>
      <w:r w:rsidR="00CE51C7" w:rsidRPr="0092378B">
        <w:rPr>
          <w:lang w:val="es-ES"/>
        </w:rPr>
        <w:t xml:space="preserve">la conclusión de un </w:t>
      </w:r>
      <w:r w:rsidRPr="0092378B">
        <w:rPr>
          <w:lang w:val="es-ES"/>
        </w:rPr>
        <w:t>acuerdo sobre la planificación de las futuras reuniones del FG-</w:t>
      </w:r>
      <w:r w:rsidR="007D47DA" w:rsidRPr="0092378B">
        <w:rPr>
          <w:lang w:val="es-ES"/>
        </w:rPr>
        <w:t>AI4AD</w:t>
      </w:r>
      <w:r w:rsidRPr="0092378B">
        <w:rPr>
          <w:lang w:val="es-ES"/>
        </w:rPr>
        <w:t xml:space="preserve">, incluida la frecuencia de </w:t>
      </w:r>
      <w:r w:rsidR="0092378B" w:rsidRPr="0092378B">
        <w:rPr>
          <w:lang w:val="es-ES"/>
        </w:rPr>
        <w:t>estas</w:t>
      </w:r>
      <w:r w:rsidR="0092378B">
        <w:rPr>
          <w:lang w:val="es-ES"/>
        </w:rPr>
        <w:t xml:space="preserve"> últimas</w:t>
      </w:r>
      <w:r w:rsidRPr="0092378B">
        <w:rPr>
          <w:lang w:val="es-ES"/>
        </w:rPr>
        <w:t>.</w:t>
      </w:r>
    </w:p>
    <w:p w14:paraId="1774AA1F" w14:textId="04E9E399" w:rsidR="002F45CD" w:rsidRPr="0092378B" w:rsidRDefault="002F45CD" w:rsidP="006321BC">
      <w:pPr>
        <w:rPr>
          <w:lang w:val="es-ES"/>
        </w:rPr>
      </w:pPr>
      <w:r w:rsidRPr="0092378B">
        <w:rPr>
          <w:lang w:val="es-ES"/>
        </w:rPr>
        <w:t>6</w:t>
      </w:r>
      <w:r w:rsidRPr="0092378B">
        <w:rPr>
          <w:lang w:val="es-ES"/>
        </w:rPr>
        <w:tab/>
        <w:t xml:space="preserve">De acuerdo con el mandato reproducido en el </w:t>
      </w:r>
      <w:r w:rsidRPr="0092378B">
        <w:rPr>
          <w:b/>
          <w:bCs/>
          <w:lang w:val="es-ES"/>
        </w:rPr>
        <w:t>Anexo 1</w:t>
      </w:r>
      <w:r w:rsidRPr="00450B12">
        <w:rPr>
          <w:lang w:val="es-ES"/>
        </w:rPr>
        <w:t xml:space="preserve">, </w:t>
      </w:r>
      <w:r w:rsidRPr="0092378B">
        <w:rPr>
          <w:lang w:val="es-ES"/>
        </w:rPr>
        <w:t xml:space="preserve">los interesados están </w:t>
      </w:r>
      <w:r w:rsidRPr="0092378B">
        <w:rPr>
          <w:b/>
          <w:bCs/>
          <w:lang w:val="es-ES"/>
        </w:rPr>
        <w:t xml:space="preserve">invitados a presentar contribuciones por escrito </w:t>
      </w:r>
      <w:r w:rsidRPr="0092378B">
        <w:rPr>
          <w:lang w:val="es-ES"/>
        </w:rPr>
        <w:t xml:space="preserve">a la primera reunión del Grupo Temático sobre </w:t>
      </w:r>
      <w:r w:rsidR="0089096A" w:rsidRPr="0092378B">
        <w:rPr>
          <w:lang w:val="es-ES"/>
        </w:rPr>
        <w:t>IA para la conducción autónoma y asistida,</w:t>
      </w:r>
      <w:r w:rsidRPr="0092378B">
        <w:rPr>
          <w:lang w:val="es-ES"/>
        </w:rPr>
        <w:t xml:space="preserve"> a fin de alcanzar los objetivos señalados anteriormente.</w:t>
      </w:r>
    </w:p>
    <w:p w14:paraId="71AF26F3" w14:textId="7599A21B" w:rsidR="002F45CD" w:rsidRDefault="002F45CD" w:rsidP="006321BC">
      <w:pPr>
        <w:rPr>
          <w:b/>
          <w:bCs/>
          <w:lang w:val="es-ES"/>
        </w:rPr>
      </w:pPr>
      <w:r w:rsidRPr="0092378B">
        <w:rPr>
          <w:lang w:val="es-ES"/>
        </w:rPr>
        <w:t>7</w:t>
      </w:r>
      <w:r w:rsidRPr="0092378B">
        <w:rPr>
          <w:lang w:val="es-ES"/>
        </w:rPr>
        <w:tab/>
      </w:r>
      <w:r w:rsidR="00685D97" w:rsidRPr="0092378B">
        <w:rPr>
          <w:lang w:val="es-ES"/>
        </w:rPr>
        <w:t xml:space="preserve">Las </w:t>
      </w:r>
      <w:r w:rsidRPr="0092378B">
        <w:rPr>
          <w:lang w:val="es-ES"/>
        </w:rPr>
        <w:t>contribuciones por escrito han de transmitirse a la secretaría (</w:t>
      </w:r>
      <w:hyperlink r:id="rId12" w:history="1">
        <w:r w:rsidR="00207C16" w:rsidRPr="0092378B">
          <w:rPr>
            <w:rStyle w:val="Hyperlink"/>
            <w:lang w:val="es-ES"/>
          </w:rPr>
          <w:t>tsbfgai4ad@itu.int</w:t>
        </w:r>
      </w:hyperlink>
      <w:r w:rsidRPr="0092378B">
        <w:rPr>
          <w:lang w:val="es-ES"/>
        </w:rPr>
        <w:t xml:space="preserve">) en formato electrónico utilizando la </w:t>
      </w:r>
      <w:hyperlink r:id="rId13" w:history="1">
        <w:r w:rsidRPr="0092378B">
          <w:rPr>
            <w:rStyle w:val="Hyperlink"/>
            <w:szCs w:val="24"/>
            <w:lang w:val="es-ES"/>
          </w:rPr>
          <w:t>plantilla</w:t>
        </w:r>
      </w:hyperlink>
      <w:r w:rsidRPr="0092378B">
        <w:rPr>
          <w:lang w:val="es-ES"/>
        </w:rPr>
        <w:t xml:space="preserve"> disponible en la página web del FG-</w:t>
      </w:r>
      <w:r w:rsidR="004E39BD" w:rsidRPr="0092378B">
        <w:rPr>
          <w:lang w:val="es-ES"/>
        </w:rPr>
        <w:t>AI4AD</w:t>
      </w:r>
      <w:r w:rsidRPr="0092378B">
        <w:rPr>
          <w:lang w:val="es-ES"/>
        </w:rPr>
        <w:t xml:space="preserve">. </w:t>
      </w:r>
      <w:r w:rsidRPr="0092378B">
        <w:rPr>
          <w:b/>
          <w:bCs/>
          <w:lang w:val="es-ES"/>
        </w:rPr>
        <w:t xml:space="preserve">El plazo </w:t>
      </w:r>
      <w:r w:rsidR="0089096A" w:rsidRPr="0092378B">
        <w:rPr>
          <w:b/>
          <w:bCs/>
          <w:lang w:val="es-ES"/>
        </w:rPr>
        <w:t>para la</w:t>
      </w:r>
      <w:r w:rsidRPr="0092378B">
        <w:rPr>
          <w:b/>
          <w:bCs/>
          <w:lang w:val="es-ES"/>
        </w:rPr>
        <w:t xml:space="preserve"> presentación de contribuciones e</w:t>
      </w:r>
      <w:r w:rsidR="0089096A" w:rsidRPr="0092378B">
        <w:rPr>
          <w:b/>
          <w:bCs/>
          <w:lang w:val="es-ES"/>
        </w:rPr>
        <w:t xml:space="preserve">xpira </w:t>
      </w:r>
      <w:r w:rsidRPr="0092378B">
        <w:rPr>
          <w:b/>
          <w:bCs/>
          <w:lang w:val="es-ES"/>
        </w:rPr>
        <w:t xml:space="preserve">el </w:t>
      </w:r>
      <w:r w:rsidR="00AC255B" w:rsidRPr="0092378B">
        <w:rPr>
          <w:b/>
          <w:bCs/>
          <w:lang w:val="es-ES"/>
        </w:rPr>
        <w:t>13 de enero de 2020</w:t>
      </w:r>
      <w:r w:rsidRPr="0092378B">
        <w:rPr>
          <w:b/>
          <w:bCs/>
          <w:lang w:val="es-ES"/>
        </w:rPr>
        <w:t>.</w:t>
      </w:r>
    </w:p>
    <w:p w14:paraId="180E88C1" w14:textId="1A4F0AB3" w:rsidR="0098109A" w:rsidRPr="0098109A" w:rsidRDefault="0098109A" w:rsidP="0098109A">
      <w:pPr>
        <w:tabs>
          <w:tab w:val="clear" w:pos="794"/>
          <w:tab w:val="clear" w:pos="1191"/>
          <w:tab w:val="clear" w:pos="1588"/>
          <w:tab w:val="clear" w:pos="1985"/>
        </w:tabs>
        <w:overflowPunct/>
        <w:autoSpaceDE/>
        <w:autoSpaceDN/>
        <w:adjustRightInd/>
        <w:spacing w:before="0"/>
        <w:textAlignment w:val="auto"/>
        <w:rPr>
          <w:b/>
          <w:bCs/>
          <w:lang w:val="es-ES"/>
        </w:rPr>
      </w:pPr>
      <w:r>
        <w:rPr>
          <w:b/>
          <w:bCs/>
          <w:lang w:val="es-ES"/>
        </w:rPr>
        <w:br w:type="page"/>
      </w:r>
    </w:p>
    <w:p w14:paraId="67762140" w14:textId="7A34D8A3" w:rsidR="002F45CD" w:rsidRPr="0092378B" w:rsidRDefault="002F45CD" w:rsidP="006321BC">
      <w:pPr>
        <w:rPr>
          <w:lang w:val="es-ES"/>
        </w:rPr>
      </w:pPr>
      <w:r w:rsidRPr="0092378B">
        <w:rPr>
          <w:lang w:val="es-ES"/>
        </w:rPr>
        <w:lastRenderedPageBreak/>
        <w:t>8</w:t>
      </w:r>
      <w:r w:rsidRPr="0092378B">
        <w:rPr>
          <w:lang w:val="es-ES"/>
        </w:rPr>
        <w:tab/>
        <w:t xml:space="preserve">La reunión </w:t>
      </w:r>
      <w:r w:rsidRPr="0092378B">
        <w:rPr>
          <w:b/>
          <w:bCs/>
          <w:lang w:val="es-ES"/>
        </w:rPr>
        <w:t>dará comienzo a las</w:t>
      </w:r>
      <w:r w:rsidRPr="0092378B">
        <w:rPr>
          <w:b/>
          <w:lang w:val="es-ES"/>
        </w:rPr>
        <w:t xml:space="preserve"> 09.30 horas</w:t>
      </w:r>
      <w:r w:rsidRPr="0092378B">
        <w:rPr>
          <w:lang w:val="es-ES"/>
        </w:rPr>
        <w:t xml:space="preserve"> del primer día y los participantes podrán inscribirse a partir de las 08.30 horas. El orden del día de la reunión podrá consultarse en la página web del FG-</w:t>
      </w:r>
      <w:r w:rsidR="000941BA" w:rsidRPr="0092378B">
        <w:rPr>
          <w:lang w:val="es-ES"/>
        </w:rPr>
        <w:t>AI4AD</w:t>
      </w:r>
      <w:r w:rsidRPr="0092378B">
        <w:rPr>
          <w:lang w:val="es-ES"/>
        </w:rPr>
        <w:t xml:space="preserve"> antes de la </w:t>
      </w:r>
      <w:r w:rsidR="00496C36">
        <w:rPr>
          <w:lang w:val="es-ES"/>
        </w:rPr>
        <w:t>misma</w:t>
      </w:r>
      <w:r w:rsidRPr="0092378B">
        <w:rPr>
          <w:lang w:val="es-ES"/>
        </w:rPr>
        <w:t xml:space="preserve">. Los debates se celebrarán únicamente en inglés y </w:t>
      </w:r>
      <w:r w:rsidR="0089096A" w:rsidRPr="0092378B">
        <w:rPr>
          <w:lang w:val="es-ES"/>
        </w:rPr>
        <w:t>se brindará</w:t>
      </w:r>
      <w:r w:rsidRPr="0092378B">
        <w:rPr>
          <w:lang w:val="es-ES"/>
        </w:rPr>
        <w:t xml:space="preserve"> la posibilidad de </w:t>
      </w:r>
      <w:r w:rsidRPr="0092378B">
        <w:rPr>
          <w:b/>
          <w:bCs/>
          <w:lang w:val="es-ES"/>
        </w:rPr>
        <w:t xml:space="preserve">participar a distancia. </w:t>
      </w:r>
      <w:r w:rsidRPr="0092378B">
        <w:rPr>
          <w:lang w:val="es-ES"/>
        </w:rPr>
        <w:t>En la página web del FG-</w:t>
      </w:r>
      <w:r w:rsidR="00ED41F0" w:rsidRPr="0092378B">
        <w:rPr>
          <w:lang w:val="es-ES"/>
        </w:rPr>
        <w:t>AI4AD</w:t>
      </w:r>
      <w:r w:rsidRPr="0092378B">
        <w:rPr>
          <w:lang w:val="es-ES"/>
        </w:rPr>
        <w:t xml:space="preserve"> </w:t>
      </w:r>
      <w:r w:rsidR="0089096A" w:rsidRPr="0092378B">
        <w:rPr>
          <w:lang w:val="es-ES"/>
        </w:rPr>
        <w:t>se publicará</w:t>
      </w:r>
      <w:r w:rsidRPr="0092378B">
        <w:rPr>
          <w:lang w:val="es-ES"/>
        </w:rPr>
        <w:t xml:space="preserve"> información pormenorizada al respecto.</w:t>
      </w:r>
    </w:p>
    <w:p w14:paraId="732E92DA" w14:textId="53656A90" w:rsidR="00ED41F0" w:rsidRPr="0092378B" w:rsidRDefault="00ED41F0" w:rsidP="0089096A">
      <w:pPr>
        <w:rPr>
          <w:lang w:val="es-ES"/>
        </w:rPr>
      </w:pPr>
      <w:r w:rsidRPr="0092378B">
        <w:rPr>
          <w:lang w:val="es-ES"/>
        </w:rPr>
        <w:t>9</w:t>
      </w:r>
      <w:r w:rsidRPr="0092378B">
        <w:rPr>
          <w:lang w:val="es-ES"/>
        </w:rPr>
        <w:tab/>
      </w:r>
      <w:r w:rsidR="0089096A" w:rsidRPr="0092378B">
        <w:rPr>
          <w:lang w:val="es-ES"/>
        </w:rPr>
        <w:t>La información práctica y logística de las reuniones podrá consultarse en la página web del FG-AI4AD (</w:t>
      </w:r>
      <w:hyperlink r:id="rId14" w:history="1">
        <w:r w:rsidR="0089096A" w:rsidRPr="0092378B">
          <w:rPr>
            <w:rStyle w:val="Hyperlink"/>
            <w:lang w:val="es-ES"/>
          </w:rPr>
          <w:t>http://itu.int/go/fgai4ad</w:t>
        </w:r>
      </w:hyperlink>
      <w:r w:rsidR="0089096A" w:rsidRPr="0092378B">
        <w:rPr>
          <w:lang w:val="es-ES"/>
        </w:rPr>
        <w:t>). Las cartas de apoyo a la obtención de visado</w:t>
      </w:r>
      <w:r w:rsidR="00496C36">
        <w:rPr>
          <w:lang w:val="es-ES"/>
        </w:rPr>
        <w:t>s</w:t>
      </w:r>
      <w:r w:rsidR="0089096A" w:rsidRPr="0092378B">
        <w:rPr>
          <w:lang w:val="es-ES"/>
        </w:rPr>
        <w:t xml:space="preserve"> pueden solicitarse utilizando el formulario que figura en el </w:t>
      </w:r>
      <w:r w:rsidR="0089096A" w:rsidRPr="0092378B">
        <w:rPr>
          <w:b/>
          <w:bCs/>
          <w:lang w:val="es-ES"/>
        </w:rPr>
        <w:t>Anexo 2</w:t>
      </w:r>
      <w:r w:rsidR="0089096A" w:rsidRPr="0092378B">
        <w:rPr>
          <w:lang w:val="es-ES"/>
        </w:rPr>
        <w:t>.</w:t>
      </w:r>
    </w:p>
    <w:p w14:paraId="39E68086" w14:textId="442C93CC" w:rsidR="002F45CD" w:rsidRPr="0092378B" w:rsidRDefault="00702144" w:rsidP="00450B12">
      <w:pPr>
        <w:keepNext/>
        <w:keepLines/>
        <w:rPr>
          <w:lang w:val="es-ES"/>
        </w:rPr>
      </w:pPr>
      <w:r w:rsidRPr="0092378B">
        <w:rPr>
          <w:lang w:val="es-ES"/>
        </w:rPr>
        <w:t>10</w:t>
      </w:r>
      <w:r w:rsidRPr="0092378B">
        <w:rPr>
          <w:lang w:val="es-ES"/>
        </w:rPr>
        <w:tab/>
      </w:r>
      <w:r w:rsidR="002F45CD" w:rsidRPr="0092378B">
        <w:rPr>
          <w:lang w:val="es-ES"/>
        </w:rPr>
        <w:tab/>
        <w:t xml:space="preserve">Con objeto de que el anfitrión pueda adoptar las disposiciones logísticas necesarias, se insta a los participantes a </w:t>
      </w:r>
      <w:r w:rsidR="000171C0" w:rsidRPr="0092378B">
        <w:rPr>
          <w:lang w:val="es-ES"/>
        </w:rPr>
        <w:t>efectuar</w:t>
      </w:r>
      <w:r w:rsidR="002F45CD" w:rsidRPr="0092378B">
        <w:rPr>
          <w:lang w:val="es-ES"/>
        </w:rPr>
        <w:t xml:space="preserve"> la </w:t>
      </w:r>
      <w:r w:rsidR="002F45CD" w:rsidRPr="0092378B">
        <w:rPr>
          <w:b/>
          <w:bCs/>
          <w:lang w:val="es-ES"/>
        </w:rPr>
        <w:t xml:space="preserve">preinscripción en línea </w:t>
      </w:r>
      <w:r w:rsidR="002F45CD" w:rsidRPr="0092378B">
        <w:rPr>
          <w:lang w:val="es-ES"/>
        </w:rPr>
        <w:t xml:space="preserve">a través de la </w:t>
      </w:r>
      <w:hyperlink r:id="rId15" w:history="1">
        <w:r w:rsidR="002F45CD" w:rsidRPr="001A61EC">
          <w:rPr>
            <w:rStyle w:val="Hyperlink"/>
            <w:lang w:val="es-ES"/>
          </w:rPr>
          <w:t>página web del FG</w:t>
        </w:r>
        <w:r w:rsidR="0057340D" w:rsidRPr="001A61EC">
          <w:rPr>
            <w:rStyle w:val="Hyperlink"/>
            <w:lang w:val="es-ES"/>
          </w:rPr>
          <w:noBreakHyphen/>
          <w:t>AI4AD</w:t>
        </w:r>
      </w:hyperlink>
      <w:r w:rsidR="002F45CD" w:rsidRPr="0092378B">
        <w:rPr>
          <w:lang w:val="es-ES"/>
        </w:rPr>
        <w:t xml:space="preserve"> lo antes posible y </w:t>
      </w:r>
      <w:r w:rsidR="002F45CD" w:rsidRPr="0092378B">
        <w:rPr>
          <w:b/>
          <w:bCs/>
          <w:lang w:val="es-ES"/>
        </w:rPr>
        <w:t xml:space="preserve">a más tardar el </w:t>
      </w:r>
      <w:r w:rsidR="007128FB" w:rsidRPr="0092378B">
        <w:rPr>
          <w:b/>
          <w:bCs/>
          <w:lang w:val="es-ES"/>
        </w:rPr>
        <w:t>20 de diciembre de 2019</w:t>
      </w:r>
      <w:r w:rsidR="002F45CD" w:rsidRPr="0092378B">
        <w:rPr>
          <w:lang w:val="es-ES"/>
        </w:rPr>
        <w:t xml:space="preserve">. El número de plazas es limitado y las inscripciones se tramitarán </w:t>
      </w:r>
      <w:r w:rsidR="002F45CD" w:rsidRPr="0092378B">
        <w:rPr>
          <w:b/>
          <w:bCs/>
          <w:lang w:val="es-ES"/>
        </w:rPr>
        <w:t>en el orden en que se reciban</w:t>
      </w:r>
      <w:r w:rsidR="002F45CD" w:rsidRPr="0092378B">
        <w:rPr>
          <w:lang w:val="es-ES"/>
        </w:rPr>
        <w:t xml:space="preserve">. </w:t>
      </w:r>
      <w:r w:rsidR="002F45CD" w:rsidRPr="0092378B">
        <w:rPr>
          <w:u w:val="single"/>
          <w:lang w:val="es-ES"/>
        </w:rPr>
        <w:t>La inscripción es obligatoria tanto para participar a distancia</w:t>
      </w:r>
      <w:r w:rsidR="002F45CD" w:rsidRPr="0092378B">
        <w:rPr>
          <w:lang w:val="es-ES"/>
        </w:rPr>
        <w:t xml:space="preserve"> como para asistir en persona a la reunión</w:t>
      </w:r>
      <w:r w:rsidR="00DE1A05" w:rsidRPr="0092378B">
        <w:rPr>
          <w:lang w:val="es-ES"/>
        </w:rPr>
        <w:t>.</w:t>
      </w:r>
    </w:p>
    <w:p w14:paraId="79F96BED" w14:textId="1DBFE0A8" w:rsidR="002F45CD" w:rsidRPr="00C216F6" w:rsidRDefault="002F45CD" w:rsidP="0098109A">
      <w:pPr>
        <w:pStyle w:val="Headingb0"/>
        <w:spacing w:before="240" w:after="120"/>
        <w:rPr>
          <w:szCs w:val="24"/>
          <w:lang w:val="es-ES"/>
        </w:rPr>
      </w:pPr>
      <w:r w:rsidRPr="00C216F6">
        <w:rPr>
          <w:szCs w:val="24"/>
          <w:lang w:val="es-ES"/>
        </w:rPr>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4"/>
      </w:tblGrid>
      <w:tr w:rsidR="002F45CD" w:rsidRPr="00C216F6" w14:paraId="3539D237" w14:textId="77777777" w:rsidTr="00450B12">
        <w:tc>
          <w:tcPr>
            <w:tcW w:w="1306" w:type="pct"/>
            <w:shd w:val="clear" w:color="auto" w:fill="auto"/>
            <w:vAlign w:val="center"/>
          </w:tcPr>
          <w:p w14:paraId="70AE6565" w14:textId="3301D0B1" w:rsidR="002F45CD" w:rsidRPr="00C216F6" w:rsidRDefault="00D2598F" w:rsidP="006321BC">
            <w:pPr>
              <w:pStyle w:val="Tabletext0"/>
              <w:rPr>
                <w:sz w:val="24"/>
                <w:szCs w:val="24"/>
                <w:lang w:val="es-ES"/>
              </w:rPr>
            </w:pPr>
            <w:r w:rsidRPr="00C216F6">
              <w:rPr>
                <w:sz w:val="24"/>
                <w:szCs w:val="24"/>
                <w:lang w:val="es-ES"/>
              </w:rPr>
              <w:t>29 de noviembre de 2019</w:t>
            </w:r>
            <w:r w:rsidR="002F45CD" w:rsidRPr="00C216F6">
              <w:rPr>
                <w:sz w:val="24"/>
                <w:szCs w:val="24"/>
                <w:lang w:val="es-ES"/>
              </w:rPr>
              <w:t xml:space="preserve"> (plazo flexible)</w:t>
            </w:r>
          </w:p>
        </w:tc>
        <w:tc>
          <w:tcPr>
            <w:tcW w:w="3694" w:type="pct"/>
            <w:shd w:val="clear" w:color="auto" w:fill="auto"/>
            <w:vAlign w:val="center"/>
          </w:tcPr>
          <w:p w14:paraId="6D74CF19" w14:textId="13326CF4" w:rsidR="002F45CD" w:rsidRPr="00C216F6" w:rsidRDefault="000557B1" w:rsidP="006321BC">
            <w:pPr>
              <w:pStyle w:val="Tabletext0"/>
              <w:ind w:left="284" w:hanging="284"/>
              <w:rPr>
                <w:sz w:val="24"/>
                <w:szCs w:val="24"/>
                <w:lang w:val="es-ES"/>
              </w:rPr>
            </w:pPr>
            <w:r w:rsidRPr="00C216F6">
              <w:rPr>
                <w:sz w:val="24"/>
                <w:szCs w:val="24"/>
                <w:lang w:val="es-ES"/>
              </w:rPr>
              <w:t>–</w:t>
            </w:r>
            <w:r w:rsidRPr="00C216F6">
              <w:rPr>
                <w:sz w:val="24"/>
                <w:szCs w:val="24"/>
                <w:lang w:val="es-ES"/>
              </w:rPr>
              <w:tab/>
            </w:r>
            <w:r w:rsidR="002F45CD" w:rsidRPr="00C216F6">
              <w:rPr>
                <w:sz w:val="24"/>
                <w:szCs w:val="24"/>
                <w:lang w:val="es-ES"/>
              </w:rPr>
              <w:t xml:space="preserve">Presentación de solicitudes de cartas de apoyo a la obtención de visados (véase el </w:t>
            </w:r>
            <w:r w:rsidR="002F45CD" w:rsidRPr="00C216F6">
              <w:rPr>
                <w:b/>
                <w:bCs/>
                <w:sz w:val="24"/>
                <w:szCs w:val="24"/>
                <w:lang w:val="es-ES"/>
              </w:rPr>
              <w:t xml:space="preserve">Anexo </w:t>
            </w:r>
            <w:r w:rsidR="0098109A">
              <w:rPr>
                <w:b/>
                <w:bCs/>
                <w:sz w:val="24"/>
                <w:szCs w:val="24"/>
                <w:lang w:val="es-ES"/>
              </w:rPr>
              <w:t>2</w:t>
            </w:r>
            <w:r w:rsidR="002F45CD" w:rsidRPr="00C216F6">
              <w:rPr>
                <w:sz w:val="24"/>
                <w:szCs w:val="24"/>
                <w:lang w:val="es-ES"/>
              </w:rPr>
              <w:t>)</w:t>
            </w:r>
          </w:p>
        </w:tc>
      </w:tr>
      <w:tr w:rsidR="002F45CD" w:rsidRPr="00C216F6" w14:paraId="1922B992" w14:textId="77777777" w:rsidTr="00450B12">
        <w:tc>
          <w:tcPr>
            <w:tcW w:w="1306" w:type="pct"/>
            <w:shd w:val="clear" w:color="auto" w:fill="auto"/>
            <w:vAlign w:val="center"/>
          </w:tcPr>
          <w:p w14:paraId="0642639F" w14:textId="039E6E35" w:rsidR="002F45CD" w:rsidRPr="00C216F6" w:rsidRDefault="00D2598F" w:rsidP="006321BC">
            <w:pPr>
              <w:pStyle w:val="Tabletext0"/>
              <w:rPr>
                <w:sz w:val="24"/>
                <w:szCs w:val="24"/>
                <w:lang w:val="es-ES"/>
              </w:rPr>
            </w:pPr>
            <w:r w:rsidRPr="00C216F6">
              <w:rPr>
                <w:sz w:val="24"/>
                <w:szCs w:val="24"/>
                <w:lang w:val="es-ES"/>
              </w:rPr>
              <w:t>20 de diciembre de 2019</w:t>
            </w:r>
          </w:p>
        </w:tc>
        <w:tc>
          <w:tcPr>
            <w:tcW w:w="3694" w:type="pct"/>
            <w:shd w:val="clear" w:color="auto" w:fill="auto"/>
            <w:vAlign w:val="center"/>
          </w:tcPr>
          <w:p w14:paraId="2E735222" w14:textId="03218BF3" w:rsidR="002F45CD" w:rsidRPr="00C216F6" w:rsidRDefault="000557B1" w:rsidP="006321BC">
            <w:pPr>
              <w:pStyle w:val="Tabletext0"/>
              <w:rPr>
                <w:sz w:val="24"/>
                <w:szCs w:val="24"/>
                <w:lang w:val="es-ES"/>
              </w:rPr>
            </w:pPr>
            <w:r w:rsidRPr="00C216F6">
              <w:rPr>
                <w:sz w:val="24"/>
                <w:szCs w:val="24"/>
                <w:lang w:val="es-ES"/>
              </w:rPr>
              <w:t>–</w:t>
            </w:r>
            <w:r w:rsidRPr="00C216F6">
              <w:rPr>
                <w:sz w:val="24"/>
                <w:szCs w:val="24"/>
                <w:lang w:val="es-ES"/>
              </w:rPr>
              <w:tab/>
            </w:r>
            <w:r w:rsidR="002F45CD" w:rsidRPr="00C216F6">
              <w:rPr>
                <w:sz w:val="24"/>
                <w:szCs w:val="24"/>
                <w:lang w:val="es-ES"/>
              </w:rPr>
              <w:t xml:space="preserve">Preinscripción (en línea a través de la </w:t>
            </w:r>
            <w:hyperlink r:id="rId16" w:history="1">
              <w:r w:rsidR="00622CC8" w:rsidRPr="00C216F6">
                <w:rPr>
                  <w:rStyle w:val="Hyperlink"/>
                  <w:sz w:val="24"/>
                  <w:szCs w:val="24"/>
                  <w:lang w:val="es-ES"/>
                </w:rPr>
                <w:t>página web del FG-AI4AD</w:t>
              </w:r>
            </w:hyperlink>
            <w:r w:rsidR="002F45CD" w:rsidRPr="00C216F6">
              <w:rPr>
                <w:sz w:val="24"/>
                <w:szCs w:val="24"/>
                <w:lang w:val="es-ES"/>
              </w:rPr>
              <w:t>)</w:t>
            </w:r>
          </w:p>
        </w:tc>
      </w:tr>
      <w:tr w:rsidR="00D2598F" w:rsidRPr="00C216F6" w14:paraId="2C29F37E" w14:textId="77777777" w:rsidTr="00450B12">
        <w:tc>
          <w:tcPr>
            <w:tcW w:w="1306" w:type="pct"/>
            <w:shd w:val="clear" w:color="auto" w:fill="auto"/>
            <w:vAlign w:val="center"/>
          </w:tcPr>
          <w:p w14:paraId="33D8D26A" w14:textId="332BF24F" w:rsidR="00D2598F" w:rsidRPr="00C216F6" w:rsidRDefault="00D2598F" w:rsidP="006321BC">
            <w:pPr>
              <w:pStyle w:val="Tabletext0"/>
              <w:rPr>
                <w:sz w:val="24"/>
                <w:szCs w:val="24"/>
                <w:lang w:val="es-ES"/>
              </w:rPr>
            </w:pPr>
            <w:r w:rsidRPr="00C216F6">
              <w:rPr>
                <w:sz w:val="24"/>
                <w:szCs w:val="24"/>
                <w:lang w:val="es-ES"/>
              </w:rPr>
              <w:t>13 de enero de 2020</w:t>
            </w:r>
          </w:p>
        </w:tc>
        <w:tc>
          <w:tcPr>
            <w:tcW w:w="3694" w:type="pct"/>
            <w:shd w:val="clear" w:color="auto" w:fill="auto"/>
            <w:vAlign w:val="center"/>
          </w:tcPr>
          <w:p w14:paraId="200CF544" w14:textId="7B071908" w:rsidR="00D2598F" w:rsidRPr="00C216F6" w:rsidRDefault="00D2598F" w:rsidP="00450B12">
            <w:pPr>
              <w:pStyle w:val="Tabletext0"/>
              <w:ind w:left="284" w:hanging="284"/>
              <w:rPr>
                <w:sz w:val="24"/>
                <w:szCs w:val="24"/>
                <w:lang w:val="es-ES"/>
              </w:rPr>
            </w:pPr>
            <w:r w:rsidRPr="00C216F6">
              <w:rPr>
                <w:sz w:val="24"/>
                <w:szCs w:val="24"/>
                <w:lang w:val="es-ES"/>
              </w:rPr>
              <w:t>–</w:t>
            </w:r>
            <w:r w:rsidRPr="00C216F6">
              <w:rPr>
                <w:sz w:val="24"/>
                <w:szCs w:val="24"/>
                <w:lang w:val="es-ES"/>
              </w:rPr>
              <w:tab/>
              <w:t xml:space="preserve">Presentación de contribuciones por escrito (por correo-e a </w:t>
            </w:r>
            <w:hyperlink r:id="rId17" w:history="1">
              <w:r w:rsidR="00622CC8" w:rsidRPr="00C216F6">
                <w:rPr>
                  <w:rStyle w:val="Hyperlink"/>
                  <w:sz w:val="24"/>
                  <w:szCs w:val="24"/>
                  <w:lang w:val="es-ES"/>
                </w:rPr>
                <w:t>tsbfgai4ad@itu.int</w:t>
              </w:r>
            </w:hyperlink>
            <w:r w:rsidRPr="00C216F6">
              <w:rPr>
                <w:sz w:val="24"/>
                <w:szCs w:val="24"/>
                <w:lang w:val="es-ES"/>
              </w:rPr>
              <w:t>)</w:t>
            </w:r>
          </w:p>
        </w:tc>
      </w:tr>
    </w:tbl>
    <w:p w14:paraId="6435D9FF" w14:textId="77777777" w:rsidR="002F45CD" w:rsidRPr="0092378B" w:rsidRDefault="002F45CD" w:rsidP="006321BC">
      <w:pPr>
        <w:pStyle w:val="Normalaftertitle"/>
        <w:spacing w:after="120"/>
        <w:rPr>
          <w:lang w:val="es-ES"/>
        </w:rPr>
      </w:pPr>
      <w:r w:rsidRPr="0092378B">
        <w:rPr>
          <w:lang w:val="es-ES"/>
        </w:rPr>
        <w:t>Le deseo una reunión agradable y productiva.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2F45CD" w:rsidRPr="0092378B" w14:paraId="2696AB27" w14:textId="77777777" w:rsidTr="0065459C">
        <w:trPr>
          <w:trHeight w:val="1955"/>
          <w:jc w:val="center"/>
        </w:trPr>
        <w:tc>
          <w:tcPr>
            <w:tcW w:w="6663" w:type="dxa"/>
            <w:tcBorders>
              <w:right w:val="single" w:sz="4" w:space="0" w:color="auto"/>
            </w:tcBorders>
          </w:tcPr>
          <w:p w14:paraId="00F9022D" w14:textId="77777777" w:rsidR="002F45CD" w:rsidRPr="0092378B" w:rsidRDefault="002F45CD" w:rsidP="006321BC">
            <w:pPr>
              <w:ind w:left="-105"/>
              <w:rPr>
                <w:lang w:val="es-ES"/>
              </w:rPr>
            </w:pPr>
            <w:r w:rsidRPr="0092378B">
              <w:rPr>
                <w:lang w:val="es-ES"/>
              </w:rPr>
              <w:t>Atentamente,</w:t>
            </w:r>
          </w:p>
          <w:p w14:paraId="6E0A37C9" w14:textId="70EBA6B9" w:rsidR="002F45CD" w:rsidRPr="0092378B" w:rsidRDefault="00666B08" w:rsidP="00666B08">
            <w:pPr>
              <w:spacing w:before="960"/>
              <w:ind w:left="-101"/>
              <w:rPr>
                <w:lang w:val="es-ES"/>
              </w:rPr>
            </w:pPr>
            <w:r>
              <w:rPr>
                <w:noProof/>
                <w:szCs w:val="24"/>
                <w:lang w:val="en-GB" w:eastAsia="en-GB"/>
              </w:rPr>
              <w:drawing>
                <wp:anchor distT="0" distB="0" distL="114300" distR="114300" simplePos="0" relativeHeight="251658240" behindDoc="1" locked="0" layoutInCell="1" allowOverlap="1" wp14:anchorId="76316F49" wp14:editId="6FC358DE">
                  <wp:simplePos x="0" y="0"/>
                  <wp:positionH relativeFrom="column">
                    <wp:posOffset>-121919</wp:posOffset>
                  </wp:positionH>
                  <wp:positionV relativeFrom="paragraph">
                    <wp:posOffset>109856</wp:posOffset>
                  </wp:positionV>
                  <wp:extent cx="990600" cy="4461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8">
                            <a:extLst>
                              <a:ext uri="{28A0092B-C50C-407E-A947-70E740481C1C}">
                                <a14:useLocalDpi xmlns:a14="http://schemas.microsoft.com/office/drawing/2010/main" val="0"/>
                              </a:ext>
                            </a:extLst>
                          </a:blip>
                          <a:stretch>
                            <a:fillRect/>
                          </a:stretch>
                        </pic:blipFill>
                        <pic:spPr>
                          <a:xfrm>
                            <a:off x="0" y="0"/>
                            <a:ext cx="1002244" cy="451392"/>
                          </a:xfrm>
                          <a:prstGeom prst="rect">
                            <a:avLst/>
                          </a:prstGeom>
                        </pic:spPr>
                      </pic:pic>
                    </a:graphicData>
                  </a:graphic>
                  <wp14:sizeRelH relativeFrom="margin">
                    <wp14:pctWidth>0</wp14:pctWidth>
                  </wp14:sizeRelH>
                  <wp14:sizeRelV relativeFrom="margin">
                    <wp14:pctHeight>0</wp14:pctHeight>
                  </wp14:sizeRelV>
                </wp:anchor>
              </w:drawing>
            </w:r>
            <w:r w:rsidR="002F45CD" w:rsidRPr="0092378B">
              <w:rPr>
                <w:szCs w:val="24"/>
                <w:lang w:val="es-ES"/>
              </w:rPr>
              <w:t>Chaesub Lee</w:t>
            </w:r>
            <w:r w:rsidR="002F45CD" w:rsidRPr="0092378B">
              <w:rPr>
                <w:lang w:val="es-ES"/>
              </w:rPr>
              <w:br/>
              <w:t xml:space="preserve">Director de la Oficina de </w:t>
            </w:r>
            <w:r w:rsidR="002F45CD" w:rsidRPr="0092378B">
              <w:rPr>
                <w:lang w:val="es-ES"/>
              </w:rPr>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0B102F" w14:textId="0C0835C2" w:rsidR="002F45CD" w:rsidRPr="0092378B" w:rsidRDefault="00C0505E" w:rsidP="006321BC">
            <w:pPr>
              <w:spacing w:before="0"/>
              <w:jc w:val="center"/>
              <w:rPr>
                <w:lang w:val="es-ES"/>
              </w:rPr>
            </w:pPr>
            <w:r>
              <w:rPr>
                <w:noProof/>
                <w:lang w:val="en-GB" w:eastAsia="en-GB"/>
              </w:rPr>
              <w:drawing>
                <wp:inline distT="0" distB="0" distL="0" distR="0" wp14:anchorId="3203163D" wp14:editId="3B78F5EE">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814" cy="1161524"/>
                          </a:xfrm>
                          <a:prstGeom prst="rect">
                            <a:avLst/>
                          </a:prstGeom>
                        </pic:spPr>
                      </pic:pic>
                    </a:graphicData>
                  </a:graphic>
                </wp:inline>
              </w:drawing>
            </w:r>
          </w:p>
          <w:p w14:paraId="58789FC8" w14:textId="4855F30C" w:rsidR="002F45CD" w:rsidRPr="0092378B" w:rsidRDefault="000171C0" w:rsidP="006321BC">
            <w:pPr>
              <w:spacing w:before="0"/>
              <w:jc w:val="center"/>
              <w:rPr>
                <w:lang w:val="es-ES"/>
              </w:rPr>
            </w:pPr>
            <w:r w:rsidRPr="0092378B">
              <w:rPr>
                <w:sz w:val="20"/>
                <w:szCs w:val="16"/>
                <w:lang w:val="es-ES"/>
              </w:rPr>
              <w:t>Novedades</w:t>
            </w:r>
            <w:r w:rsidR="002F45CD" w:rsidRPr="0092378B">
              <w:rPr>
                <w:sz w:val="20"/>
                <w:szCs w:val="16"/>
                <w:lang w:val="es-ES"/>
              </w:rPr>
              <w:t xml:space="preserve"> sobre la reunión</w:t>
            </w:r>
          </w:p>
        </w:tc>
      </w:tr>
    </w:tbl>
    <w:p w14:paraId="7D30B56E" w14:textId="1C2823A1" w:rsidR="00C34772" w:rsidRPr="0092378B" w:rsidRDefault="002F45CD" w:rsidP="0098109A">
      <w:pPr>
        <w:spacing w:before="4000"/>
        <w:rPr>
          <w:bCs/>
          <w:lang w:val="es-ES"/>
        </w:rPr>
      </w:pPr>
      <w:r w:rsidRPr="0092378B">
        <w:rPr>
          <w:b/>
          <w:bCs/>
          <w:lang w:val="es-ES"/>
        </w:rPr>
        <w:t>Anexos</w:t>
      </w:r>
      <w:r w:rsidR="0098109A">
        <w:rPr>
          <w:lang w:val="es-ES"/>
        </w:rPr>
        <w:t>: 2</w:t>
      </w:r>
      <w:bookmarkStart w:id="1" w:name="_GoBack"/>
      <w:bookmarkEnd w:id="1"/>
    </w:p>
    <w:p w14:paraId="50AD3AFD" w14:textId="77777777" w:rsidR="002F45CD" w:rsidRPr="0092378B" w:rsidRDefault="002F45CD" w:rsidP="006321BC">
      <w:pPr>
        <w:tabs>
          <w:tab w:val="clear" w:pos="794"/>
          <w:tab w:val="clear" w:pos="1191"/>
          <w:tab w:val="clear" w:pos="1588"/>
          <w:tab w:val="clear" w:pos="1985"/>
        </w:tabs>
        <w:overflowPunct/>
        <w:autoSpaceDE/>
        <w:autoSpaceDN/>
        <w:adjustRightInd/>
        <w:spacing w:before="0"/>
        <w:textAlignment w:val="auto"/>
        <w:rPr>
          <w:lang w:val="es-ES"/>
        </w:rPr>
      </w:pPr>
      <w:r w:rsidRPr="0092378B">
        <w:rPr>
          <w:lang w:val="es-ES"/>
        </w:rPr>
        <w:br w:type="page"/>
      </w:r>
    </w:p>
    <w:p w14:paraId="42299A92" w14:textId="77777777" w:rsidR="00990D26" w:rsidRPr="00650A29" w:rsidRDefault="00990D26" w:rsidP="00990D26">
      <w:pPr>
        <w:pStyle w:val="AnnexNo"/>
        <w:rPr>
          <w:rFonts w:asciiTheme="minorHAnsi" w:hAnsiTheme="minorHAnsi"/>
          <w:szCs w:val="28"/>
        </w:rPr>
      </w:pPr>
      <w:r w:rsidRPr="00650A29">
        <w:rPr>
          <w:rFonts w:asciiTheme="minorHAnsi" w:hAnsiTheme="minorHAnsi"/>
          <w:bCs/>
          <w:szCs w:val="28"/>
        </w:rPr>
        <w:lastRenderedPageBreak/>
        <w:t>ANNEX 1</w:t>
      </w:r>
      <w:r w:rsidRPr="00650A29">
        <w:rPr>
          <w:rFonts w:asciiTheme="minorHAnsi" w:hAnsiTheme="minorHAnsi"/>
          <w:bCs/>
          <w:szCs w:val="28"/>
        </w:rPr>
        <w:br/>
      </w:r>
      <w:r w:rsidRPr="00650A29">
        <w:rPr>
          <w:rFonts w:asciiTheme="minorHAnsi" w:hAnsiTheme="minorHAnsi"/>
          <w:bCs/>
          <w:szCs w:val="28"/>
        </w:rPr>
        <w:br/>
      </w:r>
      <w:r w:rsidRPr="00650A29">
        <w:rPr>
          <w:rFonts w:asciiTheme="minorHAnsi" w:hAnsiTheme="minorHAnsi"/>
          <w:szCs w:val="28"/>
        </w:rPr>
        <w:t>Terms of Reference:</w:t>
      </w:r>
      <w:r w:rsidRPr="00650A29">
        <w:rPr>
          <w:rFonts w:asciiTheme="minorHAnsi" w:hAnsiTheme="minorHAnsi"/>
          <w:szCs w:val="28"/>
        </w:rPr>
        <w:br/>
        <w:t xml:space="preserve">ITU-T Focus Group on "AI FOR AUTONOMOUS AND ASSISTED DRIVING" </w:t>
      </w:r>
    </w:p>
    <w:p w14:paraId="511BA2B0" w14:textId="77777777" w:rsidR="00990D26" w:rsidRPr="00650A29" w:rsidRDefault="00990D26" w:rsidP="00990D26">
      <w:pPr>
        <w:pStyle w:val="AnnexNo"/>
        <w:spacing w:before="0"/>
        <w:rPr>
          <w:rFonts w:asciiTheme="minorHAnsi" w:hAnsiTheme="minorHAnsi"/>
          <w:szCs w:val="28"/>
        </w:rPr>
      </w:pPr>
      <w:r w:rsidRPr="00650A29">
        <w:rPr>
          <w:rFonts w:asciiTheme="minorHAnsi" w:hAnsiTheme="minorHAnsi"/>
          <w:szCs w:val="28"/>
        </w:rPr>
        <w:t>(FG-AI4AD)</w:t>
      </w:r>
    </w:p>
    <w:p w14:paraId="2C3D1700" w14:textId="77777777" w:rsidR="00990D26" w:rsidRPr="00990D26" w:rsidRDefault="00990D26" w:rsidP="00990D26">
      <w:pPr>
        <w:jc w:val="center"/>
        <w:rPr>
          <w:rFonts w:eastAsiaTheme="minorEastAsia"/>
          <w:sz w:val="28"/>
          <w:szCs w:val="28"/>
          <w:lang w:val="en-GB"/>
        </w:rPr>
      </w:pPr>
      <w:r w:rsidRPr="00990D26">
        <w:rPr>
          <w:sz w:val="28"/>
          <w:szCs w:val="28"/>
          <w:lang w:val="en-GB"/>
        </w:rPr>
        <w:t>(Approved by ITU-T SG16 on 17 October 2019)</w:t>
      </w:r>
    </w:p>
    <w:p w14:paraId="3EA82567" w14:textId="77777777" w:rsidR="00990D26" w:rsidRPr="00990D26" w:rsidRDefault="00990D26" w:rsidP="00990D26">
      <w:pPr>
        <w:pStyle w:val="Headingb0"/>
        <w:tabs>
          <w:tab w:val="clear" w:pos="794"/>
          <w:tab w:val="left" w:pos="567"/>
        </w:tabs>
        <w:rPr>
          <w:lang w:val="en-GB"/>
        </w:rPr>
      </w:pPr>
      <w:bookmarkStart w:id="2" w:name="_Hlk7618046"/>
      <w:r w:rsidRPr="00990D26">
        <w:rPr>
          <w:lang w:val="en-GB"/>
        </w:rPr>
        <w:t>1.</w:t>
      </w:r>
      <w:r w:rsidRPr="00990D26">
        <w:rPr>
          <w:lang w:val="en-GB"/>
        </w:rPr>
        <w:tab/>
        <w:t>Rationale and Scope</w:t>
      </w:r>
    </w:p>
    <w:p w14:paraId="53AFC86B" w14:textId="77777777" w:rsidR="00990D26" w:rsidRPr="00990D26" w:rsidRDefault="00990D26" w:rsidP="00990D26">
      <w:pPr>
        <w:rPr>
          <w:rFonts w:cstheme="minorHAnsi"/>
          <w:szCs w:val="24"/>
          <w:lang w:val="en-GB"/>
        </w:rPr>
      </w:pPr>
      <w:r w:rsidRPr="00990D26">
        <w:rPr>
          <w:rFonts w:cstheme="minorHAnsi"/>
          <w:szCs w:val="24"/>
          <w:lang w:val="en-GB"/>
        </w:rPr>
        <w:t xml:space="preserve">The application of AI on our roads will enable new services and applications and accelerate progress towards the United Nations Sustainable Development Goals. </w:t>
      </w:r>
    </w:p>
    <w:p w14:paraId="19A88F35" w14:textId="77777777" w:rsidR="00990D26" w:rsidRPr="00990D26" w:rsidRDefault="00990D26" w:rsidP="00990D26">
      <w:pPr>
        <w:rPr>
          <w:rFonts w:cstheme="minorHAnsi"/>
          <w:szCs w:val="24"/>
          <w:lang w:val="en-GB"/>
        </w:rPr>
      </w:pPr>
      <w:r w:rsidRPr="00990D26">
        <w:rPr>
          <w:rFonts w:cstheme="minorHAnsi"/>
          <w:szCs w:val="24"/>
          <w:lang w:val="en-GB"/>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728AB207" w14:textId="77777777" w:rsidR="00990D26" w:rsidRPr="00990D26" w:rsidRDefault="00990D26" w:rsidP="00990D26">
      <w:pPr>
        <w:rPr>
          <w:rFonts w:cstheme="minorHAnsi"/>
          <w:szCs w:val="24"/>
          <w:lang w:val="en-GB"/>
        </w:rPr>
      </w:pPr>
      <w:r w:rsidRPr="00990D26">
        <w:rPr>
          <w:rFonts w:cstheme="minorHAnsi"/>
          <w:szCs w:val="24"/>
          <w:lang w:val="en-GB"/>
        </w:rPr>
        <w:t>To realise AI’s potential to reduce the 1.3 million annual road deaths, it is important to define a minimal acceptable performance threshold for AI deployed on our roads and meet the public expectation that;</w:t>
      </w:r>
    </w:p>
    <w:p w14:paraId="4DDCA536" w14:textId="77777777" w:rsidR="00990D26" w:rsidRPr="00990D26" w:rsidRDefault="00990D26" w:rsidP="00990D26">
      <w:pPr>
        <w:numPr>
          <w:ilvl w:val="0"/>
          <w:numId w:val="12"/>
        </w:numPr>
        <w:tabs>
          <w:tab w:val="clear" w:pos="794"/>
          <w:tab w:val="clear" w:pos="1191"/>
          <w:tab w:val="clear" w:pos="1588"/>
          <w:tab w:val="clear" w:pos="1985"/>
        </w:tabs>
        <w:overflowPunct/>
        <w:autoSpaceDE/>
        <w:autoSpaceDN/>
        <w:adjustRightInd/>
        <w:textAlignment w:val="auto"/>
        <w:rPr>
          <w:rFonts w:cstheme="minorHAnsi"/>
          <w:szCs w:val="24"/>
          <w:lang w:val="en-GB"/>
        </w:rPr>
      </w:pPr>
      <w:r w:rsidRPr="00990D26">
        <w:rPr>
          <w:rFonts w:cstheme="minorHAnsi"/>
          <w:szCs w:val="24"/>
          <w:lang w:val="en-GB"/>
        </w:rPr>
        <w:t>AI never engages in careless, dangerous or reckless driving behaviour</w:t>
      </w:r>
    </w:p>
    <w:p w14:paraId="24BAED66" w14:textId="77777777" w:rsidR="00990D26" w:rsidRPr="00990D26" w:rsidRDefault="00990D26" w:rsidP="00990D26">
      <w:pPr>
        <w:numPr>
          <w:ilvl w:val="0"/>
          <w:numId w:val="12"/>
        </w:numPr>
        <w:tabs>
          <w:tab w:val="clear" w:pos="794"/>
          <w:tab w:val="clear" w:pos="1191"/>
          <w:tab w:val="clear" w:pos="1588"/>
          <w:tab w:val="clear" w:pos="1985"/>
        </w:tabs>
        <w:overflowPunct/>
        <w:autoSpaceDE/>
        <w:autoSpaceDN/>
        <w:adjustRightInd/>
        <w:textAlignment w:val="auto"/>
        <w:rPr>
          <w:rFonts w:cstheme="minorHAnsi"/>
          <w:szCs w:val="24"/>
          <w:lang w:val="en-GB"/>
        </w:rPr>
      </w:pPr>
      <w:r w:rsidRPr="00990D26">
        <w:rPr>
          <w:rFonts w:cstheme="minorHAnsi"/>
          <w:szCs w:val="24"/>
          <w:lang w:val="en-GB"/>
        </w:rPr>
        <w:t>AI remains aware, willing and able to avoid collisions at all times</w:t>
      </w:r>
    </w:p>
    <w:p w14:paraId="3232214C" w14:textId="77777777" w:rsidR="00990D26" w:rsidRPr="00990D26" w:rsidRDefault="00990D26" w:rsidP="00990D26">
      <w:pPr>
        <w:numPr>
          <w:ilvl w:val="0"/>
          <w:numId w:val="12"/>
        </w:numPr>
        <w:tabs>
          <w:tab w:val="clear" w:pos="794"/>
          <w:tab w:val="clear" w:pos="1191"/>
          <w:tab w:val="clear" w:pos="1588"/>
          <w:tab w:val="clear" w:pos="1985"/>
        </w:tabs>
        <w:overflowPunct/>
        <w:autoSpaceDE/>
        <w:autoSpaceDN/>
        <w:adjustRightInd/>
        <w:textAlignment w:val="auto"/>
        <w:rPr>
          <w:rFonts w:cstheme="minorHAnsi"/>
          <w:szCs w:val="24"/>
          <w:lang w:val="en-GB"/>
        </w:rPr>
      </w:pPr>
      <w:r w:rsidRPr="00990D26">
        <w:rPr>
          <w:rFonts w:cstheme="minorHAnsi"/>
          <w:szCs w:val="24"/>
          <w:lang w:val="en-GB"/>
        </w:rPr>
        <w:t>AI meets, or exceeds, the performance of a competent &amp; careful human driver</w:t>
      </w:r>
    </w:p>
    <w:p w14:paraId="48341FC6" w14:textId="77777777" w:rsidR="00990D26" w:rsidRPr="00990D26" w:rsidRDefault="00990D26" w:rsidP="00990D26">
      <w:pPr>
        <w:rPr>
          <w:rFonts w:cstheme="minorHAnsi"/>
          <w:szCs w:val="24"/>
          <w:lang w:val="en-GB"/>
        </w:rPr>
      </w:pPr>
      <w:r w:rsidRPr="00990D26">
        <w:rPr>
          <w:rFonts w:cstheme="minorHAnsi"/>
          <w:szCs w:val="24"/>
          <w:lang w:val="en-GB"/>
        </w:rPr>
        <w:t xml:space="preserve">Achieving these performance thresholds requires a combination of both ‘vehicle performance’ and ‘driver performance’. </w:t>
      </w:r>
    </w:p>
    <w:p w14:paraId="12B3CD7E" w14:textId="77777777" w:rsidR="00990D26" w:rsidRPr="00990D26" w:rsidRDefault="00990D26" w:rsidP="00990D26">
      <w:pPr>
        <w:rPr>
          <w:rFonts w:cstheme="minorHAnsi"/>
          <w:szCs w:val="24"/>
          <w:lang w:val="en-GB"/>
        </w:rPr>
      </w:pPr>
      <w:r w:rsidRPr="00990D26">
        <w:rPr>
          <w:rFonts w:cstheme="minorHAnsi"/>
          <w:szCs w:val="24"/>
          <w:lang w:val="en-GB"/>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3" w:name="_Toc505702997"/>
      <w:bookmarkStart w:id="4" w:name="_Toc505705752"/>
      <w:r w:rsidRPr="00990D26">
        <w:rPr>
          <w:rFonts w:cstheme="minorHAnsi"/>
          <w:szCs w:val="24"/>
          <w:lang w:val="en-GB"/>
        </w:rPr>
        <w:t xml:space="preserve">the ‘Proposal for </w:t>
      </w:r>
      <w:bookmarkEnd w:id="3"/>
      <w:bookmarkEnd w:id="4"/>
      <w:r w:rsidRPr="00990D26">
        <w:rPr>
          <w:rFonts w:cstheme="minorHAnsi"/>
          <w:szCs w:val="24"/>
          <w:lang w:val="en-GB"/>
        </w:rPr>
        <w:t>the Future Certification of Automated/Autonomous Driving Systems’ (published by the Working Party on automated/Autonomous and Connected Vehicles 19</w:t>
      </w:r>
      <w:r w:rsidRPr="00990D26">
        <w:rPr>
          <w:rFonts w:cstheme="minorHAnsi"/>
          <w:szCs w:val="24"/>
          <w:vertAlign w:val="superscript"/>
          <w:lang w:val="en-GB"/>
        </w:rPr>
        <w:t>th</w:t>
      </w:r>
      <w:r w:rsidRPr="00990D26">
        <w:rPr>
          <w:rFonts w:cstheme="minorHAnsi"/>
          <w:szCs w:val="24"/>
          <w:lang w:val="en-GB"/>
        </w:rPr>
        <w:t xml:space="preserve"> November 2018 as ECE/TRANS/WP.29/GRVA/2019/13).</w:t>
      </w:r>
    </w:p>
    <w:p w14:paraId="16DF1718" w14:textId="77777777" w:rsidR="00990D26" w:rsidRPr="00990D26" w:rsidRDefault="00990D26" w:rsidP="00990D26">
      <w:pPr>
        <w:rPr>
          <w:rFonts w:cstheme="minorHAnsi"/>
          <w:szCs w:val="24"/>
          <w:lang w:val="en-GB"/>
        </w:rPr>
      </w:pPr>
      <w:r w:rsidRPr="00990D26">
        <w:rPr>
          <w:rFonts w:cstheme="minorHAnsi"/>
          <w:szCs w:val="24"/>
          <w:lang w:val="en-GB"/>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990D26">
        <w:rPr>
          <w:rFonts w:cstheme="minorHAnsi"/>
          <w:szCs w:val="24"/>
          <w:vertAlign w:val="superscript"/>
          <w:lang w:val="en-GB"/>
        </w:rPr>
        <w:t>rd</w:t>
      </w:r>
      <w:r w:rsidRPr="00990D26">
        <w:rPr>
          <w:rFonts w:cstheme="minorHAnsi"/>
          <w:szCs w:val="24"/>
          <w:lang w:val="en-GB"/>
        </w:rPr>
        <w:t xml:space="preserve"> October 2018 as ECE/TRANS/WP.1/165).</w:t>
      </w:r>
    </w:p>
    <w:p w14:paraId="0785AFAA" w14:textId="77777777" w:rsidR="00990D26" w:rsidRPr="00990D26" w:rsidRDefault="00990D26" w:rsidP="00990D26">
      <w:pPr>
        <w:rPr>
          <w:rFonts w:cstheme="minorHAnsi"/>
          <w:szCs w:val="24"/>
          <w:lang w:val="en-GB"/>
        </w:rPr>
      </w:pPr>
      <w:r w:rsidRPr="00990D26">
        <w:rPr>
          <w:rFonts w:cstheme="minorHAnsi"/>
          <w:szCs w:val="24"/>
          <w:lang w:val="en-GB"/>
        </w:rPr>
        <w:t xml:space="preserve">WP.29’s proposal for ADS (Automated/Autonomous Driving Systems) certification to include Real World Test Drives and Driving Licence Tests using a </w:t>
      </w:r>
      <w:r w:rsidRPr="00010703">
        <w:rPr>
          <w:rFonts w:cstheme="minorHAnsi"/>
          <w:szCs w:val="24"/>
          <w:lang w:val="en-US"/>
        </w:rPr>
        <w:t>performance threshold comparable to an experienced driver</w:t>
      </w:r>
      <w:r w:rsidRPr="00990D26">
        <w:rPr>
          <w:rFonts w:cstheme="minorHAnsi"/>
          <w:szCs w:val="24"/>
          <w:lang w:val="en-GB"/>
        </w:rPr>
        <w:t xml:space="preserve"> provides a foundation for the proposed ITU Focus Group. </w:t>
      </w:r>
    </w:p>
    <w:p w14:paraId="2EB0CC39" w14:textId="77777777" w:rsidR="00990D26" w:rsidRPr="00990D26" w:rsidRDefault="00990D26" w:rsidP="00990D26">
      <w:pPr>
        <w:rPr>
          <w:rFonts w:cstheme="minorHAnsi"/>
          <w:szCs w:val="24"/>
          <w:lang w:val="en-GB"/>
        </w:rPr>
      </w:pPr>
      <w:r w:rsidRPr="00990D26">
        <w:rPr>
          <w:rFonts w:cstheme="minorHAnsi"/>
          <w:szCs w:val="24"/>
          <w:lang w:val="en-GB"/>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users, in a clear, effective and consistent way, by providing sufficient information about their status and intention, and enabling an appropriate interaction. </w:t>
      </w:r>
    </w:p>
    <w:p w14:paraId="4F977AC7" w14:textId="77777777" w:rsidR="00990D26" w:rsidRPr="00990D26" w:rsidRDefault="00990D26" w:rsidP="00990D26">
      <w:pPr>
        <w:rPr>
          <w:rFonts w:cstheme="minorHAnsi"/>
          <w:szCs w:val="24"/>
          <w:lang w:val="en-GB"/>
        </w:rPr>
      </w:pPr>
      <w:r w:rsidRPr="00990D26">
        <w:rPr>
          <w:rFonts w:cstheme="minorHAnsi"/>
          <w:szCs w:val="24"/>
          <w:lang w:val="en-GB"/>
        </w:rPr>
        <w:lastRenderedPageBreak/>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2"/>
    <w:p w14:paraId="014DF67E"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2.</w:t>
      </w:r>
      <w:r w:rsidRPr="00990D26">
        <w:rPr>
          <w:rFonts w:cstheme="minorHAnsi"/>
          <w:szCs w:val="24"/>
          <w:lang w:val="en-GB"/>
        </w:rPr>
        <w:tab/>
        <w:t>Objectives of the FG-AI4AD</w:t>
      </w:r>
    </w:p>
    <w:p w14:paraId="26F5FD37" w14:textId="77777777" w:rsidR="00990D26" w:rsidRPr="00990D26" w:rsidRDefault="00990D26" w:rsidP="00990D26">
      <w:pPr>
        <w:rPr>
          <w:rFonts w:cstheme="minorHAnsi"/>
          <w:szCs w:val="24"/>
          <w:lang w:val="en-GB"/>
        </w:rPr>
      </w:pPr>
      <w:r w:rsidRPr="00990D26">
        <w:rPr>
          <w:rFonts w:cstheme="minorHAnsi"/>
          <w:szCs w:val="24"/>
          <w:lang w:val="en-GB"/>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45FFFEB9" w14:textId="77777777" w:rsidR="00990D26" w:rsidRPr="00990D26" w:rsidRDefault="00990D26" w:rsidP="00990D26">
      <w:pPr>
        <w:rPr>
          <w:rFonts w:cstheme="minorHAnsi"/>
          <w:szCs w:val="24"/>
          <w:lang w:val="en-GB"/>
        </w:rPr>
      </w:pPr>
      <w:r w:rsidRPr="00990D26">
        <w:rPr>
          <w:rFonts w:cstheme="minorHAnsi"/>
          <w:szCs w:val="24"/>
          <w:lang w:val="en-GB"/>
        </w:rPr>
        <w:t>More precisely, the objectives include;</w:t>
      </w:r>
    </w:p>
    <w:p w14:paraId="08DBD916"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establish liaisons and relationships with other organisations which could contribute to the standardisation activities for services and applications for AI in autonomous and assisted driving.</w:t>
      </w:r>
    </w:p>
    <w:p w14:paraId="7523E2ED"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stimulate public engagement and international collaboration to help realise the potential for AI to reduce road deaths and injuries (SDG 3.6) whilst also encouraging safe, affordable, accessible and sustainable transport systems (SDG 11.2).</w:t>
      </w:r>
    </w:p>
    <w:p w14:paraId="7CC5984D"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study, gather information and develop a standards research orientation and standards research plan related to AI evaluation within vehicles featuring autonomous and assisted driving functions.</w:t>
      </w:r>
    </w:p>
    <w:p w14:paraId="4370CC11"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lang w:eastAsia="zh-CN"/>
        </w:rPr>
        <w:t xml:space="preserve">To identify and study the enabling technologies and key tasks within </w:t>
      </w:r>
      <w:r w:rsidRPr="00010703">
        <w:rPr>
          <w:rFonts w:asciiTheme="minorHAnsi" w:hAnsiTheme="minorHAnsi" w:cstheme="minorHAnsi"/>
        </w:rPr>
        <w:t>assisted</w:t>
      </w:r>
      <w:r w:rsidRPr="00010703">
        <w:rPr>
          <w:rFonts w:asciiTheme="minorHAnsi" w:hAnsiTheme="minorHAnsi" w:cstheme="minorHAnsi"/>
          <w:lang w:eastAsia="zh-CN"/>
        </w:rPr>
        <w:t xml:space="preserve"> and autonomous driving for standardization of AI evaluation.</w:t>
      </w:r>
    </w:p>
    <w:p w14:paraId="59517906" w14:textId="77777777" w:rsidR="00990D26" w:rsidRPr="00010703" w:rsidRDefault="00990D26" w:rsidP="00990D26">
      <w:pPr>
        <w:pStyle w:val="ListParagraph"/>
        <w:ind w:leftChars="0" w:left="851"/>
        <w:rPr>
          <w:rFonts w:asciiTheme="minorHAnsi" w:hAnsiTheme="minorHAnsi" w:cstheme="minorHAnsi"/>
        </w:rPr>
      </w:pPr>
      <w:r w:rsidRPr="00010703">
        <w:rPr>
          <w:rFonts w:asciiTheme="minorHAnsi" w:hAnsiTheme="minorHAnsi" w:cstheme="minorHAnsi"/>
        </w:rPr>
        <w:t>NOTE: interconnection between communication technologies e.g. IMT-2020 and the applications for AI in autonomous and assisted driving, may be considered for the related use cases, where relevant.</w:t>
      </w:r>
    </w:p>
    <w:p w14:paraId="259CB4A5"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produce a gap analysis of standardisation, legislation, Voluntary Safety Self-Assessment (VSSA) and independent assessment programmes in the areas of autonomous and assisted driving.</w:t>
      </w:r>
    </w:p>
    <w:p w14:paraId="07CAF323" w14:textId="77777777" w:rsidR="00990D26" w:rsidRPr="00990D26" w:rsidRDefault="00990D26" w:rsidP="00990D26">
      <w:pPr>
        <w:ind w:left="851"/>
        <w:rPr>
          <w:rFonts w:cstheme="minorHAnsi"/>
          <w:szCs w:val="24"/>
          <w:lang w:val="en-GB"/>
        </w:rPr>
      </w:pPr>
      <w:r w:rsidRPr="00990D26">
        <w:rPr>
          <w:rFonts w:cstheme="minorHAnsi"/>
          <w:szCs w:val="24"/>
          <w:lang w:val="en-GB"/>
        </w:rPr>
        <w:t>NOTE- The above need to consider the existing solutions brought to the table by various stakeholders and migration strategies to the future.</w:t>
      </w:r>
    </w:p>
    <w:p w14:paraId="0FDE4D59"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5E4A1BAF"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support the ongoing efforts within UNECE WP.1 and WP.29 to address the shift in mobility towards vehicles featuring automated and assisted driving.</w:t>
      </w:r>
    </w:p>
    <w:p w14:paraId="5C14E5EF"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identify tools and mechanisms for promoting participation and supporting incentives to be available to all stakeholders, and to leverage the global reach of the AI for Good Global Summit in this regard.</w:t>
      </w:r>
    </w:p>
    <w:p w14:paraId="28C5E81A"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lastRenderedPageBreak/>
        <w:t>To study the expectations and requirements of law enforcement, accident investigators, insurers and judicial systems in the context of driving behaviour, impacts, collisions and near-misses.</w:t>
      </w:r>
    </w:p>
    <w:p w14:paraId="4B6604F6"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establish the technical and/or proprietary issues that may prevent/restrict access to data captured by the AI required for continual assessment of performance on AI as a Driver.</w:t>
      </w:r>
    </w:p>
    <w:p w14:paraId="23D93134"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analyse the privacy challenges associated with the individuals’ fundamental right to privacy associated with the collection, sharing and use of data acquired during autonomous and assisted vehicle operation.</w:t>
      </w:r>
    </w:p>
    <w:p w14:paraId="5E415794"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adherence to ethical principles and values and (3) it should be robust, both from a technical and social perspective since, even with good intentions, AI can cause unintentional harm.</w:t>
      </w:r>
    </w:p>
    <w:p w14:paraId="0BC9B1BE" w14:textId="77777777" w:rsidR="00990D26" w:rsidRPr="00010703" w:rsidRDefault="00990D26" w:rsidP="00990D26">
      <w:pPr>
        <w:pStyle w:val="ListParagraph"/>
        <w:numPr>
          <w:ilvl w:val="0"/>
          <w:numId w:val="9"/>
        </w:numPr>
        <w:ind w:leftChars="0" w:left="851" w:hanging="284"/>
        <w:rPr>
          <w:rFonts w:asciiTheme="minorHAnsi" w:hAnsiTheme="minorHAnsi" w:cstheme="minorHAnsi"/>
        </w:rPr>
      </w:pPr>
      <w:r w:rsidRPr="00010703">
        <w:rPr>
          <w:rFonts w:asciiTheme="minorHAnsi" w:hAnsiTheme="minorHAnsi" w:cstheme="minorHAnsi"/>
        </w:rPr>
        <w:t>To stimulate public debate and media reporting in the concept of an evaluation for AI on our roads and enhance the quality of discussion beyond the narratives around the Trolley Problem.</w:t>
      </w:r>
    </w:p>
    <w:p w14:paraId="53B48BDB"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3.</w:t>
      </w:r>
      <w:r w:rsidRPr="00990D26">
        <w:rPr>
          <w:rFonts w:cstheme="minorHAnsi"/>
          <w:szCs w:val="24"/>
          <w:lang w:val="en-GB"/>
        </w:rPr>
        <w:tab/>
        <w:t>Specific tasks and deliverables</w:t>
      </w:r>
    </w:p>
    <w:p w14:paraId="5066357C" w14:textId="77777777" w:rsidR="00990D26" w:rsidRPr="00990D26" w:rsidRDefault="00990D26" w:rsidP="00990D26">
      <w:pPr>
        <w:rPr>
          <w:rFonts w:cstheme="minorHAnsi"/>
          <w:szCs w:val="24"/>
          <w:lang w:val="en-GB" w:eastAsia="en-GB"/>
        </w:rPr>
      </w:pPr>
      <w:r w:rsidRPr="00990D26">
        <w:rPr>
          <w:rFonts w:cstheme="minorHAnsi"/>
          <w:szCs w:val="24"/>
          <w:lang w:val="en-GB" w:eastAsia="en-GB"/>
        </w:rPr>
        <w:t>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onboard vehicle systems. The assessment is expected to become an integral part of the field monitoring of assisted and automated vehicles required to ensure continual validation of safety performance.</w:t>
      </w:r>
    </w:p>
    <w:p w14:paraId="7C1EC995" w14:textId="77777777" w:rsidR="00990D26" w:rsidRPr="00990D26" w:rsidRDefault="00990D26" w:rsidP="00990D26">
      <w:pPr>
        <w:pStyle w:val="enumlev1"/>
        <w:numPr>
          <w:ilvl w:val="0"/>
          <w:numId w:val="10"/>
        </w:numPr>
        <w:tabs>
          <w:tab w:val="clear" w:pos="794"/>
        </w:tabs>
        <w:spacing w:before="120"/>
        <w:ind w:left="851" w:hanging="284"/>
        <w:rPr>
          <w:rFonts w:cstheme="minorHAnsi"/>
          <w:szCs w:val="24"/>
          <w:lang w:val="en-GB"/>
        </w:rPr>
      </w:pPr>
      <w:r w:rsidRPr="00990D26">
        <w:rPr>
          <w:rFonts w:cstheme="minorHAnsi"/>
          <w:szCs w:val="24"/>
          <w:lang w:val="en-GB"/>
        </w:rPr>
        <w:t>To develop the specification for evaluation of AI on our roads that defines a minimum performance threshold and establishes a definition for the burden of proof;</w:t>
      </w:r>
    </w:p>
    <w:p w14:paraId="44285CC7"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provide information about the evaluation of AI on our roads to increase global public acceptance.</w:t>
      </w:r>
    </w:p>
    <w:p w14:paraId="5B7C1DAD"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 xml:space="preserve">To develop guidelines for the deployment of the evaluation of AI on our roads within private vehicles, commercial fleet operators, public transport operators, mobility-as-a-service operators and emergency response vehicles. </w:t>
      </w:r>
    </w:p>
    <w:p w14:paraId="438B5874"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develop a list of SDOs, forums, consortia and other entities, including opensource, dealing with services and applications aspects of AI for autonomous and assisted driving and liaise with the organizations that could contribute to the related ITU standardization activities.</w:t>
      </w:r>
    </w:p>
    <w:p w14:paraId="53CD357A"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 xml:space="preserve">To gather information on initiatives pertaining to AI on our roads, identify existing standards, best practices and challenges for adoption of autonomous and assisted driving. </w:t>
      </w:r>
    </w:p>
    <w:p w14:paraId="02897346"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6E17F1C2"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describe the roles and activities of the different stakeholders required to realise the potential of AI on our roads within the safe system approach.</w:t>
      </w:r>
    </w:p>
    <w:p w14:paraId="27A29B90"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lastRenderedPageBreak/>
        <w:t>To provide terminology and taxonomy for evaluation of AI used for autonomous and assisted driving, including a mapping that aims to harmonise the language used in existing standards, legal frameworks and guidelines.</w:t>
      </w:r>
    </w:p>
    <w:p w14:paraId="2436A613" w14:textId="77777777" w:rsidR="00990D26" w:rsidRPr="00990D26" w:rsidRDefault="00990D26" w:rsidP="00990D26">
      <w:pPr>
        <w:pStyle w:val="enumlev1"/>
        <w:numPr>
          <w:ilvl w:val="0"/>
          <w:numId w:val="10"/>
        </w:numPr>
        <w:ind w:left="851" w:hanging="284"/>
        <w:rPr>
          <w:rFonts w:cstheme="minorHAnsi"/>
          <w:szCs w:val="24"/>
          <w:lang w:val="en-GB"/>
        </w:rPr>
      </w:pPr>
      <w:r w:rsidRPr="00990D26">
        <w:rPr>
          <w:rFonts w:cstheme="minorHAnsi"/>
          <w:szCs w:val="24"/>
          <w:lang w:val="en-GB"/>
        </w:rPr>
        <w:t>To define specifically the terms ‘careless’, ‘dangerous’, ‘reckless’, ‘aware’, ‘willing’, ‘able’, ‘competent’, ‘careful’, and similar, in the legal context of autonomous and assisted driving in such a manner that they can be implemented and interpreted in software while being understood by humans.</w:t>
      </w:r>
    </w:p>
    <w:p w14:paraId="5F8DFAAC" w14:textId="77777777" w:rsidR="00990D26" w:rsidRPr="00990D26" w:rsidRDefault="00990D26" w:rsidP="00990D26">
      <w:pPr>
        <w:pStyle w:val="enumlev1"/>
        <w:numPr>
          <w:ilvl w:val="0"/>
          <w:numId w:val="10"/>
        </w:numPr>
        <w:ind w:left="851" w:hanging="284"/>
        <w:rPr>
          <w:rFonts w:cstheme="minorHAnsi"/>
          <w:szCs w:val="24"/>
          <w:lang w:val="en-GB"/>
        </w:rPr>
      </w:pPr>
      <w:r w:rsidRPr="00990D26">
        <w:rPr>
          <w:rFonts w:cstheme="minorHAnsi"/>
          <w:szCs w:val="24"/>
          <w:lang w:val="en-GB"/>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64D6752B"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1259E6EA" w14:textId="77777777" w:rsidR="00990D26" w:rsidRPr="00010703" w:rsidRDefault="00990D26" w:rsidP="00990D26">
      <w:pPr>
        <w:pStyle w:val="ListParagraph"/>
        <w:numPr>
          <w:ilvl w:val="0"/>
          <w:numId w:val="10"/>
        </w:numPr>
        <w:ind w:leftChars="0" w:left="851" w:hanging="284"/>
        <w:rPr>
          <w:rFonts w:asciiTheme="minorHAnsi" w:hAnsiTheme="minorHAnsi" w:cstheme="minorHAnsi"/>
        </w:rPr>
      </w:pPr>
      <w:r w:rsidRPr="00010703">
        <w:rPr>
          <w:rFonts w:asciiTheme="minorHAnsi" w:hAnsiTheme="minorHAnsi" w:cstheme="minorHAnsi"/>
        </w:rPr>
        <w:t>To identify the technical landscape, a technical standards investigation orientation and standards investigation plan related to AI within assisted and autonomous driving systems.</w:t>
      </w:r>
    </w:p>
    <w:p w14:paraId="1DFC4EE4" w14:textId="77777777" w:rsidR="00990D26" w:rsidRPr="00010703" w:rsidRDefault="00990D26" w:rsidP="00990D26">
      <w:pPr>
        <w:pStyle w:val="ListParagraph"/>
        <w:numPr>
          <w:ilvl w:val="0"/>
          <w:numId w:val="10"/>
        </w:numPr>
        <w:ind w:leftChars="0" w:left="851" w:hanging="284"/>
        <w:rPr>
          <w:rFonts w:asciiTheme="minorHAnsi" w:hAnsiTheme="minorHAnsi" w:cstheme="minorHAnsi"/>
        </w:rPr>
      </w:pPr>
      <w:r w:rsidRPr="00010703">
        <w:rPr>
          <w:rFonts w:asciiTheme="minorHAnsi" w:hAnsiTheme="minorHAnsi" w:cstheme="minorHAnsi"/>
        </w:rPr>
        <w:t xml:space="preserve">To </w:t>
      </w:r>
      <w:r w:rsidRPr="00010703">
        <w:rPr>
          <w:rFonts w:asciiTheme="minorHAnsi" w:hAnsiTheme="minorHAnsi" w:cstheme="minorHAnsi"/>
          <w:lang w:eastAsia="zh-CN"/>
        </w:rPr>
        <w:t xml:space="preserve">develop technical reports on the application of enabling technologies in evaluation of AI </w:t>
      </w:r>
      <w:r w:rsidRPr="00010703">
        <w:rPr>
          <w:rFonts w:asciiTheme="minorHAnsi" w:hAnsiTheme="minorHAnsi" w:cstheme="minorHAnsi"/>
        </w:rPr>
        <w:t xml:space="preserve">within assisted </w:t>
      </w:r>
      <w:r w:rsidRPr="00010703">
        <w:rPr>
          <w:rFonts w:asciiTheme="minorHAnsi" w:hAnsiTheme="minorHAnsi" w:cstheme="minorHAnsi"/>
          <w:lang w:eastAsia="zh-CN"/>
        </w:rPr>
        <w:t xml:space="preserve">and </w:t>
      </w:r>
      <w:r w:rsidRPr="00010703">
        <w:rPr>
          <w:rFonts w:asciiTheme="minorHAnsi" w:hAnsiTheme="minorHAnsi" w:cstheme="minorHAnsi"/>
        </w:rPr>
        <w:t>autonomous driving</w:t>
      </w:r>
      <w:r w:rsidRPr="00010703">
        <w:rPr>
          <w:rFonts w:asciiTheme="minorHAnsi" w:hAnsiTheme="minorHAnsi" w:cstheme="minorHAnsi"/>
          <w:lang w:eastAsia="zh-CN"/>
        </w:rPr>
        <w:t xml:space="preserve"> systems. These technical reports describe the information the AI could provide to the validation system for the purposes of performance evaluation. </w:t>
      </w:r>
    </w:p>
    <w:p w14:paraId="736B36EC"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7327017B" w14:textId="77777777" w:rsidR="00990D26" w:rsidRPr="00990D26" w:rsidRDefault="00990D26" w:rsidP="00990D26">
      <w:pPr>
        <w:pStyle w:val="enumlev1"/>
        <w:numPr>
          <w:ilvl w:val="0"/>
          <w:numId w:val="10"/>
        </w:numPr>
        <w:tabs>
          <w:tab w:val="clear" w:pos="794"/>
        </w:tabs>
        <w:ind w:left="851" w:hanging="284"/>
        <w:rPr>
          <w:rFonts w:cstheme="minorHAnsi"/>
          <w:szCs w:val="24"/>
          <w:lang w:val="en-GB"/>
        </w:rPr>
      </w:pPr>
      <w:r w:rsidRPr="00990D26">
        <w:rPr>
          <w:rFonts w:cstheme="minorHAnsi"/>
          <w:szCs w:val="24"/>
          <w:lang w:val="en-GB"/>
        </w:rPr>
        <w:t>To organise thematic workshops and forums covering AI on our roads that bring together all stakeholders, promotes the activities and encourages both ITU members and non-ITU members to join its work.</w:t>
      </w:r>
    </w:p>
    <w:p w14:paraId="3A70AE5D" w14:textId="77777777" w:rsidR="00990D26" w:rsidRPr="00990D26" w:rsidRDefault="00990D26" w:rsidP="00990D26">
      <w:pPr>
        <w:spacing w:before="100" w:beforeAutospacing="1" w:after="100" w:afterAutospacing="1"/>
        <w:ind w:left="360"/>
        <w:rPr>
          <w:rFonts w:cstheme="minorHAnsi"/>
          <w:szCs w:val="24"/>
          <w:lang w:val="en-GB"/>
        </w:rPr>
      </w:pPr>
      <w:r w:rsidRPr="00990D26">
        <w:rPr>
          <w:rFonts w:cstheme="minorHAnsi"/>
          <w:szCs w:val="24"/>
          <w:lang w:val="en-GB"/>
        </w:rPr>
        <w:t>NOTE – The needs of persons with disabilities and specific needs will be taken into account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0FDE082B"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4.</w:t>
      </w:r>
      <w:r w:rsidRPr="00990D26">
        <w:rPr>
          <w:rFonts w:cstheme="minorHAnsi"/>
          <w:szCs w:val="24"/>
          <w:lang w:val="en-GB"/>
        </w:rPr>
        <w:tab/>
        <w:t>Relationships</w:t>
      </w:r>
    </w:p>
    <w:p w14:paraId="53EC200E" w14:textId="77777777" w:rsidR="00990D26" w:rsidRPr="00990D26" w:rsidRDefault="00990D26" w:rsidP="00990D26">
      <w:pPr>
        <w:rPr>
          <w:rFonts w:cstheme="minorHAnsi"/>
          <w:szCs w:val="24"/>
          <w:lang w:val="en-GB"/>
        </w:rPr>
      </w:pPr>
      <w:r w:rsidRPr="00990D26">
        <w:rPr>
          <w:rFonts w:cstheme="minorHAnsi"/>
          <w:szCs w:val="24"/>
          <w:lang w:val="en-GB"/>
        </w:rPr>
        <w:t>The proposed AI4AD Focus Group will work closely with SG16 through co-located meetings when possible. It will establish and maintain task-appropriate collaboration arrangements with other groups in ITU.</w:t>
      </w:r>
    </w:p>
    <w:p w14:paraId="24968909" w14:textId="77777777" w:rsidR="00990D26" w:rsidRPr="00990D26" w:rsidRDefault="00990D26" w:rsidP="00990D26">
      <w:pPr>
        <w:rPr>
          <w:rFonts w:cstheme="minorHAnsi"/>
          <w:szCs w:val="24"/>
          <w:lang w:val="en-GB"/>
        </w:rPr>
      </w:pPr>
      <w:r w:rsidRPr="00990D26">
        <w:rPr>
          <w:rFonts w:cstheme="minorHAnsi"/>
          <w:szCs w:val="24"/>
          <w:lang w:val="en-GB"/>
        </w:rPr>
        <w:t>The proposed AI4AD Focus Group will collaborate with, not limited to:</w:t>
      </w:r>
    </w:p>
    <w:p w14:paraId="3E13F0D7"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t>ITU-T SG12 to leverage the P.1100-P.1199 series on communications involving vehicles and the outcomes of the Focus Group on Driver Distraction</w:t>
      </w:r>
    </w:p>
    <w:p w14:paraId="1E0B4864"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t>ITU-R SG4 and SG5 on connectivity for high precision navigation</w:t>
      </w:r>
    </w:p>
    <w:p w14:paraId="31E4E777"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lastRenderedPageBreak/>
        <w:t>ITU-T SG17 on security and protection of personal information for vehicular multimedia</w:t>
      </w:r>
    </w:p>
    <w:p w14:paraId="3590907B"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t>ITU-T Q27/16 on vehicle gateway platform for telecommunication and ITS services and applications</w:t>
      </w:r>
    </w:p>
    <w:p w14:paraId="060386C5"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t>ITU-T FG-VM on vehicular multimedia</w:t>
      </w:r>
    </w:p>
    <w:p w14:paraId="5055DD00" w14:textId="77777777" w:rsidR="00990D26" w:rsidRPr="00010703" w:rsidRDefault="00990D26" w:rsidP="00990D26">
      <w:pPr>
        <w:pStyle w:val="ListParagraph"/>
        <w:numPr>
          <w:ilvl w:val="0"/>
          <w:numId w:val="11"/>
        </w:numPr>
        <w:ind w:leftChars="0"/>
        <w:rPr>
          <w:rFonts w:asciiTheme="minorHAnsi" w:hAnsiTheme="minorHAnsi" w:cstheme="minorHAnsi"/>
        </w:rPr>
      </w:pPr>
      <w:r w:rsidRPr="00010703">
        <w:rPr>
          <w:rFonts w:asciiTheme="minorHAnsi" w:hAnsiTheme="minorHAnsi" w:cstheme="minorHAnsi"/>
        </w:rPr>
        <w:t>ITU-T SG13 and ITU-T FG ML5G on the interaction between future networks and AI/ML mechanisms, specifically for autonomous driving vertical.</w:t>
      </w:r>
    </w:p>
    <w:p w14:paraId="090C3400" w14:textId="77777777" w:rsidR="00990D26" w:rsidRPr="00990D26" w:rsidRDefault="00990D26" w:rsidP="00990D26">
      <w:pPr>
        <w:rPr>
          <w:rFonts w:cstheme="minorHAnsi"/>
          <w:szCs w:val="24"/>
          <w:lang w:val="en-GB"/>
        </w:rPr>
      </w:pPr>
      <w:r w:rsidRPr="00990D26">
        <w:rPr>
          <w:rFonts w:cstheme="minorHAnsi"/>
          <w:szCs w:val="24"/>
          <w:lang w:val="en-GB"/>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3433A62A"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5.</w:t>
      </w:r>
      <w:r w:rsidRPr="00990D26">
        <w:rPr>
          <w:rFonts w:cstheme="minorHAnsi"/>
          <w:szCs w:val="24"/>
          <w:lang w:val="en-GB"/>
        </w:rPr>
        <w:tab/>
        <w:t>Structure</w:t>
      </w:r>
    </w:p>
    <w:p w14:paraId="3C7A5BA5" w14:textId="77777777" w:rsidR="00990D26" w:rsidRPr="00990D26" w:rsidRDefault="00990D26" w:rsidP="00990D26">
      <w:pPr>
        <w:rPr>
          <w:rFonts w:cstheme="minorHAnsi"/>
          <w:szCs w:val="24"/>
          <w:lang w:val="en-GB"/>
        </w:rPr>
      </w:pPr>
      <w:r w:rsidRPr="00990D26">
        <w:rPr>
          <w:rFonts w:cstheme="minorHAnsi"/>
          <w:szCs w:val="24"/>
          <w:lang w:val="en-GB"/>
        </w:rPr>
        <w:t>The proposed FG-AI4AD may establish sub-groups if needed.</w:t>
      </w:r>
    </w:p>
    <w:p w14:paraId="3D1AA03C"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6.</w:t>
      </w:r>
      <w:r w:rsidRPr="00990D26">
        <w:rPr>
          <w:rFonts w:cstheme="minorHAnsi"/>
          <w:szCs w:val="24"/>
          <w:lang w:val="en-GB"/>
        </w:rPr>
        <w:tab/>
        <w:t xml:space="preserve">Parent group </w:t>
      </w:r>
    </w:p>
    <w:p w14:paraId="4181E8BA" w14:textId="77777777" w:rsidR="00990D26" w:rsidRPr="00010703" w:rsidRDefault="00990D26" w:rsidP="00990D26">
      <w:pPr>
        <w:pStyle w:val="NormalWeb"/>
        <w:spacing w:before="120" w:after="0"/>
        <w:rPr>
          <w:rFonts w:asciiTheme="minorHAnsi" w:hAnsiTheme="minorHAnsi" w:cstheme="minorHAnsi"/>
          <w:sz w:val="24"/>
          <w:szCs w:val="24"/>
        </w:rPr>
      </w:pPr>
      <w:r w:rsidRPr="00010703">
        <w:rPr>
          <w:rFonts w:asciiTheme="minorHAnsi" w:hAnsiTheme="minorHAnsi" w:cstheme="minorHAnsi"/>
          <w:sz w:val="24"/>
          <w:szCs w:val="24"/>
        </w:rPr>
        <w:t xml:space="preserve">The parent group of the FG- AI4AD is </w:t>
      </w:r>
      <w:r w:rsidRPr="00010703">
        <w:rPr>
          <w:rFonts w:asciiTheme="minorHAnsi" w:hAnsiTheme="minorHAnsi" w:cstheme="minorHAnsi"/>
          <w:b/>
          <w:bCs/>
          <w:sz w:val="24"/>
          <w:szCs w:val="24"/>
        </w:rPr>
        <w:t xml:space="preserve">ITU-T Study Group 16 </w:t>
      </w:r>
      <w:r w:rsidRPr="00010703">
        <w:rPr>
          <w:rFonts w:asciiTheme="minorHAnsi" w:hAnsiTheme="minorHAnsi" w:cstheme="minorHAnsi"/>
          <w:sz w:val="24"/>
          <w:szCs w:val="24"/>
        </w:rPr>
        <w:t xml:space="preserve">"Multimedia coding, systems and applications". </w:t>
      </w:r>
    </w:p>
    <w:p w14:paraId="2FC9F3A0"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7.</w:t>
      </w:r>
      <w:r w:rsidRPr="00990D26">
        <w:rPr>
          <w:rFonts w:cstheme="minorHAnsi"/>
          <w:szCs w:val="24"/>
          <w:lang w:val="en-GB"/>
        </w:rPr>
        <w:tab/>
        <w:t xml:space="preserve">Leadership </w:t>
      </w:r>
    </w:p>
    <w:p w14:paraId="7194029C" w14:textId="77777777" w:rsidR="00990D26" w:rsidRPr="00990D26" w:rsidRDefault="00990D26" w:rsidP="00990D26">
      <w:pPr>
        <w:rPr>
          <w:rFonts w:cstheme="minorHAnsi"/>
          <w:szCs w:val="24"/>
          <w:lang w:val="en-GB"/>
        </w:rPr>
      </w:pPr>
      <w:r w:rsidRPr="00990D26">
        <w:rPr>
          <w:rFonts w:cstheme="minorHAnsi"/>
          <w:szCs w:val="24"/>
          <w:lang w:val="en-GB"/>
        </w:rPr>
        <w:t>See clause 2.3 of Recommendation ITU-T A.7.</w:t>
      </w:r>
    </w:p>
    <w:p w14:paraId="5635116F" w14:textId="77777777" w:rsidR="00990D26" w:rsidRPr="00010703" w:rsidRDefault="00990D26" w:rsidP="00990D26">
      <w:pPr>
        <w:pStyle w:val="Headingb0"/>
        <w:tabs>
          <w:tab w:val="left" w:pos="567"/>
        </w:tabs>
        <w:rPr>
          <w:rFonts w:cstheme="minorHAnsi"/>
          <w:szCs w:val="24"/>
          <w:lang w:val="en-US"/>
        </w:rPr>
      </w:pPr>
      <w:r w:rsidRPr="00010703">
        <w:rPr>
          <w:rFonts w:cstheme="minorHAnsi"/>
          <w:szCs w:val="24"/>
          <w:lang w:val="en-US"/>
        </w:rPr>
        <w:t>8.</w:t>
      </w:r>
      <w:r w:rsidRPr="00010703">
        <w:rPr>
          <w:rFonts w:cstheme="minorHAnsi"/>
          <w:szCs w:val="24"/>
          <w:lang w:val="en-US"/>
        </w:rPr>
        <w:tab/>
      </w:r>
      <w:r w:rsidRPr="00990D26">
        <w:rPr>
          <w:rFonts w:cstheme="minorHAnsi"/>
          <w:szCs w:val="24"/>
          <w:lang w:val="en-GB"/>
        </w:rPr>
        <w:t>Participation</w:t>
      </w:r>
      <w:r w:rsidRPr="00010703">
        <w:rPr>
          <w:rFonts w:cstheme="minorHAnsi"/>
          <w:szCs w:val="24"/>
          <w:lang w:val="en-US"/>
        </w:rPr>
        <w:t xml:space="preserve"> </w:t>
      </w:r>
    </w:p>
    <w:p w14:paraId="4CEAA56B" w14:textId="77777777" w:rsidR="00990D26" w:rsidRPr="00990D26" w:rsidRDefault="00990D26" w:rsidP="00990D26">
      <w:pPr>
        <w:rPr>
          <w:rFonts w:cstheme="minorHAnsi"/>
          <w:szCs w:val="24"/>
          <w:lang w:val="en-GB"/>
        </w:rPr>
      </w:pPr>
      <w:r w:rsidRPr="00010703">
        <w:rPr>
          <w:rFonts w:cstheme="minorHAnsi"/>
          <w:szCs w:val="24"/>
          <w:lang w:val="en-US"/>
        </w:rPr>
        <w:t xml:space="preserve">See clause 3 of Recommendation ITU-T A.7. </w:t>
      </w:r>
      <w:r w:rsidRPr="00990D26">
        <w:rPr>
          <w:rFonts w:cstheme="minorHAnsi"/>
          <w:szCs w:val="24"/>
          <w:lang w:val="en-GB"/>
        </w:rPr>
        <w:t>A list of participants will be maintained for reference purposes and reported to the parent group.</w:t>
      </w:r>
    </w:p>
    <w:p w14:paraId="60D8C865"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9.</w:t>
      </w:r>
      <w:r w:rsidRPr="00990D26">
        <w:rPr>
          <w:rFonts w:cstheme="minorHAnsi"/>
          <w:szCs w:val="24"/>
          <w:lang w:val="en-GB"/>
        </w:rPr>
        <w:tab/>
        <w:t xml:space="preserve">Administrative support </w:t>
      </w:r>
    </w:p>
    <w:p w14:paraId="778CB250" w14:textId="77777777" w:rsidR="00990D26" w:rsidRPr="00990D26" w:rsidRDefault="00990D26" w:rsidP="00990D26">
      <w:pPr>
        <w:rPr>
          <w:rFonts w:cstheme="minorHAnsi"/>
          <w:szCs w:val="24"/>
          <w:lang w:val="en-GB"/>
        </w:rPr>
      </w:pPr>
      <w:r w:rsidRPr="00990D26">
        <w:rPr>
          <w:rFonts w:cstheme="minorHAnsi"/>
          <w:szCs w:val="24"/>
          <w:lang w:val="en-GB"/>
        </w:rPr>
        <w:t xml:space="preserve">See clause 5 of Recommendation ITU-T A.7. </w:t>
      </w:r>
    </w:p>
    <w:p w14:paraId="6BA1AF48"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10.</w:t>
      </w:r>
      <w:r w:rsidRPr="00990D26">
        <w:rPr>
          <w:rFonts w:cstheme="minorHAnsi"/>
          <w:szCs w:val="24"/>
          <w:lang w:val="en-GB"/>
        </w:rPr>
        <w:tab/>
        <w:t xml:space="preserve">General financing </w:t>
      </w:r>
    </w:p>
    <w:p w14:paraId="34CE3FB0" w14:textId="77777777" w:rsidR="00990D26" w:rsidRPr="00990D26" w:rsidRDefault="00990D26" w:rsidP="00990D26">
      <w:pPr>
        <w:rPr>
          <w:rFonts w:cstheme="minorHAnsi"/>
          <w:szCs w:val="24"/>
          <w:lang w:val="en-GB"/>
        </w:rPr>
      </w:pPr>
      <w:r w:rsidRPr="00990D26">
        <w:rPr>
          <w:rFonts w:cstheme="minorHAnsi"/>
          <w:szCs w:val="24"/>
          <w:lang w:val="en-GB"/>
        </w:rPr>
        <w:t>See clauses 4 and 10.2 of Recommendation ITU-T A.7.</w:t>
      </w:r>
    </w:p>
    <w:p w14:paraId="676E1761"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11.</w:t>
      </w:r>
      <w:r w:rsidRPr="00990D26">
        <w:rPr>
          <w:rFonts w:cstheme="minorHAnsi"/>
          <w:szCs w:val="24"/>
          <w:lang w:val="en-GB"/>
        </w:rPr>
        <w:tab/>
        <w:t xml:space="preserve">Meetings </w:t>
      </w:r>
    </w:p>
    <w:p w14:paraId="0583D948" w14:textId="77777777" w:rsidR="00990D26" w:rsidRPr="00990D26" w:rsidRDefault="00990D26" w:rsidP="00990D26">
      <w:pPr>
        <w:rPr>
          <w:rFonts w:cstheme="minorHAnsi"/>
          <w:szCs w:val="24"/>
          <w:lang w:val="en-GB"/>
        </w:rPr>
      </w:pPr>
      <w:r w:rsidRPr="00990D26">
        <w:rPr>
          <w:rFonts w:cstheme="minorHAnsi"/>
          <w:szCs w:val="24"/>
          <w:lang w:val="en-GB"/>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2E3347FE" w14:textId="77777777" w:rsidR="00990D26" w:rsidRPr="00990D26" w:rsidRDefault="00990D26" w:rsidP="00990D26">
      <w:pPr>
        <w:rPr>
          <w:rFonts w:cstheme="minorHAnsi"/>
          <w:szCs w:val="24"/>
          <w:lang w:val="en-GB"/>
        </w:rPr>
      </w:pPr>
      <w:r w:rsidRPr="00990D26">
        <w:rPr>
          <w:rFonts w:cstheme="minorHAnsi"/>
          <w:szCs w:val="24"/>
          <w:lang w:val="en-GB"/>
        </w:rPr>
        <w:t xml:space="preserve">The meeting dates will be announced by electronic means (e.g., e-mail and website, etc.) at least four weeks in advance. </w:t>
      </w:r>
    </w:p>
    <w:p w14:paraId="005DB4E4"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12.</w:t>
      </w:r>
      <w:r w:rsidRPr="00990D26">
        <w:rPr>
          <w:rFonts w:cstheme="minorHAnsi"/>
          <w:szCs w:val="24"/>
          <w:lang w:val="en-GB"/>
        </w:rPr>
        <w:tab/>
        <w:t xml:space="preserve">Technical contributions </w:t>
      </w:r>
    </w:p>
    <w:p w14:paraId="25F14B99" w14:textId="77777777" w:rsidR="00990D26" w:rsidRPr="00990D26" w:rsidRDefault="00990D26" w:rsidP="00990D26">
      <w:pPr>
        <w:rPr>
          <w:rFonts w:cstheme="minorHAnsi"/>
          <w:szCs w:val="24"/>
          <w:lang w:val="en-GB"/>
        </w:rPr>
      </w:pPr>
      <w:r w:rsidRPr="00990D26">
        <w:rPr>
          <w:rFonts w:cstheme="minorHAnsi"/>
          <w:szCs w:val="24"/>
          <w:lang w:val="en-GB"/>
        </w:rPr>
        <w:t xml:space="preserve">See clause 8 of Recommendation ITU-T A.7. </w:t>
      </w:r>
    </w:p>
    <w:p w14:paraId="34EDEBF9"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13.</w:t>
      </w:r>
      <w:r w:rsidRPr="00990D26">
        <w:rPr>
          <w:rFonts w:cstheme="minorHAnsi"/>
          <w:szCs w:val="24"/>
          <w:lang w:val="en-GB"/>
        </w:rPr>
        <w:tab/>
        <w:t xml:space="preserve">Working language </w:t>
      </w:r>
    </w:p>
    <w:p w14:paraId="26828AF2" w14:textId="77777777" w:rsidR="00990D26" w:rsidRPr="00990D26" w:rsidRDefault="00990D26" w:rsidP="00990D26">
      <w:pPr>
        <w:rPr>
          <w:rFonts w:cstheme="minorHAnsi"/>
          <w:szCs w:val="24"/>
          <w:lang w:val="en-GB"/>
        </w:rPr>
      </w:pPr>
      <w:r w:rsidRPr="00990D26">
        <w:rPr>
          <w:rFonts w:cstheme="minorHAnsi"/>
          <w:szCs w:val="24"/>
          <w:lang w:val="en-GB"/>
        </w:rPr>
        <w:t xml:space="preserve">The working language is English. </w:t>
      </w:r>
    </w:p>
    <w:p w14:paraId="7919376F"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14.</w:t>
      </w:r>
      <w:r w:rsidRPr="00990D26">
        <w:rPr>
          <w:rFonts w:cstheme="minorHAnsi"/>
          <w:szCs w:val="24"/>
          <w:lang w:val="en-GB"/>
        </w:rPr>
        <w:tab/>
        <w:t xml:space="preserve">Approval of deliverables </w:t>
      </w:r>
    </w:p>
    <w:p w14:paraId="57708F24" w14:textId="77777777" w:rsidR="00990D26" w:rsidRPr="00990D26" w:rsidRDefault="00990D26" w:rsidP="00990D26">
      <w:pPr>
        <w:rPr>
          <w:rFonts w:cstheme="minorHAnsi"/>
          <w:szCs w:val="24"/>
          <w:lang w:val="en-GB"/>
        </w:rPr>
      </w:pPr>
      <w:r w:rsidRPr="00990D26">
        <w:rPr>
          <w:rFonts w:cstheme="minorHAnsi"/>
          <w:szCs w:val="24"/>
          <w:lang w:val="en-GB"/>
        </w:rPr>
        <w:t xml:space="preserve">Approval of deliverables shall be taken by consensus. </w:t>
      </w:r>
    </w:p>
    <w:p w14:paraId="14302EA0"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lastRenderedPageBreak/>
        <w:t>15.</w:t>
      </w:r>
      <w:r w:rsidRPr="00990D26">
        <w:rPr>
          <w:rFonts w:cstheme="minorHAnsi"/>
          <w:szCs w:val="24"/>
          <w:lang w:val="en-GB"/>
        </w:rPr>
        <w:tab/>
        <w:t xml:space="preserve">Working guidelines </w:t>
      </w:r>
    </w:p>
    <w:p w14:paraId="17795BBC" w14:textId="77777777" w:rsidR="00990D26" w:rsidRPr="00990D26" w:rsidRDefault="00990D26" w:rsidP="00990D26">
      <w:pPr>
        <w:rPr>
          <w:rFonts w:cstheme="minorHAnsi"/>
          <w:szCs w:val="24"/>
          <w:lang w:val="en-GB"/>
        </w:rPr>
      </w:pPr>
      <w:r w:rsidRPr="00990D26">
        <w:rPr>
          <w:rFonts w:cstheme="minorHAnsi"/>
          <w:szCs w:val="24"/>
          <w:lang w:val="en-GB"/>
        </w:rPr>
        <w:t xml:space="preserve">Working procedures shall follow the procedures of Rapporteur meetings. No additional working guidelines are defined. </w:t>
      </w:r>
    </w:p>
    <w:p w14:paraId="25C10A33"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16.</w:t>
      </w:r>
      <w:r w:rsidRPr="00990D26">
        <w:rPr>
          <w:rFonts w:cstheme="minorHAnsi"/>
          <w:szCs w:val="24"/>
          <w:lang w:val="en-GB"/>
        </w:rPr>
        <w:tab/>
        <w:t xml:space="preserve">Progress reports </w:t>
      </w:r>
    </w:p>
    <w:p w14:paraId="79B10444" w14:textId="77777777" w:rsidR="00990D26" w:rsidRPr="00990D26" w:rsidRDefault="00990D26" w:rsidP="00990D26">
      <w:pPr>
        <w:rPr>
          <w:rFonts w:cstheme="minorHAnsi"/>
          <w:szCs w:val="24"/>
          <w:lang w:val="en-GB"/>
        </w:rPr>
      </w:pPr>
      <w:r w:rsidRPr="00990D26">
        <w:rPr>
          <w:rFonts w:cstheme="minorHAnsi"/>
          <w:szCs w:val="24"/>
          <w:lang w:val="en-GB"/>
        </w:rPr>
        <w:t>See clause 11 of Recommendation ITU-T A.7.</w:t>
      </w:r>
    </w:p>
    <w:p w14:paraId="16FD9852"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17.</w:t>
      </w:r>
      <w:r w:rsidRPr="00990D26">
        <w:rPr>
          <w:rFonts w:cstheme="minorHAnsi"/>
          <w:szCs w:val="24"/>
          <w:lang w:val="en-GB"/>
        </w:rPr>
        <w:tab/>
        <w:t xml:space="preserve">Announcement of Focus Group formation </w:t>
      </w:r>
    </w:p>
    <w:p w14:paraId="19C93FC2" w14:textId="77777777" w:rsidR="00990D26" w:rsidRPr="00990D26" w:rsidRDefault="00990D26" w:rsidP="00990D26">
      <w:pPr>
        <w:rPr>
          <w:rFonts w:cstheme="minorHAnsi"/>
          <w:szCs w:val="24"/>
          <w:lang w:val="en-GB"/>
        </w:rPr>
      </w:pPr>
      <w:r w:rsidRPr="00990D26">
        <w:rPr>
          <w:rFonts w:cstheme="minorHAnsi"/>
          <w:szCs w:val="24"/>
          <w:lang w:val="en-GB"/>
        </w:rPr>
        <w:t xml:space="preserve">The formation of the Focus Group will be announced via TSB Circular to all ITU membership, via the ITU-T Newslog, press releases and other means, including communication with the other involved organizations. </w:t>
      </w:r>
    </w:p>
    <w:p w14:paraId="589FB145"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18.</w:t>
      </w:r>
      <w:r w:rsidRPr="00990D26">
        <w:rPr>
          <w:rFonts w:cstheme="minorHAnsi"/>
          <w:szCs w:val="24"/>
          <w:lang w:val="en-GB"/>
        </w:rPr>
        <w:tab/>
        <w:t xml:space="preserve">Milestones and duration of the Focus Group </w:t>
      </w:r>
    </w:p>
    <w:p w14:paraId="01607BF6" w14:textId="77777777" w:rsidR="00990D26" w:rsidRPr="00990D26" w:rsidRDefault="00990D26" w:rsidP="00990D26">
      <w:pPr>
        <w:rPr>
          <w:rFonts w:cstheme="minorHAnsi"/>
          <w:szCs w:val="24"/>
          <w:lang w:val="en-GB"/>
        </w:rPr>
      </w:pPr>
      <w:r w:rsidRPr="00990D26">
        <w:rPr>
          <w:rFonts w:cstheme="minorHAnsi"/>
          <w:szCs w:val="24"/>
          <w:lang w:val="en-GB"/>
        </w:rPr>
        <w:t xml:space="preserve">The Focus Group lifetime is set for two years from the first meeting with possibility of extension. </w:t>
      </w:r>
    </w:p>
    <w:p w14:paraId="6D804250" w14:textId="77777777" w:rsidR="00990D26" w:rsidRPr="00990D26" w:rsidRDefault="00990D26" w:rsidP="00990D26">
      <w:pPr>
        <w:pStyle w:val="Headingb0"/>
        <w:tabs>
          <w:tab w:val="left" w:pos="567"/>
        </w:tabs>
        <w:rPr>
          <w:rFonts w:cstheme="minorHAnsi"/>
          <w:szCs w:val="24"/>
          <w:lang w:val="en-GB"/>
        </w:rPr>
      </w:pPr>
      <w:r w:rsidRPr="00990D26">
        <w:rPr>
          <w:rFonts w:cstheme="minorHAnsi"/>
          <w:szCs w:val="24"/>
          <w:lang w:val="en-GB"/>
        </w:rPr>
        <w:t>19.</w:t>
      </w:r>
      <w:r w:rsidRPr="00990D26">
        <w:rPr>
          <w:rFonts w:cstheme="minorHAnsi"/>
          <w:szCs w:val="24"/>
          <w:lang w:val="en-GB"/>
        </w:rPr>
        <w:tab/>
        <w:t xml:space="preserve">Patent policy </w:t>
      </w:r>
    </w:p>
    <w:p w14:paraId="6C7CEEDF" w14:textId="77777777" w:rsidR="00990D26" w:rsidRPr="00990D26" w:rsidRDefault="00990D26" w:rsidP="00990D26">
      <w:pPr>
        <w:rPr>
          <w:rFonts w:cstheme="minorHAnsi"/>
          <w:szCs w:val="24"/>
          <w:lang w:val="en-GB"/>
        </w:rPr>
      </w:pPr>
      <w:r w:rsidRPr="00990D26">
        <w:rPr>
          <w:rFonts w:cstheme="minorHAnsi"/>
          <w:szCs w:val="24"/>
          <w:lang w:val="en-GB"/>
        </w:rPr>
        <w:t>See clause 9 of Recommendation ITU-T A.7.</w:t>
      </w:r>
    </w:p>
    <w:p w14:paraId="0FE4D77A" w14:textId="77777777" w:rsidR="00990D26" w:rsidRPr="00650A29" w:rsidRDefault="00990D26" w:rsidP="00990D26">
      <w:pPr>
        <w:pStyle w:val="AnnexNo"/>
        <w:pageBreakBefore/>
        <w:rPr>
          <w:bCs/>
          <w:szCs w:val="28"/>
        </w:rPr>
      </w:pPr>
      <w:r w:rsidRPr="00650A29">
        <w:rPr>
          <w:bCs/>
          <w:szCs w:val="28"/>
        </w:rPr>
        <w:lastRenderedPageBreak/>
        <w:t>ANNEX 2</w:t>
      </w:r>
      <w:r w:rsidRPr="00650A29">
        <w:rPr>
          <w:bCs/>
          <w:szCs w:val="28"/>
        </w:rPr>
        <w:br/>
        <w:t>INVITATION LETTER REQUEST FORM</w:t>
      </w:r>
    </w:p>
    <w:p w14:paraId="592B1D8A" w14:textId="77777777" w:rsidR="00990D26" w:rsidRPr="00990D26" w:rsidRDefault="00990D26" w:rsidP="00990D26">
      <w:pPr>
        <w:tabs>
          <w:tab w:val="left" w:pos="1080"/>
        </w:tabs>
        <w:snapToGrid w:val="0"/>
        <w:jc w:val="both"/>
        <w:rPr>
          <w:rFonts w:cstheme="majorBidi"/>
          <w:szCs w:val="24"/>
          <w:lang w:val="en-GB"/>
        </w:rPr>
      </w:pPr>
      <w:r w:rsidRPr="00990D26">
        <w:rPr>
          <w:rFonts w:cstheme="majorBidi"/>
          <w:szCs w:val="24"/>
          <w:lang w:val="en-GB"/>
        </w:rPr>
        <w:t>All foreign visitors entering the United Kingdom must have a valid ID or passport. Visitors from countries whose citizens require a visa should apply at the earliest opportunity, and well in advance of travel. To check if you require a visa to enter the UK please check the latest advice on the UK Government website at:</w:t>
      </w:r>
    </w:p>
    <w:bookmarkStart w:id="5" w:name="_ANNEX_2"/>
    <w:bookmarkStart w:id="6" w:name="_ANNEX_2_–"/>
    <w:bookmarkStart w:id="7" w:name="_ANNEX_C_–"/>
    <w:bookmarkEnd w:id="5"/>
    <w:bookmarkEnd w:id="6"/>
    <w:bookmarkEnd w:id="7"/>
    <w:p w14:paraId="66191624" w14:textId="77777777" w:rsidR="00990D26" w:rsidRPr="00990D26" w:rsidRDefault="00990D26" w:rsidP="00990D26">
      <w:pPr>
        <w:tabs>
          <w:tab w:val="left" w:pos="1080"/>
        </w:tabs>
        <w:snapToGrid w:val="0"/>
        <w:jc w:val="both"/>
        <w:rPr>
          <w:rFonts w:cstheme="majorBidi"/>
          <w:szCs w:val="24"/>
          <w:lang w:val="en-GB"/>
        </w:rPr>
      </w:pPr>
      <w:r>
        <w:fldChar w:fldCharType="begin"/>
      </w:r>
      <w:r w:rsidRPr="00990D26">
        <w:rPr>
          <w:lang w:val="en-GB"/>
        </w:rPr>
        <w:instrText xml:space="preserve"> HYPERLINK "https://www.gov.uk/check-uk-visa" </w:instrText>
      </w:r>
      <w:r>
        <w:fldChar w:fldCharType="separate"/>
      </w:r>
      <w:r w:rsidRPr="00990D26">
        <w:rPr>
          <w:rStyle w:val="Hyperlink"/>
          <w:rFonts w:cstheme="majorBidi"/>
          <w:szCs w:val="24"/>
          <w:lang w:val="en-GB"/>
        </w:rPr>
        <w:t>https://www.gov.uk/check-uk-visa</w:t>
      </w:r>
      <w:r>
        <w:rPr>
          <w:rStyle w:val="Hyperlink"/>
          <w:rFonts w:cstheme="majorBidi"/>
          <w:szCs w:val="24"/>
        </w:rPr>
        <w:fldChar w:fldCharType="end"/>
      </w:r>
      <w:r w:rsidRPr="00990D26">
        <w:rPr>
          <w:rFonts w:cstheme="majorBidi"/>
          <w:szCs w:val="24"/>
          <w:lang w:val="en-GB"/>
        </w:rPr>
        <w:t xml:space="preserve">. </w:t>
      </w:r>
    </w:p>
    <w:p w14:paraId="6B734934" w14:textId="77777777" w:rsidR="00990D26" w:rsidRPr="00650A29" w:rsidRDefault="00990D26" w:rsidP="00990D26">
      <w:pPr>
        <w:tabs>
          <w:tab w:val="left" w:pos="1080"/>
        </w:tabs>
        <w:snapToGrid w:val="0"/>
        <w:jc w:val="both"/>
        <w:rPr>
          <w:rFonts w:eastAsia="SimSun" w:cstheme="majorBidi"/>
          <w:szCs w:val="24"/>
        </w:rPr>
      </w:pPr>
      <w:r w:rsidRPr="00990D26">
        <w:rPr>
          <w:rFonts w:cstheme="majorBidi"/>
          <w:szCs w:val="24"/>
          <w:lang w:val="en-GB"/>
        </w:rPr>
        <w:t xml:space="preserve">You may need a letter of invitation from the UK host, which you will need to present to the UK embassy/consulate in your area in order to obtain your visa. </w:t>
      </w:r>
      <w:r w:rsidRPr="00650A29">
        <w:rPr>
          <w:rFonts w:cstheme="majorBidi"/>
          <w:szCs w:val="24"/>
        </w:rPr>
        <w:t>In order to obtain an invitation letter:</w:t>
      </w:r>
    </w:p>
    <w:p w14:paraId="40CC3FD5" w14:textId="77777777" w:rsidR="00990D26" w:rsidRPr="00990D26" w:rsidRDefault="00990D26" w:rsidP="00990D26">
      <w:pPr>
        <w:widowControl w:val="0"/>
        <w:numPr>
          <w:ilvl w:val="0"/>
          <w:numId w:val="6"/>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lang w:val="en-GB"/>
        </w:rPr>
      </w:pPr>
      <w:r w:rsidRPr="00990D26">
        <w:rPr>
          <w:rFonts w:cstheme="majorBidi"/>
          <w:szCs w:val="24"/>
          <w:lang w:val="en-GB"/>
        </w:rPr>
        <w:t>Please complete the form below.</w:t>
      </w:r>
    </w:p>
    <w:p w14:paraId="76B9B69A" w14:textId="77777777" w:rsidR="00990D26" w:rsidRPr="00990D26" w:rsidRDefault="00990D26" w:rsidP="00990D26">
      <w:pPr>
        <w:widowControl w:val="0"/>
        <w:numPr>
          <w:ilvl w:val="0"/>
          <w:numId w:val="6"/>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lang w:val="en-GB"/>
        </w:rPr>
      </w:pPr>
      <w:r w:rsidRPr="00990D26">
        <w:rPr>
          <w:rFonts w:cstheme="majorBidi"/>
          <w:szCs w:val="24"/>
          <w:lang w:val="en-GB"/>
        </w:rPr>
        <w:t>An electronic copy of your passport must be provided with your name, date of birth, nationality, passport number, expiration date of passport, etc., clearly seen on the copy.</w:t>
      </w:r>
    </w:p>
    <w:p w14:paraId="4D9F252F" w14:textId="77777777" w:rsidR="00990D26" w:rsidRPr="00990D26" w:rsidRDefault="00990D26" w:rsidP="00990D26">
      <w:pPr>
        <w:widowControl w:val="0"/>
        <w:numPr>
          <w:ilvl w:val="0"/>
          <w:numId w:val="6"/>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lang w:val="en-GB"/>
        </w:rPr>
      </w:pPr>
      <w:r w:rsidRPr="00990D26">
        <w:rPr>
          <w:rFonts w:cstheme="majorBidi"/>
          <w:szCs w:val="24"/>
          <w:lang w:val="en-GB"/>
        </w:rPr>
        <w:t>If you have been to the UK before, please provide an electronic copy of any previous UK visas and/or records.</w:t>
      </w:r>
    </w:p>
    <w:p w14:paraId="6D6263FF" w14:textId="77777777" w:rsidR="00990D26" w:rsidRPr="00990D26" w:rsidRDefault="00990D26" w:rsidP="00990D26">
      <w:pPr>
        <w:widowControl w:val="0"/>
        <w:numPr>
          <w:ilvl w:val="0"/>
          <w:numId w:val="6"/>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lang w:val="en-GB"/>
        </w:rPr>
      </w:pPr>
      <w:r w:rsidRPr="00990D26">
        <w:rPr>
          <w:rFonts w:cstheme="majorBidi"/>
          <w:szCs w:val="24"/>
          <w:lang w:val="en-GB"/>
        </w:rPr>
        <w:t xml:space="preserve">Send the info in sections A, B and C as e-mail attachments to </w:t>
      </w:r>
      <w:hyperlink r:id="rId20" w:history="1">
        <w:r w:rsidRPr="00990D26">
          <w:rPr>
            <w:rStyle w:val="Hyperlink"/>
            <w:rFonts w:cstheme="majorBidi"/>
            <w:szCs w:val="24"/>
            <w:lang w:val="en-GB"/>
          </w:rPr>
          <w:t>bryn@ada.ngo</w:t>
        </w:r>
      </w:hyperlink>
      <w:r w:rsidRPr="00990D26">
        <w:rPr>
          <w:rFonts w:cstheme="majorBidi"/>
          <w:szCs w:val="24"/>
          <w:lang w:val="en-GB"/>
        </w:rPr>
        <w:t xml:space="preserve">; please mark in the subject line </w:t>
      </w:r>
      <w:r w:rsidRPr="00990D26">
        <w:rPr>
          <w:rFonts w:cstheme="majorBidi"/>
          <w:b/>
          <w:bCs/>
          <w:i/>
          <w:iCs/>
          <w:szCs w:val="24"/>
          <w:lang w:val="en-GB"/>
        </w:rPr>
        <w:t xml:space="preserve">“Invitation letter request for </w:t>
      </w:r>
      <w:bookmarkStart w:id="8" w:name="OLE_LINK5"/>
      <w:bookmarkStart w:id="9" w:name="OLE_LINK6"/>
      <w:r w:rsidRPr="00990D26">
        <w:rPr>
          <w:rFonts w:cstheme="majorBidi"/>
          <w:b/>
          <w:bCs/>
          <w:i/>
          <w:iCs/>
          <w:szCs w:val="24"/>
          <w:lang w:val="en-GB"/>
        </w:rPr>
        <w:t>ITU</w:t>
      </w:r>
      <w:r w:rsidRPr="00990D26">
        <w:rPr>
          <w:rFonts w:cstheme="majorBidi"/>
          <w:b/>
          <w:bCs/>
          <w:i/>
          <w:iCs/>
          <w:szCs w:val="24"/>
          <w:lang w:val="en-GB"/>
        </w:rPr>
        <w:noBreakHyphen/>
        <w:t>T FG-AI4AD meeting</w:t>
      </w:r>
      <w:bookmarkEnd w:id="8"/>
      <w:bookmarkEnd w:id="9"/>
      <w:r w:rsidRPr="00990D26">
        <w:rPr>
          <w:rFonts w:cstheme="majorBidi"/>
          <w:b/>
          <w:bCs/>
          <w:i/>
          <w:iCs/>
          <w:szCs w:val="24"/>
          <w:lang w:val="en-GB"/>
        </w:rPr>
        <w:t xml:space="preserve"> (21-22 January 2020)”</w:t>
      </w:r>
      <w:r w:rsidRPr="00990D26">
        <w:rPr>
          <w:rFonts w:cstheme="majorBidi"/>
          <w:szCs w:val="24"/>
          <w:lang w:val="en-GB"/>
        </w:rPr>
        <w:t>.</w:t>
      </w:r>
    </w:p>
    <w:p w14:paraId="72A32B5D" w14:textId="77777777" w:rsidR="00990D26" w:rsidRPr="00990D26" w:rsidRDefault="00990D26" w:rsidP="00990D26">
      <w:pPr>
        <w:widowControl w:val="0"/>
        <w:overflowPunct/>
        <w:autoSpaceDE/>
        <w:autoSpaceDN/>
        <w:snapToGrid w:val="0"/>
        <w:spacing w:before="60"/>
        <w:jc w:val="both"/>
        <w:textAlignment w:val="auto"/>
        <w:rPr>
          <w:rFonts w:cstheme="majorBidi"/>
          <w:szCs w:val="24"/>
          <w:lang w:val="en-GB"/>
        </w:rPr>
      </w:pPr>
      <w:r w:rsidRPr="00990D26">
        <w:rPr>
          <w:rFonts w:cstheme="majorBidi"/>
          <w:szCs w:val="24"/>
          <w:lang w:val="en-GB"/>
        </w:rPr>
        <w:t xml:space="preserve">(Remember to scan your passport and e-mail it to </w:t>
      </w:r>
      <w:r w:rsidRPr="00990D26">
        <w:rPr>
          <w:rFonts w:eastAsia="SimSun" w:cstheme="majorBidi"/>
          <w:szCs w:val="24"/>
          <w:lang w:val="en-GB"/>
        </w:rPr>
        <w:t>us</w:t>
      </w:r>
      <w:r w:rsidRPr="00990D26">
        <w:rPr>
          <w:rFonts w:cstheme="majorBidi"/>
          <w:szCs w:val="24"/>
          <w:lang w:val="en-GB"/>
        </w:rPr>
        <w:t xml:space="preserve"> so that it is discernible and can be used.)</w:t>
      </w:r>
    </w:p>
    <w:p w14:paraId="78C38731" w14:textId="77777777" w:rsidR="00990D26" w:rsidRPr="00990D26" w:rsidRDefault="00990D26" w:rsidP="00990D26">
      <w:pPr>
        <w:widowControl w:val="0"/>
        <w:overflowPunct/>
        <w:autoSpaceDE/>
        <w:autoSpaceDN/>
        <w:snapToGrid w:val="0"/>
        <w:spacing w:before="60"/>
        <w:jc w:val="both"/>
        <w:textAlignment w:val="auto"/>
        <w:rPr>
          <w:rFonts w:cstheme="majorBidi"/>
          <w:szCs w:val="24"/>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990D26" w:rsidRPr="00650A29" w14:paraId="47846337" w14:textId="77777777" w:rsidTr="001145B7">
        <w:trPr>
          <w:cantSplit/>
          <w:trHeight w:val="460"/>
        </w:trPr>
        <w:tc>
          <w:tcPr>
            <w:tcW w:w="1548" w:type="dxa"/>
            <w:tcBorders>
              <w:top w:val="single" w:sz="4" w:space="0" w:color="auto"/>
              <w:left w:val="single" w:sz="4" w:space="0" w:color="auto"/>
              <w:bottom w:val="single" w:sz="4" w:space="0" w:color="auto"/>
              <w:right w:val="single" w:sz="4" w:space="0" w:color="auto"/>
            </w:tcBorders>
          </w:tcPr>
          <w:p w14:paraId="00265F1C" w14:textId="77777777" w:rsidR="00990D26" w:rsidRPr="00650A29" w:rsidRDefault="00990D26" w:rsidP="001145B7">
            <w:pPr>
              <w:rPr>
                <w:rFonts w:eastAsia="SimSun" w:cstheme="majorBidi"/>
                <w:b/>
                <w:szCs w:val="24"/>
                <w:lang w:eastAsia="es-ES"/>
              </w:rPr>
            </w:pPr>
            <w:r w:rsidRPr="00650A29">
              <w:rPr>
                <w:rFonts w:eastAsia="SimSun" w:cstheme="majorBidi"/>
                <w:b/>
                <w:szCs w:val="24"/>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5B1B75D5" w14:textId="77777777" w:rsidR="00990D26" w:rsidRPr="00650A29" w:rsidRDefault="00990D26" w:rsidP="001145B7">
            <w:pPr>
              <w:rPr>
                <w:rFonts w:eastAsia="SimSun" w:cstheme="majorBidi"/>
                <w:b/>
                <w:szCs w:val="24"/>
                <w:lang w:eastAsia="es-ES"/>
              </w:rPr>
            </w:pPr>
          </w:p>
        </w:tc>
      </w:tr>
      <w:tr w:rsidR="00990D26" w:rsidRPr="00650A29" w14:paraId="5CF3E526" w14:textId="77777777" w:rsidTr="001145B7">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3CDF205A" w14:textId="77777777" w:rsidR="00990D26" w:rsidRPr="00650A29" w:rsidRDefault="00990D26" w:rsidP="001145B7">
            <w:pPr>
              <w:keepNext/>
              <w:spacing w:before="240" w:after="240"/>
              <w:jc w:val="both"/>
              <w:outlineLvl w:val="0"/>
              <w:rPr>
                <w:rFonts w:eastAsia="SimHei" w:cstheme="majorBidi"/>
                <w:b/>
                <w:sz w:val="20"/>
              </w:rPr>
            </w:pPr>
            <w:r w:rsidRPr="00650A29">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56E901B3" w14:textId="77777777" w:rsidR="00990D26" w:rsidRPr="00650A29" w:rsidRDefault="00990D26" w:rsidP="001145B7">
            <w:pPr>
              <w:jc w:val="center"/>
              <w:rPr>
                <w:rFonts w:eastAsia="SimSun" w:cstheme="majorBidi"/>
                <w:b/>
                <w:sz w:val="20"/>
                <w:lang w:eastAsia="es-ES"/>
              </w:rPr>
            </w:pPr>
            <w:r w:rsidRPr="00650A29">
              <w:rPr>
                <w:rFonts w:eastAsia="SimSun" w:cstheme="majorBidi"/>
                <w:sz w:val="20"/>
                <w:lang w:eastAsia="es-ES"/>
              </w:rPr>
              <w:fldChar w:fldCharType="begin"/>
            </w:r>
            <w:r w:rsidRPr="00650A29">
              <w:rPr>
                <w:rFonts w:eastAsia="SimSun" w:cstheme="majorBidi"/>
                <w:b/>
                <w:sz w:val="20"/>
                <w:lang w:eastAsia="es-ES"/>
              </w:rPr>
              <w:instrText>MACROBUTTON NoMacro [ Click and Type in your full name ]</w:instrText>
            </w:r>
            <w:r w:rsidRPr="00650A29">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3F3042C" w14:textId="77777777" w:rsidR="00990D26" w:rsidRPr="00650A29" w:rsidRDefault="00990D26" w:rsidP="001145B7">
            <w:pPr>
              <w:jc w:val="center"/>
              <w:rPr>
                <w:rFonts w:eastAsia="SimSun" w:cstheme="majorBidi"/>
                <w:b/>
                <w:sz w:val="20"/>
                <w:lang w:eastAsia="es-ES"/>
              </w:rPr>
            </w:pPr>
            <w:r w:rsidRPr="00650A29">
              <w:rPr>
                <w:rFonts w:eastAsia="SimSun" w:cstheme="majorBidi"/>
                <w:b/>
                <w:sz w:val="20"/>
                <w:lang w:eastAsia="es-ES"/>
              </w:rPr>
              <w:sym w:font="Wingdings" w:char="0072"/>
            </w:r>
            <w:r w:rsidRPr="00650A29">
              <w:rPr>
                <w:rFonts w:eastAsia="SimSun" w:cstheme="majorBidi"/>
                <w:b/>
                <w:sz w:val="20"/>
                <w:lang w:eastAsia="es-ES"/>
              </w:rPr>
              <w:t xml:space="preserve">Mr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Miss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Ms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Mrs       </w:t>
            </w:r>
          </w:p>
        </w:tc>
      </w:tr>
      <w:tr w:rsidR="00990D26" w:rsidRPr="00650A29" w14:paraId="44C05330" w14:textId="77777777" w:rsidTr="001145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3AAC27E" w14:textId="77777777" w:rsidR="00990D26" w:rsidRPr="00650A29" w:rsidRDefault="00990D26" w:rsidP="001145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8F40D87" w14:textId="77777777" w:rsidR="00990D26" w:rsidRPr="00650A29" w:rsidRDefault="00990D26" w:rsidP="001145B7">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Nationality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5B7BEE5" w14:textId="77777777" w:rsidR="00990D26" w:rsidRPr="00650A29" w:rsidRDefault="00990D26" w:rsidP="001145B7">
            <w:pPr>
              <w:rPr>
                <w:rFonts w:eastAsia="SimSun" w:cstheme="majorBidi"/>
                <w:b/>
                <w:sz w:val="20"/>
              </w:rPr>
            </w:pPr>
            <w:r w:rsidRPr="00650A29">
              <w:rPr>
                <w:rFonts w:eastAsia="SimSun" w:cstheme="majorBidi"/>
                <w:b/>
                <w:sz w:val="20"/>
                <w:lang w:eastAsia="es-ES"/>
              </w:rPr>
              <w:t>Date of birth :</w:t>
            </w:r>
          </w:p>
          <w:p w14:paraId="552342A3" w14:textId="77777777" w:rsidR="00990D26" w:rsidRPr="00650A29" w:rsidRDefault="00990D26" w:rsidP="001145B7">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990D26" w:rsidRPr="00650A29" w14:paraId="5841A46C" w14:textId="77777777" w:rsidTr="001145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1442877" w14:textId="77777777" w:rsidR="00990D26" w:rsidRPr="00650A29" w:rsidRDefault="00990D26" w:rsidP="001145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ED11068" w14:textId="77777777" w:rsidR="00990D26" w:rsidRPr="00650A29" w:rsidRDefault="00990D26" w:rsidP="001145B7">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Passport No.]</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56F41F1" w14:textId="77777777" w:rsidR="00990D26" w:rsidRPr="00650A29" w:rsidRDefault="00990D26" w:rsidP="001145B7">
            <w:pPr>
              <w:rPr>
                <w:rFonts w:eastAsia="SimSun" w:cstheme="majorBidi"/>
                <w:b/>
                <w:sz w:val="20"/>
                <w:lang w:eastAsia="es-ES"/>
              </w:rPr>
            </w:pPr>
            <w:r w:rsidRPr="00650A29">
              <w:rPr>
                <w:rFonts w:eastAsia="SimSun" w:cstheme="majorBidi"/>
                <w:b/>
                <w:sz w:val="20"/>
              </w:rPr>
              <w:t xml:space="preserve">Place of Issue: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 Place of Issue]" </w:instrText>
            </w:r>
            <w:r w:rsidRPr="00650A29">
              <w:rPr>
                <w:rFonts w:eastAsia="SimSun" w:cstheme="majorBidi"/>
                <w:b/>
                <w:sz w:val="20"/>
                <w:lang w:eastAsia="es-ES"/>
              </w:rPr>
              <w:fldChar w:fldCharType="end"/>
            </w:r>
          </w:p>
        </w:tc>
      </w:tr>
      <w:tr w:rsidR="00990D26" w:rsidRPr="00650A29" w14:paraId="3E186711" w14:textId="77777777" w:rsidTr="001145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94DB652" w14:textId="77777777" w:rsidR="00990D26" w:rsidRPr="00650A29" w:rsidRDefault="00990D26" w:rsidP="001145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55867FD" w14:textId="77777777" w:rsidR="00990D26" w:rsidRPr="00650A29" w:rsidRDefault="00990D26" w:rsidP="001145B7">
            <w:pPr>
              <w:rPr>
                <w:rFonts w:eastAsia="SimSun" w:cstheme="majorBidi"/>
                <w:b/>
                <w:sz w:val="20"/>
              </w:rPr>
            </w:pPr>
            <w:r w:rsidRPr="00650A29">
              <w:rPr>
                <w:rFonts w:eastAsia="SimSun" w:cstheme="majorBidi"/>
                <w:b/>
                <w:sz w:val="20"/>
              </w:rPr>
              <w:t>Date of Issue:</w:t>
            </w:r>
          </w:p>
          <w:p w14:paraId="0B9A4CF3" w14:textId="77777777" w:rsidR="00990D26" w:rsidRPr="00650A29" w:rsidRDefault="00990D26" w:rsidP="001145B7">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986B94E" w14:textId="77777777" w:rsidR="00990D26" w:rsidRPr="00650A29" w:rsidRDefault="00990D26" w:rsidP="001145B7">
            <w:pPr>
              <w:rPr>
                <w:rFonts w:eastAsia="SimSun" w:cstheme="majorBidi"/>
                <w:b/>
                <w:sz w:val="20"/>
              </w:rPr>
            </w:pPr>
            <w:r w:rsidRPr="00650A29">
              <w:rPr>
                <w:rFonts w:eastAsia="SimSun" w:cstheme="majorBidi"/>
                <w:b/>
                <w:sz w:val="20"/>
              </w:rPr>
              <w:t>Date of Expiry:</w:t>
            </w:r>
          </w:p>
          <w:p w14:paraId="007FB391" w14:textId="77777777" w:rsidR="00990D26" w:rsidRPr="00650A29" w:rsidRDefault="00990D26" w:rsidP="001145B7">
            <w:pPr>
              <w:jc w:val="center"/>
              <w:rPr>
                <w:rFonts w:eastAsia="SimSun" w:cstheme="majorBidi"/>
                <w:b/>
                <w:sz w:val="20"/>
                <w:lang w:eastAsia="es-ES"/>
              </w:rPr>
            </w:pPr>
            <w:r w:rsidRPr="00650A29">
              <w:rPr>
                <w:rFonts w:eastAsia="SimSun" w:cstheme="majorBidi"/>
                <w:b/>
                <w:sz w:val="20"/>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990D26" w:rsidRPr="00650A29" w14:paraId="13C5C471" w14:textId="77777777" w:rsidTr="001145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936C327" w14:textId="77777777" w:rsidR="00990D26" w:rsidRPr="00650A29" w:rsidRDefault="00990D26" w:rsidP="001145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54E99B83" w14:textId="77777777" w:rsidR="00990D26" w:rsidRPr="00650A29" w:rsidRDefault="00990D26" w:rsidP="001145B7">
            <w:pPr>
              <w:rPr>
                <w:rFonts w:eastAsia="SimSun" w:cstheme="majorBidi"/>
                <w:b/>
                <w:sz w:val="20"/>
              </w:rPr>
            </w:pPr>
            <w:r w:rsidRPr="00650A29">
              <w:rPr>
                <w:rFonts w:eastAsia="SimSun" w:cstheme="majorBidi"/>
                <w:b/>
                <w:sz w:val="20"/>
              </w:rPr>
              <w:t xml:space="preserve">Marital Status: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"[Marital Status]"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0FFE375" w14:textId="77777777" w:rsidR="00990D26" w:rsidRPr="00650A29" w:rsidRDefault="00990D26" w:rsidP="001145B7">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Job Title ]</w:instrText>
            </w:r>
            <w:r w:rsidRPr="00650A29">
              <w:rPr>
                <w:rFonts w:eastAsia="SimSun" w:cstheme="majorBidi"/>
                <w:b/>
                <w:sz w:val="20"/>
                <w:lang w:eastAsia="es-ES"/>
              </w:rPr>
              <w:fldChar w:fldCharType="end"/>
            </w:r>
          </w:p>
        </w:tc>
      </w:tr>
      <w:tr w:rsidR="00990D26" w:rsidRPr="00650A29" w14:paraId="3D026F98" w14:textId="77777777" w:rsidTr="001145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50DDAB9" w14:textId="77777777" w:rsidR="00990D26" w:rsidRPr="00650A29" w:rsidRDefault="00990D26" w:rsidP="001145B7">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1F8CC37A"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If the country in which you'll obtain your visa is different from your nationality, please indicate it here:</w:t>
            </w:r>
          </w:p>
          <w:p w14:paraId="7633D1BE" w14:textId="77777777" w:rsidR="00990D26" w:rsidRPr="00650A29" w:rsidRDefault="00990D26" w:rsidP="001145B7">
            <w:pPr>
              <w:jc w:val="cente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Country to obtain your visa]</w:instrText>
            </w:r>
            <w:r w:rsidRPr="00650A29">
              <w:rPr>
                <w:rFonts w:eastAsia="SimSun" w:cstheme="majorBidi"/>
                <w:b/>
                <w:sz w:val="20"/>
                <w:lang w:eastAsia="es-ES"/>
              </w:rPr>
              <w:fldChar w:fldCharType="end"/>
            </w:r>
          </w:p>
        </w:tc>
      </w:tr>
      <w:tr w:rsidR="00990D26" w:rsidRPr="00E008CE" w14:paraId="0161F74C" w14:textId="77777777" w:rsidTr="001145B7">
        <w:tc>
          <w:tcPr>
            <w:tcW w:w="1548" w:type="dxa"/>
            <w:tcBorders>
              <w:top w:val="single" w:sz="4" w:space="0" w:color="auto"/>
              <w:left w:val="single" w:sz="4" w:space="0" w:color="auto"/>
              <w:bottom w:val="single" w:sz="4" w:space="0" w:color="auto"/>
              <w:right w:val="single" w:sz="4" w:space="0" w:color="auto"/>
            </w:tcBorders>
          </w:tcPr>
          <w:p w14:paraId="217FE094" w14:textId="77777777" w:rsidR="00990D26" w:rsidRPr="00650A29" w:rsidRDefault="00990D26" w:rsidP="001145B7">
            <w:pPr>
              <w:rPr>
                <w:rFonts w:eastAsia="SimSun" w:cstheme="majorBidi"/>
                <w:b/>
                <w:sz w:val="20"/>
                <w:lang w:eastAsia="es-ES"/>
              </w:rPr>
            </w:pPr>
            <w:r w:rsidRPr="00650A29">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41D756BF" w14:textId="77777777" w:rsidR="00990D26" w:rsidRPr="00650A29" w:rsidRDefault="00990D26" w:rsidP="001145B7">
            <w:pP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your address and ZIP code]</w:instrText>
            </w:r>
            <w:r w:rsidRPr="00650A29">
              <w:rPr>
                <w:rFonts w:eastAsia="SimSun" w:cstheme="majorBidi"/>
                <w:b/>
                <w:sz w:val="20"/>
                <w:lang w:eastAsia="es-ES"/>
              </w:rPr>
              <w:fldChar w:fldCharType="end"/>
            </w:r>
          </w:p>
          <w:p w14:paraId="7D27B413"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 xml:space="preserve">Telephone Number:   </w:t>
            </w:r>
            <w:r w:rsidRPr="00650A29">
              <w:rPr>
                <w:rFonts w:eastAsia="SimSun" w:cstheme="majorBidi"/>
                <w:b/>
                <w:sz w:val="20"/>
                <w:lang w:eastAsia="es-ES"/>
              </w:rPr>
              <w:fldChar w:fldCharType="begin"/>
            </w:r>
            <w:r w:rsidRPr="00576836">
              <w:rPr>
                <w:rFonts w:eastAsia="SimSun" w:cstheme="majorBidi"/>
                <w:b/>
                <w:sz w:val="20"/>
                <w:lang w:val="en-US" w:eastAsia="es-ES"/>
              </w:rPr>
              <w:instrText>MACROBUTTON NoMacro [Click and Type in phone number]</w:instrText>
            </w:r>
            <w:r w:rsidRPr="00650A29">
              <w:rPr>
                <w:rFonts w:eastAsia="SimSun" w:cstheme="majorBidi"/>
                <w:b/>
                <w:sz w:val="20"/>
                <w:lang w:eastAsia="es-ES"/>
              </w:rPr>
              <w:fldChar w:fldCharType="end"/>
            </w:r>
          </w:p>
          <w:p w14:paraId="7734432C"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 xml:space="preserve">Fax Number:   </w:t>
            </w:r>
            <w:r w:rsidRPr="00650A29">
              <w:rPr>
                <w:rFonts w:eastAsia="SimSun" w:cstheme="majorBidi"/>
                <w:b/>
                <w:sz w:val="20"/>
                <w:lang w:eastAsia="es-ES"/>
              </w:rPr>
              <w:fldChar w:fldCharType="begin"/>
            </w:r>
            <w:r w:rsidRPr="00576836">
              <w:rPr>
                <w:rFonts w:eastAsia="SimSun" w:cstheme="majorBidi"/>
                <w:b/>
                <w:sz w:val="20"/>
                <w:lang w:val="en-US" w:eastAsia="es-ES"/>
              </w:rPr>
              <w:instrText>MACROBUTTON NoMacro [Click and Type in fax number]</w:instrText>
            </w:r>
            <w:r w:rsidRPr="00650A29">
              <w:rPr>
                <w:rFonts w:eastAsia="SimSun" w:cstheme="majorBidi"/>
                <w:b/>
                <w:sz w:val="20"/>
                <w:lang w:eastAsia="es-ES"/>
              </w:rPr>
              <w:fldChar w:fldCharType="end"/>
            </w:r>
          </w:p>
          <w:p w14:paraId="2B01DC02"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 xml:space="preserve">E-mail:   </w:t>
            </w:r>
            <w:r w:rsidRPr="00650A29">
              <w:rPr>
                <w:rFonts w:eastAsia="SimSun" w:cstheme="majorBidi"/>
                <w:b/>
                <w:sz w:val="20"/>
                <w:lang w:eastAsia="es-ES"/>
              </w:rPr>
              <w:fldChar w:fldCharType="begin"/>
            </w:r>
            <w:r w:rsidRPr="00576836">
              <w:rPr>
                <w:rFonts w:eastAsia="SimSun" w:cstheme="majorBidi"/>
                <w:b/>
                <w:sz w:val="20"/>
                <w:lang w:val="en-US" w:eastAsia="es-ES"/>
              </w:rPr>
              <w:instrText>MACROBUTTON NoMacro [Click and Type in email]</w:instrText>
            </w:r>
            <w:r w:rsidRPr="00650A29">
              <w:rPr>
                <w:rFonts w:eastAsia="SimSun" w:cstheme="majorBidi"/>
                <w:b/>
                <w:sz w:val="20"/>
                <w:lang w:eastAsia="es-ES"/>
              </w:rPr>
              <w:fldChar w:fldCharType="end"/>
            </w:r>
          </w:p>
        </w:tc>
      </w:tr>
      <w:tr w:rsidR="00990D26" w:rsidRPr="00650A29" w14:paraId="6499E220" w14:textId="77777777" w:rsidTr="001145B7">
        <w:trPr>
          <w:trHeight w:val="399"/>
        </w:trPr>
        <w:tc>
          <w:tcPr>
            <w:tcW w:w="1548" w:type="dxa"/>
            <w:tcBorders>
              <w:top w:val="single" w:sz="4" w:space="0" w:color="auto"/>
              <w:left w:val="single" w:sz="4" w:space="0" w:color="auto"/>
              <w:bottom w:val="single" w:sz="4" w:space="0" w:color="auto"/>
              <w:right w:val="single" w:sz="4" w:space="0" w:color="auto"/>
            </w:tcBorders>
          </w:tcPr>
          <w:p w14:paraId="2658C56D" w14:textId="77777777" w:rsidR="00990D26" w:rsidRPr="00650A29" w:rsidRDefault="00990D26" w:rsidP="001145B7">
            <w:pPr>
              <w:rPr>
                <w:rFonts w:eastAsia="SimSun" w:cstheme="majorBidi"/>
                <w:b/>
                <w:sz w:val="20"/>
                <w:lang w:eastAsia="es-ES"/>
              </w:rPr>
            </w:pPr>
            <w:r w:rsidRPr="00650A29">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369A9D86" w14:textId="77777777" w:rsidR="00990D26" w:rsidRPr="00650A29" w:rsidRDefault="00990D26" w:rsidP="001145B7">
            <w:pPr>
              <w:rPr>
                <w:rFonts w:eastAsia="SimSun" w:cstheme="majorBidi"/>
                <w:b/>
                <w:sz w:val="20"/>
              </w:rPr>
            </w:pPr>
          </w:p>
        </w:tc>
      </w:tr>
      <w:tr w:rsidR="00990D26" w:rsidRPr="00E008CE" w14:paraId="3FFC278D" w14:textId="77777777" w:rsidTr="001145B7">
        <w:trPr>
          <w:cantSplit/>
        </w:trPr>
        <w:tc>
          <w:tcPr>
            <w:tcW w:w="2367" w:type="dxa"/>
            <w:gridSpan w:val="2"/>
            <w:tcBorders>
              <w:top w:val="single" w:sz="4" w:space="0" w:color="auto"/>
              <w:left w:val="single" w:sz="4" w:space="0" w:color="auto"/>
              <w:bottom w:val="single" w:sz="4" w:space="0" w:color="auto"/>
              <w:right w:val="single" w:sz="4" w:space="0" w:color="auto"/>
            </w:tcBorders>
          </w:tcPr>
          <w:p w14:paraId="7E84CFDF"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Date of arrival in UK</w:t>
            </w:r>
          </w:p>
        </w:tc>
        <w:tc>
          <w:tcPr>
            <w:tcW w:w="2241" w:type="dxa"/>
            <w:tcBorders>
              <w:top w:val="single" w:sz="4" w:space="0" w:color="auto"/>
              <w:left w:val="single" w:sz="4" w:space="0" w:color="auto"/>
              <w:bottom w:val="single" w:sz="4" w:space="0" w:color="auto"/>
              <w:right w:val="single" w:sz="4" w:space="0" w:color="auto"/>
            </w:tcBorders>
          </w:tcPr>
          <w:p w14:paraId="48278D94" w14:textId="77777777" w:rsidR="00990D26" w:rsidRPr="00576836" w:rsidRDefault="00990D26" w:rsidP="001145B7">
            <w:pPr>
              <w:rPr>
                <w:rFonts w:eastAsia="SimSun" w:cstheme="majorBidi"/>
                <w:b/>
                <w:sz w:val="20"/>
                <w:lang w:val="en-US"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306F5270" w14:textId="77777777" w:rsidR="00990D26" w:rsidRPr="00576836" w:rsidRDefault="00990D26" w:rsidP="001145B7">
            <w:pPr>
              <w:rPr>
                <w:rFonts w:eastAsia="SimSun" w:cstheme="majorBidi"/>
                <w:b/>
                <w:sz w:val="20"/>
                <w:lang w:val="en-US" w:eastAsia="es-ES"/>
              </w:rPr>
            </w:pPr>
            <w:r w:rsidRPr="00576836">
              <w:rPr>
                <w:rFonts w:eastAsia="SimSun" w:cstheme="majorBidi"/>
                <w:b/>
                <w:sz w:val="20"/>
                <w:lang w:val="en-US" w:eastAsia="es-ES"/>
              </w:rPr>
              <w:t>Date of departure from UK</w:t>
            </w:r>
          </w:p>
        </w:tc>
        <w:tc>
          <w:tcPr>
            <w:tcW w:w="2367" w:type="dxa"/>
            <w:tcBorders>
              <w:top w:val="single" w:sz="4" w:space="0" w:color="auto"/>
              <w:left w:val="single" w:sz="4" w:space="0" w:color="auto"/>
              <w:bottom w:val="single" w:sz="4" w:space="0" w:color="auto"/>
              <w:right w:val="single" w:sz="4" w:space="0" w:color="auto"/>
            </w:tcBorders>
          </w:tcPr>
          <w:p w14:paraId="39BA6D34" w14:textId="77777777" w:rsidR="00990D26" w:rsidRPr="00576836" w:rsidRDefault="00990D26" w:rsidP="001145B7">
            <w:pPr>
              <w:rPr>
                <w:rFonts w:eastAsia="SimSun" w:cstheme="majorBidi"/>
                <w:b/>
                <w:sz w:val="20"/>
                <w:lang w:val="en-US" w:eastAsia="es-ES"/>
              </w:rPr>
            </w:pPr>
          </w:p>
        </w:tc>
      </w:tr>
    </w:tbl>
    <w:p w14:paraId="478626E3" w14:textId="77777777" w:rsidR="00990D26" w:rsidRPr="00576836" w:rsidRDefault="00990D26" w:rsidP="00990D26">
      <w:pPr>
        <w:spacing w:before="0"/>
        <w:rPr>
          <w:rFonts w:eastAsia="SimSun" w:cstheme="majorBidi"/>
          <w:b/>
          <w:bCs/>
          <w:i/>
          <w:szCs w:val="24"/>
          <w:lang w:val="en-US"/>
        </w:rPr>
      </w:pPr>
      <w:r w:rsidRPr="00576836">
        <w:rPr>
          <w:rFonts w:cstheme="majorBidi"/>
          <w:b/>
          <w:bCs/>
          <w:i/>
          <w:szCs w:val="24"/>
          <w:lang w:val="en-US"/>
        </w:rPr>
        <w:t>(Please do not forget to attach a copy of your passport photograph page before sending.)</w:t>
      </w:r>
    </w:p>
    <w:p w14:paraId="008EA411" w14:textId="77777777" w:rsidR="00990D26" w:rsidRPr="00576836" w:rsidRDefault="00990D26" w:rsidP="00990D26">
      <w:pPr>
        <w:rPr>
          <w:rFonts w:cstheme="majorBidi"/>
          <w:b/>
          <w:i/>
          <w:color w:val="000000" w:themeColor="text1"/>
          <w:szCs w:val="24"/>
          <w:lang w:val="en-US"/>
        </w:rPr>
      </w:pPr>
      <w:r w:rsidRPr="00576836">
        <w:rPr>
          <w:rFonts w:cstheme="majorBidi"/>
          <w:b/>
          <w:i/>
          <w:color w:val="000000" w:themeColor="text1"/>
          <w:szCs w:val="24"/>
          <w:lang w:val="en-US"/>
        </w:rPr>
        <w:t xml:space="preserve">In order to receive an invitation letter, your information should be provided to the host before </w:t>
      </w:r>
      <w:r w:rsidRPr="00576836">
        <w:rPr>
          <w:rFonts w:cstheme="majorBidi"/>
          <w:b/>
          <w:i/>
          <w:color w:val="000000" w:themeColor="text1"/>
          <w:szCs w:val="24"/>
          <w:lang w:val="en-US"/>
        </w:rPr>
        <w:br/>
        <w:t xml:space="preserve">29 November 2020. </w:t>
      </w:r>
    </w:p>
    <w:p w14:paraId="7B38CC3B" w14:textId="77777777" w:rsidR="00990D26" w:rsidRPr="00576836" w:rsidRDefault="00990D26" w:rsidP="00990D26">
      <w:pPr>
        <w:rPr>
          <w:rFonts w:cstheme="majorBidi"/>
          <w:b/>
          <w:i/>
          <w:color w:val="000000" w:themeColor="text1"/>
          <w:szCs w:val="24"/>
          <w:lang w:val="en-US"/>
        </w:rPr>
      </w:pPr>
      <w:r w:rsidRPr="00576836">
        <w:rPr>
          <w:rFonts w:cstheme="majorBidi"/>
          <w:b/>
          <w:i/>
          <w:color w:val="000000" w:themeColor="text1"/>
          <w:szCs w:val="24"/>
          <w:lang w:val="en-US"/>
        </w:rPr>
        <w:t>NOTE: The host will do its best to provide invitation letters that are requested late; however, it cannot guarantee that a visa will be received in time for the FG-AI4AD meeting.</w:t>
      </w:r>
    </w:p>
    <w:p w14:paraId="71049D6B" w14:textId="77777777" w:rsidR="000557B1" w:rsidRDefault="000557B1" w:rsidP="005E58F1">
      <w:pPr>
        <w:jc w:val="center"/>
      </w:pPr>
      <w:r>
        <w:t>______________</w:t>
      </w:r>
    </w:p>
    <w:sectPr w:rsidR="000557B1" w:rsidSect="005E58F1">
      <w:headerReference w:type="default" r:id="rId21"/>
      <w:footerReference w:type="first" r:id="rId22"/>
      <w:pgSz w:w="11907" w:h="16840" w:code="9"/>
      <w:pgMar w:top="1134" w:right="1134" w:bottom="851"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75245" w14:textId="77777777" w:rsidR="009F0250" w:rsidRDefault="009F0250">
      <w:r>
        <w:separator/>
      </w:r>
    </w:p>
  </w:endnote>
  <w:endnote w:type="continuationSeparator" w:id="0">
    <w:p w14:paraId="7939B6E2" w14:textId="77777777" w:rsidR="009F0250" w:rsidRDefault="009F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Malgun Gothic Semilight"/>
    <w:panose1 w:val="0201060003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34BC" w14:textId="77777777" w:rsidR="0014464D" w:rsidRPr="002F45CD" w:rsidRDefault="0014464D" w:rsidP="00FC416A">
    <w:pPr>
      <w:pStyle w:val="FirstFooter"/>
      <w:ind w:left="-397" w:right="-397"/>
      <w:jc w:val="center"/>
      <w:rPr>
        <w:szCs w:val="18"/>
        <w:lang w:val="es-ES"/>
      </w:rPr>
    </w:pPr>
    <w:r w:rsidRPr="002F45CD">
      <w:rPr>
        <w:szCs w:val="18"/>
        <w:lang w:val="es-ES"/>
      </w:rPr>
      <w:t>Unión Internacional de Telecomunicaciones • Place des Nations, CH</w:t>
    </w:r>
    <w:r w:rsidRPr="002F45CD">
      <w:rPr>
        <w:szCs w:val="18"/>
        <w:lang w:val="es-ES"/>
      </w:rPr>
      <w:noBreakHyphen/>
      <w:t xml:space="preserve">1211 Ginebra 20, Suiza </w:t>
    </w:r>
    <w:r w:rsidRPr="002F45CD">
      <w:rPr>
        <w:szCs w:val="18"/>
        <w:lang w:val="es-ES"/>
      </w:rPr>
      <w:br/>
      <w:t>Tel</w:t>
    </w:r>
    <w:r w:rsidR="0065459C">
      <w:rPr>
        <w:szCs w:val="18"/>
        <w:lang w:val="es-ES"/>
      </w:rPr>
      <w:t>.</w:t>
    </w:r>
    <w:r w:rsidRPr="002F45CD">
      <w:rPr>
        <w:szCs w:val="18"/>
        <w:lang w:val="es-ES"/>
      </w:rPr>
      <w:t xml:space="preserve">: +41 22 730 5111 • Fax: +41 22 733 7256 • Correo-e: </w:t>
    </w:r>
    <w:hyperlink r:id="rId1" w:history="1">
      <w:r w:rsidRPr="002F45CD">
        <w:rPr>
          <w:rStyle w:val="Hyperlink"/>
          <w:lang w:val="es-ES"/>
        </w:rPr>
        <w:t>itumail@itu.int</w:t>
      </w:r>
    </w:hyperlink>
    <w:r w:rsidRPr="002F45CD">
      <w:rPr>
        <w:szCs w:val="18"/>
        <w:lang w:val="es-ES"/>
      </w:rPr>
      <w:t xml:space="preserve"> • </w:t>
    </w:r>
    <w:hyperlink r:id="rId2" w:history="1">
      <w:r w:rsidRPr="002F45CD">
        <w:rPr>
          <w:rStyle w:val="Hyperlink"/>
          <w:lang w:val="es-ES"/>
        </w:rPr>
        <w:t>www.itu.int</w:t>
      </w:r>
    </w:hyperlink>
    <w:r w:rsidRPr="002F45CD">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0A0B" w14:textId="77777777" w:rsidR="009F0250" w:rsidRDefault="009F0250">
      <w:r>
        <w:t>____________________</w:t>
      </w:r>
    </w:p>
  </w:footnote>
  <w:footnote w:type="continuationSeparator" w:id="0">
    <w:p w14:paraId="4A370AD5" w14:textId="77777777" w:rsidR="009F0250" w:rsidRDefault="009F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D93A" w14:textId="02624E1E"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66B08">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2EB13E45" w14:textId="4AAEC539" w:rsidR="0065459C" w:rsidRPr="0065459C" w:rsidRDefault="0065459C" w:rsidP="0065459C">
    <w:pPr>
      <w:spacing w:before="0" w:after="240"/>
      <w:jc w:val="center"/>
    </w:pPr>
    <w:r>
      <w:rPr>
        <w:noProof/>
        <w:sz w:val="18"/>
      </w:rPr>
      <w:t xml:space="preserve">TSB </w:t>
    </w:r>
    <w:r w:rsidRPr="00DC2C1E">
      <w:rPr>
        <w:noProof/>
        <w:sz w:val="18"/>
      </w:rPr>
      <w:t>C</w:t>
    </w:r>
    <w:r>
      <w:rPr>
        <w:noProof/>
        <w:sz w:val="18"/>
      </w:rPr>
      <w:t xml:space="preserve">ircular </w:t>
    </w:r>
    <w:r w:rsidR="005479E8">
      <w:rPr>
        <w:noProof/>
        <w:sz w:val="18"/>
      </w:rPr>
      <w:t>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6DC77EA"/>
    <w:multiLevelType w:val="multilevel"/>
    <w:tmpl w:val="2B54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7"/>
  </w:num>
  <w:num w:numId="2">
    <w:abstractNumId w:val="11"/>
  </w:num>
  <w:num w:numId="3">
    <w:abstractNumId w:val="10"/>
  </w:num>
  <w:num w:numId="4">
    <w:abstractNumId w:val="9"/>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4"/>
    <w:rsid w:val="00002529"/>
    <w:rsid w:val="000171C0"/>
    <w:rsid w:val="00054053"/>
    <w:rsid w:val="000557B1"/>
    <w:rsid w:val="00062A8F"/>
    <w:rsid w:val="0008211F"/>
    <w:rsid w:val="0008253D"/>
    <w:rsid w:val="00085662"/>
    <w:rsid w:val="000941BA"/>
    <w:rsid w:val="000C37D8"/>
    <w:rsid w:val="000C382F"/>
    <w:rsid w:val="001132A1"/>
    <w:rsid w:val="001173CC"/>
    <w:rsid w:val="0014464D"/>
    <w:rsid w:val="001A54CC"/>
    <w:rsid w:val="001A61EC"/>
    <w:rsid w:val="0020764A"/>
    <w:rsid w:val="00207C16"/>
    <w:rsid w:val="00257FB4"/>
    <w:rsid w:val="00277844"/>
    <w:rsid w:val="002B3C27"/>
    <w:rsid w:val="002E3EC9"/>
    <w:rsid w:val="002E496E"/>
    <w:rsid w:val="002F45CD"/>
    <w:rsid w:val="00303D62"/>
    <w:rsid w:val="00335367"/>
    <w:rsid w:val="003405F1"/>
    <w:rsid w:val="00341824"/>
    <w:rsid w:val="00370C2D"/>
    <w:rsid w:val="00382EEA"/>
    <w:rsid w:val="003D0B83"/>
    <w:rsid w:val="003D1E8D"/>
    <w:rsid w:val="003D673B"/>
    <w:rsid w:val="003E0C67"/>
    <w:rsid w:val="003F2855"/>
    <w:rsid w:val="003F4AA6"/>
    <w:rsid w:val="00401C20"/>
    <w:rsid w:val="00410A98"/>
    <w:rsid w:val="00425363"/>
    <w:rsid w:val="00450B12"/>
    <w:rsid w:val="00496C36"/>
    <w:rsid w:val="004A7957"/>
    <w:rsid w:val="004B046F"/>
    <w:rsid w:val="004C4144"/>
    <w:rsid w:val="004E39BD"/>
    <w:rsid w:val="004F5145"/>
    <w:rsid w:val="005479E8"/>
    <w:rsid w:val="00563E62"/>
    <w:rsid w:val="0057340D"/>
    <w:rsid w:val="00576836"/>
    <w:rsid w:val="0058361F"/>
    <w:rsid w:val="005E35A2"/>
    <w:rsid w:val="005E58F1"/>
    <w:rsid w:val="005F537E"/>
    <w:rsid w:val="00622CC8"/>
    <w:rsid w:val="00623101"/>
    <w:rsid w:val="006321BC"/>
    <w:rsid w:val="0065459C"/>
    <w:rsid w:val="00666B08"/>
    <w:rsid w:val="00675647"/>
    <w:rsid w:val="00685D97"/>
    <w:rsid w:val="006969B4"/>
    <w:rsid w:val="006E4F7B"/>
    <w:rsid w:val="00702144"/>
    <w:rsid w:val="007128FB"/>
    <w:rsid w:val="00741384"/>
    <w:rsid w:val="0074554E"/>
    <w:rsid w:val="00755F1C"/>
    <w:rsid w:val="00780CB7"/>
    <w:rsid w:val="00781E2A"/>
    <w:rsid w:val="0079326F"/>
    <w:rsid w:val="007933A2"/>
    <w:rsid w:val="007974CB"/>
    <w:rsid w:val="007D47DA"/>
    <w:rsid w:val="007E1175"/>
    <w:rsid w:val="00814503"/>
    <w:rsid w:val="008258C2"/>
    <w:rsid w:val="008505BD"/>
    <w:rsid w:val="00850C78"/>
    <w:rsid w:val="008645C0"/>
    <w:rsid w:val="00884D12"/>
    <w:rsid w:val="0089096A"/>
    <w:rsid w:val="008C17AD"/>
    <w:rsid w:val="008D02CD"/>
    <w:rsid w:val="00900FB6"/>
    <w:rsid w:val="0091370C"/>
    <w:rsid w:val="009218CD"/>
    <w:rsid w:val="0092378B"/>
    <w:rsid w:val="0095172A"/>
    <w:rsid w:val="0098109A"/>
    <w:rsid w:val="009825FB"/>
    <w:rsid w:val="00990D26"/>
    <w:rsid w:val="009A0BA0"/>
    <w:rsid w:val="009F0250"/>
    <w:rsid w:val="009F30CD"/>
    <w:rsid w:val="00A073AB"/>
    <w:rsid w:val="00A13B0D"/>
    <w:rsid w:val="00A21566"/>
    <w:rsid w:val="00A2760E"/>
    <w:rsid w:val="00A54E47"/>
    <w:rsid w:val="00A635D4"/>
    <w:rsid w:val="00AA4BC9"/>
    <w:rsid w:val="00AB6E3A"/>
    <w:rsid w:val="00AC255B"/>
    <w:rsid w:val="00AC6FC3"/>
    <w:rsid w:val="00AE7093"/>
    <w:rsid w:val="00B056D8"/>
    <w:rsid w:val="00B422BC"/>
    <w:rsid w:val="00B43F77"/>
    <w:rsid w:val="00B55A3E"/>
    <w:rsid w:val="00B87E9E"/>
    <w:rsid w:val="00B95F0A"/>
    <w:rsid w:val="00B96180"/>
    <w:rsid w:val="00BA559B"/>
    <w:rsid w:val="00BB1CC1"/>
    <w:rsid w:val="00C0505E"/>
    <w:rsid w:val="00C116FE"/>
    <w:rsid w:val="00C17AC0"/>
    <w:rsid w:val="00C216F6"/>
    <w:rsid w:val="00C34772"/>
    <w:rsid w:val="00C53A8B"/>
    <w:rsid w:val="00C5465A"/>
    <w:rsid w:val="00C936AF"/>
    <w:rsid w:val="00C955F4"/>
    <w:rsid w:val="00CE51C7"/>
    <w:rsid w:val="00CF2E37"/>
    <w:rsid w:val="00D22BD7"/>
    <w:rsid w:val="00D2598F"/>
    <w:rsid w:val="00D30EE1"/>
    <w:rsid w:val="00D4734D"/>
    <w:rsid w:val="00D54642"/>
    <w:rsid w:val="00D75DE7"/>
    <w:rsid w:val="00D95534"/>
    <w:rsid w:val="00DA4E20"/>
    <w:rsid w:val="00DD77C9"/>
    <w:rsid w:val="00DE0869"/>
    <w:rsid w:val="00DE1A05"/>
    <w:rsid w:val="00DF3538"/>
    <w:rsid w:val="00E008CE"/>
    <w:rsid w:val="00E50A9C"/>
    <w:rsid w:val="00E830CF"/>
    <w:rsid w:val="00E839B0"/>
    <w:rsid w:val="00E90AFA"/>
    <w:rsid w:val="00E92C09"/>
    <w:rsid w:val="00ED41F0"/>
    <w:rsid w:val="00F14380"/>
    <w:rsid w:val="00F1722F"/>
    <w:rsid w:val="00F329C6"/>
    <w:rsid w:val="00F6461F"/>
    <w:rsid w:val="00FC2298"/>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4C1055"/>
  <w15:docId w15:val="{D1A98F25-1BB8-435F-9726-FD9C5449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2F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2F45CD"/>
    <w:pPr>
      <w:keepNext/>
      <w:keepLines/>
      <w:spacing w:before="480" w:after="80"/>
      <w:jc w:val="center"/>
    </w:pPr>
    <w:rPr>
      <w:rFonts w:ascii="Calibri" w:hAnsi="Calibri"/>
      <w:b/>
      <w:caps/>
      <w:sz w:val="28"/>
      <w:lang w:val="en-GB"/>
    </w:rPr>
  </w:style>
  <w:style w:type="paragraph" w:styleId="ListParagraph">
    <w:name w:val="List Paragraph"/>
    <w:basedOn w:val="Normal"/>
    <w:uiPriority w:val="99"/>
    <w:qFormat/>
    <w:rsid w:val="002F45C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paragraph" w:styleId="BodyText0">
    <w:name w:val="Body Text"/>
    <w:basedOn w:val="Normal"/>
    <w:link w:val="BodyTextChar"/>
    <w:rsid w:val="002F45CD"/>
    <w:pPr>
      <w:spacing w:after="120"/>
    </w:pPr>
    <w:rPr>
      <w:rFonts w:ascii="Calibri" w:hAnsi="Calibri"/>
      <w:lang w:val="en-GB"/>
    </w:rPr>
  </w:style>
  <w:style w:type="character" w:customStyle="1" w:styleId="BodyTextChar">
    <w:name w:val="Body Text Char"/>
    <w:basedOn w:val="DefaultParagraphFont"/>
    <w:link w:val="BodyText0"/>
    <w:rsid w:val="002F45CD"/>
    <w:rPr>
      <w:rFonts w:ascii="Calibri" w:hAnsi="Calibri"/>
      <w:sz w:val="24"/>
      <w:lang w:val="en-GB" w:eastAsia="en-US"/>
    </w:rPr>
  </w:style>
  <w:style w:type="paragraph" w:styleId="NormalWeb">
    <w:name w:val="Normal (Web)"/>
    <w:basedOn w:val="Normal"/>
    <w:rsid w:val="002F45C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F45CD"/>
    <w:pPr>
      <w:autoSpaceDE w:val="0"/>
      <w:autoSpaceDN w:val="0"/>
      <w:adjustRightInd w:val="0"/>
    </w:pPr>
    <w:rPr>
      <w:rFonts w:ascii="Times New Roman" w:eastAsiaTheme="minorEastAsia" w:hAnsi="Times New Roman"/>
      <w:color w:val="000000"/>
      <w:sz w:val="24"/>
      <w:szCs w:val="24"/>
    </w:rPr>
  </w:style>
  <w:style w:type="character" w:customStyle="1" w:styleId="moduletitlelink">
    <w:name w:val="module__title__link"/>
    <w:basedOn w:val="DefaultParagraphFont"/>
    <w:rsid w:val="002F45CD"/>
  </w:style>
  <w:style w:type="character" w:customStyle="1" w:styleId="Heading1Char">
    <w:name w:val="Heading 1 Char"/>
    <w:basedOn w:val="DefaultParagraphFont"/>
    <w:link w:val="Heading1"/>
    <w:rsid w:val="002F45CD"/>
    <w:rPr>
      <w:rFonts w:asciiTheme="minorHAnsi" w:hAnsiTheme="minorHAnsi"/>
      <w:b/>
      <w:sz w:val="24"/>
      <w:lang w:val="es-ES_tradnl" w:eastAsia="en-US"/>
    </w:rPr>
  </w:style>
  <w:style w:type="character" w:customStyle="1" w:styleId="widget-pane-link">
    <w:name w:val="widget-pane-link"/>
    <w:basedOn w:val="DefaultParagraphFont"/>
    <w:rsid w:val="002F45CD"/>
  </w:style>
  <w:style w:type="paragraph" w:styleId="NoSpacing">
    <w:name w:val="No Spacing"/>
    <w:uiPriority w:val="1"/>
    <w:qFormat/>
    <w:rsid w:val="002F45CD"/>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Reasons">
    <w:name w:val="Reasons"/>
    <w:basedOn w:val="Normal"/>
    <w:qFormat/>
    <w:rsid w:val="000557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0">
    <w:name w:val="Annex"/>
    <w:basedOn w:val="Annex"/>
    <w:rsid w:val="0065459C"/>
    <w:rPr>
      <w:bCs/>
      <w:lang w:val="es-ES"/>
    </w:rPr>
  </w:style>
  <w:style w:type="character" w:customStyle="1" w:styleId="UnresolvedMention">
    <w:name w:val="Unresolved Mention"/>
    <w:basedOn w:val="DefaultParagraphFont"/>
    <w:uiPriority w:val="99"/>
    <w:semiHidden/>
    <w:unhideWhenUsed/>
    <w:rsid w:val="00C53A8B"/>
    <w:rPr>
      <w:color w:val="605E5C"/>
      <w:shd w:val="clear" w:color="auto" w:fill="E1DFDD"/>
    </w:rPr>
  </w:style>
  <w:style w:type="paragraph" w:styleId="BalloonText">
    <w:name w:val="Balloon Text"/>
    <w:basedOn w:val="Normal"/>
    <w:link w:val="BalloonTextChar"/>
    <w:semiHidden/>
    <w:unhideWhenUsed/>
    <w:rsid w:val="007974C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74CB"/>
    <w:rPr>
      <w:rFonts w:ascii="Segoe UI" w:hAnsi="Segoe UI" w:cs="Segoe UI"/>
      <w:sz w:val="18"/>
      <w:szCs w:val="18"/>
      <w:lang w:val="es-ES_tradnl" w:eastAsia="en-US"/>
    </w:rPr>
  </w:style>
  <w:style w:type="character" w:customStyle="1" w:styleId="enumlev1Char">
    <w:name w:val="enumlev1 Char"/>
    <w:link w:val="enumlev1"/>
    <w:locked/>
    <w:rsid w:val="00990D26"/>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ai4ad/Documents/FG-AI4AD-I-template.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ad@itu.int" TargetMode="External"/><Relationship Id="rId17" Type="http://schemas.openxmlformats.org/officeDocument/2006/relationships/hyperlink" Target="mailto:tsbfgai4ad@itu.int" TargetMode="External"/><Relationship Id="rId2" Type="http://schemas.openxmlformats.org/officeDocument/2006/relationships/numbering" Target="numbering.xml"/><Relationship Id="rId16" Type="http://schemas.openxmlformats.org/officeDocument/2006/relationships/hyperlink" Target="https://www.itu.int/en/ITU-T/focusgroups/ai4ad/Documents/FG-AI4AD-I-template.docx" TargetMode="External"/><Relationship Id="rId20" Type="http://schemas.openxmlformats.org/officeDocument/2006/relationships/hyperlink" Target="mailto:bryn@ada.n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ad/Pages/default.aspx" TargetMode="External"/><Relationship Id="rId23" Type="http://schemas.openxmlformats.org/officeDocument/2006/relationships/fontTable" Target="fontTable.xml"/><Relationship Id="rId10" Type="http://schemas.openxmlformats.org/officeDocument/2006/relationships/hyperlink" Target="http://itu.int/go/fgai4ad"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itu.int/go/fgai4a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755A-C687-4400-9E5D-CADBA078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29</TotalTime>
  <Pages>10</Pages>
  <Words>3790</Words>
  <Characters>21814</Characters>
  <Application>Microsoft Office Word</Application>
  <DocSecurity>0</DocSecurity>
  <Lines>436</Lines>
  <Paragraphs>228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25376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2019-11-28T08:35:00Z</cp:lastPrinted>
  <dcterms:created xsi:type="dcterms:W3CDTF">2019-11-28T08:25:00Z</dcterms:created>
  <dcterms:modified xsi:type="dcterms:W3CDTF">2019-11-29T09:27:00Z</dcterms:modified>
</cp:coreProperties>
</file>