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6408"/>
        <w:gridCol w:w="1993"/>
      </w:tblGrid>
      <w:tr w:rsidR="00341117" w:rsidRPr="00A647BF" w14:paraId="4B151806" w14:textId="77777777" w:rsidTr="004A442B">
        <w:trPr>
          <w:cantSplit/>
          <w:trHeight w:val="1487"/>
          <w:jc w:val="center"/>
        </w:trPr>
        <w:tc>
          <w:tcPr>
            <w:tcW w:w="1424" w:type="dxa"/>
            <w:vAlign w:val="center"/>
          </w:tcPr>
          <w:p w14:paraId="085349D8" w14:textId="4B08F9B0" w:rsidR="00341117" w:rsidRPr="00A647BF" w:rsidRDefault="007F5558" w:rsidP="00052B5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>
              <w:rPr>
                <w:rFonts w:cs="Calibri"/>
                <w:b/>
                <w:bCs/>
                <w:noProof/>
                <w:lang w:val="en-GB" w:eastAsia="en-GB"/>
              </w:rPr>
              <w:drawing>
                <wp:inline distT="0" distB="0" distL="0" distR="0" wp14:anchorId="325FB585" wp14:editId="1CC38E5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vAlign w:val="center"/>
          </w:tcPr>
          <w:p w14:paraId="7E44A088" w14:textId="77777777" w:rsidR="00341117" w:rsidRPr="00A647BF" w:rsidRDefault="00341117" w:rsidP="00F3207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A647BF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9CF8309" w14:textId="77777777" w:rsidR="00341117" w:rsidRPr="00A647BF" w:rsidRDefault="00341117" w:rsidP="00F3207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647BF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A647BF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93" w:type="dxa"/>
            <w:vAlign w:val="center"/>
          </w:tcPr>
          <w:p w14:paraId="18E2AD0A" w14:textId="77777777" w:rsidR="00341117" w:rsidRPr="00A647BF" w:rsidRDefault="00341117" w:rsidP="00F32075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14:paraId="03476B49" w14:textId="77777777" w:rsidR="00341117" w:rsidRPr="00A647BF" w:rsidRDefault="00341117" w:rsidP="00F320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14:paraId="65EB7F79" w14:textId="264539DB" w:rsidR="00517A03" w:rsidRPr="00A647BF" w:rsidRDefault="00517A03" w:rsidP="00F3207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A647BF">
        <w:rPr>
          <w:lang w:val="fr-CH"/>
        </w:rPr>
        <w:tab/>
        <w:t xml:space="preserve">Genève, le </w:t>
      </w:r>
      <w:r w:rsidR="00C641D4">
        <w:rPr>
          <w:lang w:val="fr-CH"/>
        </w:rPr>
        <w:t xml:space="preserve">6 novembre </w:t>
      </w:r>
      <w:r w:rsidR="00846EDA" w:rsidRPr="00A647BF">
        <w:rPr>
          <w:lang w:val="fr-CH"/>
        </w:rPr>
        <w:t>201</w:t>
      </w:r>
      <w:r w:rsidR="00C641D4">
        <w:rPr>
          <w:lang w:val="fr-CH"/>
        </w:rPr>
        <w:t>9</w:t>
      </w:r>
    </w:p>
    <w:p w14:paraId="16862864" w14:textId="77777777" w:rsidR="00517A03" w:rsidRPr="00A647BF" w:rsidRDefault="00517A03" w:rsidP="00F32075">
      <w:pPr>
        <w:spacing w:before="0"/>
        <w:rPr>
          <w:lang w:val="fr-CH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990"/>
        <w:gridCol w:w="5103"/>
        <w:gridCol w:w="8"/>
      </w:tblGrid>
      <w:tr w:rsidR="00517A03" w:rsidRPr="00A647BF" w14:paraId="2044473F" w14:textId="77777777" w:rsidTr="004A442B">
        <w:trPr>
          <w:cantSplit/>
          <w:trHeight w:val="1152"/>
          <w:jc w:val="center"/>
        </w:trPr>
        <w:tc>
          <w:tcPr>
            <w:tcW w:w="822" w:type="dxa"/>
          </w:tcPr>
          <w:p w14:paraId="33C8503B" w14:textId="77777777" w:rsidR="00517A03" w:rsidRPr="00A647BF" w:rsidRDefault="00517A03" w:rsidP="00F3207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  <w:r w:rsidRPr="00A647BF">
              <w:rPr>
                <w:b/>
                <w:bCs/>
                <w:lang w:val="fr-CH"/>
              </w:rPr>
              <w:t>Réf.:</w:t>
            </w:r>
          </w:p>
          <w:p w14:paraId="26BAC159" w14:textId="77777777" w:rsidR="00517A03" w:rsidRPr="00A647BF" w:rsidRDefault="00517A03" w:rsidP="00F3207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</w:p>
          <w:p w14:paraId="1EA764BA" w14:textId="77777777" w:rsidR="00517A03" w:rsidRPr="00A647BF" w:rsidRDefault="00517A03" w:rsidP="00F3207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Tél.:</w:t>
            </w:r>
            <w:r w:rsidRPr="00A647BF">
              <w:rPr>
                <w:b/>
                <w:bCs/>
                <w:lang w:val="fr-CH"/>
              </w:rPr>
              <w:br/>
              <w:t>Fax:</w:t>
            </w:r>
            <w:r w:rsidRPr="00A647BF">
              <w:rPr>
                <w:b/>
                <w:bCs/>
                <w:lang w:val="fr-CH"/>
              </w:rPr>
              <w:br/>
              <w:t>E-mail:</w:t>
            </w:r>
          </w:p>
        </w:tc>
        <w:tc>
          <w:tcPr>
            <w:tcW w:w="3990" w:type="dxa"/>
          </w:tcPr>
          <w:p w14:paraId="16D0022C" w14:textId="6E1156EB" w:rsidR="00517A03" w:rsidRPr="00A647BF" w:rsidRDefault="000F65FB" w:rsidP="00F3207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A647BF">
              <w:rPr>
                <w:b/>
                <w:lang w:val="fr-CH"/>
              </w:rPr>
              <w:t xml:space="preserve">Circulaire TSB </w:t>
            </w:r>
            <w:r w:rsidR="00C641D4">
              <w:rPr>
                <w:b/>
                <w:lang w:val="fr-CH"/>
              </w:rPr>
              <w:t>2</w:t>
            </w:r>
            <w:r w:rsidR="00B62ED1">
              <w:rPr>
                <w:b/>
                <w:lang w:val="fr-CH"/>
              </w:rPr>
              <w:t>05</w:t>
            </w:r>
          </w:p>
          <w:p w14:paraId="44F01A37" w14:textId="13DB5DAF" w:rsidR="00517A03" w:rsidRPr="00B62ED1" w:rsidRDefault="00ED14D8" w:rsidP="00F32075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rPr>
                <w:lang w:val="fr-CH"/>
              </w:rPr>
              <w:t xml:space="preserve">CE </w:t>
            </w:r>
            <w:r w:rsidR="00B62ED1" w:rsidRPr="00B62ED1">
              <w:rPr>
                <w:lang w:val="fr-CH"/>
              </w:rPr>
              <w:t>11/DA</w:t>
            </w:r>
          </w:p>
          <w:p w14:paraId="5D8B883C" w14:textId="2C1F5010" w:rsidR="00517A03" w:rsidRPr="00A647BF" w:rsidRDefault="000F65FB" w:rsidP="00F32075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A647BF">
              <w:rPr>
                <w:lang w:val="fr-CH"/>
              </w:rPr>
              <w:t xml:space="preserve">+41 22 </w:t>
            </w:r>
            <w:r w:rsidR="003F0D31" w:rsidRPr="00D7384A">
              <w:t xml:space="preserve">730 </w:t>
            </w:r>
            <w:r w:rsidR="003F0D31">
              <w:t>5780</w:t>
            </w:r>
            <w:r w:rsidR="00517A03" w:rsidRPr="00A647BF">
              <w:rPr>
                <w:lang w:val="fr-CH"/>
              </w:rPr>
              <w:br/>
              <w:t>+41 22 730 5853</w:t>
            </w:r>
            <w:r w:rsidR="00517A03" w:rsidRPr="00A647BF">
              <w:rPr>
                <w:lang w:val="fr-CH"/>
              </w:rPr>
              <w:br/>
            </w:r>
            <w:hyperlink r:id="rId9" w:history="1">
              <w:r w:rsidR="003F0D31" w:rsidRPr="0082681D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111" w:type="dxa"/>
            <w:gridSpan w:val="2"/>
          </w:tcPr>
          <w:p w14:paraId="70C43557" w14:textId="59DBB298" w:rsidR="00517A03" w:rsidRDefault="00517A03" w:rsidP="00F32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 xml:space="preserve">Aux administrations des </w:t>
            </w:r>
            <w:r w:rsidR="00C641D4">
              <w:rPr>
                <w:lang w:val="fr-CH"/>
              </w:rPr>
              <w:t>É</w:t>
            </w:r>
            <w:r w:rsidRPr="00A647BF">
              <w:rPr>
                <w:lang w:val="fr-CH"/>
              </w:rPr>
              <w:t>tats Membres de l</w:t>
            </w:r>
            <w:r w:rsidR="00052B57">
              <w:rPr>
                <w:lang w:val="fr-CH"/>
              </w:rPr>
              <w:t>'</w:t>
            </w:r>
            <w:r w:rsidRPr="00A647BF">
              <w:rPr>
                <w:lang w:val="fr-CH"/>
              </w:rPr>
              <w:t>Union</w:t>
            </w:r>
          </w:p>
          <w:p w14:paraId="5C5F473C" w14:textId="77777777" w:rsidR="004A442B" w:rsidRDefault="004A442B" w:rsidP="00F32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</w:p>
          <w:p w14:paraId="67ED5DB0" w14:textId="77777777" w:rsidR="004A442B" w:rsidRDefault="004A442B" w:rsidP="004A442B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A647BF">
              <w:rPr>
                <w:b/>
                <w:lang w:val="fr-CH"/>
              </w:rPr>
              <w:t>Copie</w:t>
            </w:r>
            <w:r w:rsidRPr="00A647BF">
              <w:rPr>
                <w:lang w:val="fr-CH"/>
              </w:rPr>
              <w:t>:</w:t>
            </w:r>
          </w:p>
          <w:p w14:paraId="65971D88" w14:textId="27D31585" w:rsidR="004A442B" w:rsidRPr="00A647BF" w:rsidRDefault="004A442B" w:rsidP="004A442B">
            <w:pPr>
              <w:tabs>
                <w:tab w:val="clear" w:pos="794"/>
                <w:tab w:val="left" w:pos="225"/>
                <w:tab w:val="left" w:pos="4111"/>
              </w:tabs>
              <w:spacing w:before="0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Membres du Secteur UIT-T;</w:t>
            </w:r>
          </w:p>
          <w:p w14:paraId="7154C810" w14:textId="25056A1F" w:rsidR="004A442B" w:rsidRPr="00A647BF" w:rsidRDefault="004A442B" w:rsidP="004A442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Associés de l</w:t>
            </w:r>
            <w:r>
              <w:rPr>
                <w:lang w:val="fr-CH"/>
              </w:rPr>
              <w:t>'</w:t>
            </w:r>
            <w:r w:rsidRPr="00A647BF">
              <w:rPr>
                <w:lang w:val="fr-CH"/>
              </w:rPr>
              <w:t>UIT-T participant aux travaux de la Commission d</w:t>
            </w:r>
            <w:r>
              <w:rPr>
                <w:lang w:val="fr-CH"/>
              </w:rPr>
              <w:t>'</w:t>
            </w:r>
            <w:r w:rsidRPr="00A647BF">
              <w:rPr>
                <w:lang w:val="fr-CH"/>
              </w:rPr>
              <w:t xml:space="preserve">études </w:t>
            </w:r>
            <w:r>
              <w:rPr>
                <w:lang w:val="fr-CH"/>
              </w:rPr>
              <w:t>11</w:t>
            </w:r>
            <w:r w:rsidRPr="00A647BF">
              <w:rPr>
                <w:lang w:val="fr-CH"/>
              </w:rPr>
              <w:t>;</w:t>
            </w:r>
          </w:p>
          <w:p w14:paraId="5C8C0FF6" w14:textId="77777777" w:rsidR="004A442B" w:rsidRPr="00A647BF" w:rsidRDefault="004A442B" w:rsidP="004A442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établissements universitaires participant aux travaux de l</w:t>
            </w:r>
            <w:r>
              <w:rPr>
                <w:lang w:val="fr-CH"/>
              </w:rPr>
              <w:t>'</w:t>
            </w:r>
            <w:r w:rsidRPr="00A647BF">
              <w:rPr>
                <w:lang w:val="fr-CH"/>
              </w:rPr>
              <w:t>UIT;</w:t>
            </w:r>
          </w:p>
          <w:p w14:paraId="044D3DD7" w14:textId="77777777" w:rsidR="004A442B" w:rsidRPr="00A647BF" w:rsidRDefault="004A442B" w:rsidP="004A442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Aux Président et Vice-Présidents de la Commission d</w:t>
            </w:r>
            <w:r>
              <w:rPr>
                <w:lang w:val="fr-CH"/>
              </w:rPr>
              <w:t>'</w:t>
            </w:r>
            <w:r w:rsidRPr="00A647BF">
              <w:rPr>
                <w:lang w:val="fr-CH"/>
              </w:rPr>
              <w:t xml:space="preserve">études </w:t>
            </w:r>
            <w:r>
              <w:rPr>
                <w:lang w:val="fr-CH"/>
              </w:rPr>
              <w:t>11</w:t>
            </w:r>
            <w:r w:rsidRPr="00A647BF">
              <w:rPr>
                <w:lang w:val="fr-CH"/>
              </w:rPr>
              <w:t xml:space="preserve"> de l</w:t>
            </w:r>
            <w:r>
              <w:rPr>
                <w:lang w:val="fr-CH"/>
              </w:rPr>
              <w:t>'</w:t>
            </w:r>
            <w:r w:rsidRPr="00A647BF">
              <w:rPr>
                <w:lang w:val="fr-CH"/>
              </w:rPr>
              <w:t>UIT-T;</w:t>
            </w:r>
          </w:p>
          <w:p w14:paraId="224A230B" w14:textId="77777777" w:rsidR="004A442B" w:rsidRPr="00A647BF" w:rsidRDefault="004A442B" w:rsidP="004A442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</w:r>
            <w:r>
              <w:rPr>
                <w:lang w:val="fr-CH"/>
              </w:rPr>
              <w:t>À la Directrice du Bureau de développement des </w:t>
            </w:r>
            <w:r w:rsidRPr="00A647BF">
              <w:rPr>
                <w:lang w:val="fr-CH"/>
              </w:rPr>
              <w:t>télécommunications;</w:t>
            </w:r>
          </w:p>
          <w:p w14:paraId="4CF64F12" w14:textId="112F30D8" w:rsidR="004A442B" w:rsidRPr="00A647BF" w:rsidRDefault="004A442B" w:rsidP="004A4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5" w:hanging="225"/>
              <w:rPr>
                <w:lang w:val="fr-CH"/>
              </w:rPr>
            </w:pPr>
            <w:r w:rsidRPr="00A647BF">
              <w:rPr>
                <w:lang w:val="fr-CH"/>
              </w:rPr>
              <w:t>-</w:t>
            </w:r>
            <w:r w:rsidRPr="00A647BF">
              <w:rPr>
                <w:lang w:val="fr-CH"/>
              </w:rPr>
              <w:tab/>
              <w:t>Au Directeur du Bureau des</w:t>
            </w:r>
            <w:r w:rsidRPr="00A647BF">
              <w:rPr>
                <w:lang w:val="fr-CH"/>
              </w:rPr>
              <w:br/>
              <w:t>radiocommunications</w:t>
            </w:r>
          </w:p>
        </w:tc>
      </w:tr>
      <w:tr w:rsidR="00517A03" w:rsidRPr="00A647BF" w14:paraId="25A6E6DE" w14:textId="77777777" w:rsidTr="002F5BA1">
        <w:trPr>
          <w:gridAfter w:val="1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3E93428F" w14:textId="77777777" w:rsidR="00517A03" w:rsidRPr="00427B03" w:rsidRDefault="00517A03" w:rsidP="00F32075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Cs w:val="24"/>
                <w:lang w:val="fr-CH"/>
              </w:rPr>
            </w:pPr>
            <w:r w:rsidRPr="00427B03">
              <w:rPr>
                <w:b/>
                <w:bCs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14:paraId="326D496F" w14:textId="3B9E62EA" w:rsidR="00517A03" w:rsidRPr="0059451F" w:rsidRDefault="0059451F" w:rsidP="00F32075">
            <w:pPr>
              <w:tabs>
                <w:tab w:val="left" w:pos="4111"/>
              </w:tabs>
              <w:spacing w:before="360" w:after="240"/>
              <w:ind w:left="57"/>
              <w:rPr>
                <w:b/>
              </w:rPr>
            </w:pPr>
            <w:r w:rsidRPr="00F32075">
              <w:rPr>
                <w:b/>
                <w:lang w:val="fr-CH"/>
              </w:rPr>
              <w:t>C</w:t>
            </w:r>
            <w:r w:rsidR="00F32075" w:rsidRPr="00F32075">
              <w:rPr>
                <w:b/>
                <w:lang w:val="fr-CH"/>
              </w:rPr>
              <w:t xml:space="preserve">onsultation des </w:t>
            </w:r>
            <w:r w:rsidR="00C641D4">
              <w:rPr>
                <w:b/>
                <w:lang w:val="fr-CH"/>
              </w:rPr>
              <w:t>É</w:t>
            </w:r>
            <w:r w:rsidRPr="00F32075">
              <w:rPr>
                <w:b/>
                <w:lang w:val="fr-CH"/>
              </w:rPr>
              <w:t xml:space="preserve">tats Membres au sujet du texte déterminé du projet de </w:t>
            </w:r>
            <w:r w:rsidR="00C641D4">
              <w:rPr>
                <w:b/>
                <w:lang w:val="fr-CH"/>
              </w:rPr>
              <w:t xml:space="preserve">nouvelle </w:t>
            </w:r>
            <w:r w:rsidRPr="00F32075">
              <w:rPr>
                <w:b/>
                <w:lang w:val="fr-CH"/>
              </w:rPr>
              <w:t>Recommandation</w:t>
            </w:r>
            <w:r w:rsidRPr="00F21DF6">
              <w:rPr>
                <w:b/>
              </w:rPr>
              <w:t xml:space="preserve"> </w:t>
            </w:r>
            <w:r w:rsidRPr="00A647BF">
              <w:rPr>
                <w:b/>
                <w:lang w:val="fr-CH"/>
              </w:rPr>
              <w:t xml:space="preserve">UIT-T </w:t>
            </w:r>
            <w:r w:rsidRPr="00F21DF6">
              <w:rPr>
                <w:b/>
              </w:rPr>
              <w:t>Q.505</w:t>
            </w:r>
            <w:r w:rsidR="00C641D4">
              <w:rPr>
                <w:b/>
              </w:rPr>
              <w:t>1</w:t>
            </w:r>
            <w:r w:rsidRPr="00ED14D8">
              <w:rPr>
                <w:b/>
              </w:rPr>
              <w:t>, qu</w:t>
            </w:r>
            <w:r w:rsidR="00052B57">
              <w:rPr>
                <w:b/>
              </w:rPr>
              <w:t>'</w:t>
            </w:r>
            <w:r w:rsidRPr="00ED14D8">
              <w:rPr>
                <w:b/>
              </w:rPr>
              <w:t>il est proposé d</w:t>
            </w:r>
            <w:r w:rsidR="00052B57">
              <w:rPr>
                <w:b/>
              </w:rPr>
              <w:t>'</w:t>
            </w:r>
            <w:r w:rsidRPr="00ED14D8">
              <w:rPr>
                <w:b/>
              </w:rPr>
              <w:t>approuver à la réunion de la Commission d</w:t>
            </w:r>
            <w:r w:rsidR="00052B57">
              <w:rPr>
                <w:b/>
              </w:rPr>
              <w:t>'</w:t>
            </w:r>
            <w:r w:rsidRPr="00ED14D8">
              <w:rPr>
                <w:b/>
              </w:rPr>
              <w:t xml:space="preserve">études 11 </w:t>
            </w:r>
            <w:r w:rsidRPr="00ED14D8">
              <w:rPr>
                <w:b/>
                <w:lang w:val="fr-CH"/>
              </w:rPr>
              <w:t>de l</w:t>
            </w:r>
            <w:r w:rsidR="00052B57">
              <w:rPr>
                <w:b/>
                <w:lang w:val="fr-CH"/>
              </w:rPr>
              <w:t>'</w:t>
            </w:r>
            <w:r w:rsidRPr="00ED14D8">
              <w:rPr>
                <w:b/>
                <w:lang w:val="fr-CH"/>
              </w:rPr>
              <w:t>UIT-T</w:t>
            </w:r>
            <w:r>
              <w:rPr>
                <w:b/>
                <w:lang w:val="fr-CH"/>
              </w:rPr>
              <w:t xml:space="preserve"> (</w:t>
            </w:r>
            <w:r w:rsidR="00E71F25">
              <w:rPr>
                <w:b/>
                <w:lang w:val="fr-CH"/>
              </w:rPr>
              <w:t xml:space="preserve">Genève, </w:t>
            </w:r>
            <w:r w:rsidR="00C641D4">
              <w:rPr>
                <w:b/>
                <w:lang w:val="fr-CH"/>
              </w:rPr>
              <w:t>4</w:t>
            </w:r>
            <w:r>
              <w:rPr>
                <w:b/>
                <w:lang w:val="fr-CH"/>
              </w:rPr>
              <w:t>-1</w:t>
            </w:r>
            <w:r w:rsidR="00C641D4">
              <w:rPr>
                <w:b/>
                <w:lang w:val="fr-CH"/>
              </w:rPr>
              <w:t>3</w:t>
            </w:r>
            <w:r>
              <w:rPr>
                <w:b/>
                <w:lang w:val="fr-CH"/>
              </w:rPr>
              <w:t xml:space="preserve"> mars 20</w:t>
            </w:r>
            <w:r w:rsidR="00C641D4">
              <w:rPr>
                <w:b/>
                <w:lang w:val="fr-CH"/>
              </w:rPr>
              <w:t>20</w:t>
            </w:r>
            <w:r>
              <w:rPr>
                <w:b/>
                <w:lang w:val="fr-CH"/>
              </w:rPr>
              <w:t>)</w:t>
            </w:r>
          </w:p>
        </w:tc>
      </w:tr>
    </w:tbl>
    <w:p w14:paraId="0EF38754" w14:textId="77777777" w:rsidR="000F65FB" w:rsidRPr="00A647BF" w:rsidRDefault="000F65FB" w:rsidP="004A442B">
      <w:pPr>
        <w:spacing w:before="240" w:after="240"/>
        <w:rPr>
          <w:lang w:val="fr-CH"/>
        </w:rPr>
      </w:pPr>
      <w:bookmarkStart w:id="1" w:name="StartTyping_F"/>
      <w:bookmarkEnd w:id="1"/>
      <w:r w:rsidRPr="00A647BF">
        <w:rPr>
          <w:lang w:val="fr-CH"/>
        </w:rPr>
        <w:t>Madame, Monsieur,</w:t>
      </w:r>
    </w:p>
    <w:p w14:paraId="2F9B493B" w14:textId="20ED23D5" w:rsidR="000F65FB" w:rsidRPr="00A647BF" w:rsidRDefault="000F65FB" w:rsidP="00F32075">
      <w:pPr>
        <w:rPr>
          <w:szCs w:val="22"/>
          <w:lang w:val="fr-CH"/>
        </w:rPr>
      </w:pPr>
      <w:r w:rsidRPr="00A647BF">
        <w:rPr>
          <w:lang w:val="fr-CH"/>
        </w:rPr>
        <w:t>1</w:t>
      </w:r>
      <w:r w:rsidRPr="00A647BF">
        <w:rPr>
          <w:lang w:val="fr-CH"/>
        </w:rPr>
        <w:tab/>
        <w:t>La Commission d</w:t>
      </w:r>
      <w:r w:rsidR="00052B57">
        <w:rPr>
          <w:lang w:val="fr-CH"/>
        </w:rPr>
        <w:t>'</w:t>
      </w:r>
      <w:r w:rsidRPr="00A647BF">
        <w:rPr>
          <w:lang w:val="fr-CH"/>
        </w:rPr>
        <w:t xml:space="preserve">études </w:t>
      </w:r>
      <w:r w:rsidR="0059451F">
        <w:rPr>
          <w:lang w:val="fr-CH"/>
        </w:rPr>
        <w:t>11</w:t>
      </w:r>
      <w:r w:rsidRPr="00A647BF">
        <w:rPr>
          <w:lang w:val="fr-CH"/>
        </w:rPr>
        <w:t xml:space="preserve"> de l</w:t>
      </w:r>
      <w:r w:rsidR="00052B57">
        <w:rPr>
          <w:lang w:val="fr-CH"/>
        </w:rPr>
        <w:t>'</w:t>
      </w:r>
      <w:r w:rsidRPr="00A647BF">
        <w:rPr>
          <w:lang w:val="fr-CH"/>
        </w:rPr>
        <w:t>UIT-</w:t>
      </w:r>
      <w:r w:rsidRPr="00F32075">
        <w:rPr>
          <w:lang w:val="fr-CH"/>
        </w:rPr>
        <w:t>T (</w:t>
      </w:r>
      <w:r w:rsidR="0059451F" w:rsidRPr="00F32075">
        <w:rPr>
          <w:color w:val="000000"/>
        </w:rPr>
        <w:t>Exigences de signalisation, protocoles, spécifications de test et lutte contre la contrefaçon des produits</w:t>
      </w:r>
      <w:r w:rsidRPr="00F32075">
        <w:rPr>
          <w:lang w:val="fr-CH"/>
        </w:rPr>
        <w:t>)</w:t>
      </w:r>
      <w:r w:rsidRPr="00A647BF">
        <w:rPr>
          <w:lang w:val="fr-CH"/>
        </w:rPr>
        <w:t xml:space="preserve"> a l</w:t>
      </w:r>
      <w:r w:rsidR="00052B57">
        <w:rPr>
          <w:lang w:val="fr-CH"/>
        </w:rPr>
        <w:t>'</w:t>
      </w:r>
      <w:r w:rsidRPr="00A647BF">
        <w:rPr>
          <w:lang w:val="fr-CH"/>
        </w:rPr>
        <w:t>intention d</w:t>
      </w:r>
      <w:r w:rsidR="00052B57">
        <w:rPr>
          <w:lang w:val="fr-CH"/>
        </w:rPr>
        <w:t>'</w:t>
      </w:r>
      <w:r w:rsidRPr="00A647BF">
        <w:rPr>
          <w:lang w:val="fr-CH"/>
        </w:rPr>
        <w:t>appliquer la procédure d</w:t>
      </w:r>
      <w:r w:rsidR="00052B57">
        <w:rPr>
          <w:lang w:val="fr-CH"/>
        </w:rPr>
        <w:t>'</w:t>
      </w:r>
      <w:r w:rsidRPr="00A647BF">
        <w:rPr>
          <w:lang w:val="fr-CH"/>
        </w:rPr>
        <w:t>approbation traditionnelle énoncée à la section 9 de la Résolution 1 (Rév.</w:t>
      </w:r>
      <w:bookmarkStart w:id="2" w:name="_GoBack"/>
      <w:bookmarkEnd w:id="2"/>
      <w:r w:rsidRPr="00A647BF">
        <w:rPr>
          <w:lang w:val="fr-CH"/>
        </w:rPr>
        <w:t>Hammamet, 2016) de l</w:t>
      </w:r>
      <w:r w:rsidR="00052B57">
        <w:rPr>
          <w:lang w:val="fr-CH"/>
        </w:rPr>
        <w:t>'</w:t>
      </w:r>
      <w:r w:rsidRPr="00A647BF">
        <w:rPr>
          <w:lang w:val="fr-CH"/>
        </w:rPr>
        <w:t>AMNT pour l</w:t>
      </w:r>
      <w:r w:rsidR="00052B57">
        <w:rPr>
          <w:lang w:val="fr-CH"/>
        </w:rPr>
        <w:t>'</w:t>
      </w:r>
      <w:r w:rsidRPr="00A647BF">
        <w:rPr>
          <w:lang w:val="fr-CH"/>
        </w:rPr>
        <w:t>approbation d</w:t>
      </w:r>
      <w:r w:rsidR="00ED14D8">
        <w:rPr>
          <w:lang w:val="fr-CH"/>
        </w:rPr>
        <w:t>u projet de Recommandation mentionné</w:t>
      </w:r>
      <w:r w:rsidRPr="00A647BF">
        <w:rPr>
          <w:lang w:val="fr-CH"/>
        </w:rPr>
        <w:t xml:space="preserve"> ci-dessus, à sa prochaine réunion, qui se tiendra à Genève du </w:t>
      </w:r>
      <w:r w:rsidR="00C641D4">
        <w:rPr>
          <w:lang w:val="fr-CH"/>
        </w:rPr>
        <w:t>4</w:t>
      </w:r>
      <w:r w:rsidR="00ED14D8">
        <w:rPr>
          <w:lang w:val="fr-CH"/>
        </w:rPr>
        <w:t xml:space="preserve"> au 1</w:t>
      </w:r>
      <w:r w:rsidR="00C641D4">
        <w:rPr>
          <w:lang w:val="fr-CH"/>
        </w:rPr>
        <w:t>3</w:t>
      </w:r>
      <w:r w:rsidR="00ED14D8">
        <w:rPr>
          <w:lang w:val="fr-CH"/>
        </w:rPr>
        <w:t xml:space="preserve"> mars</w:t>
      </w:r>
      <w:r w:rsidR="00B4692C" w:rsidRPr="00A647BF">
        <w:rPr>
          <w:lang w:val="fr-CH"/>
        </w:rPr>
        <w:t xml:space="preserve"> </w:t>
      </w:r>
      <w:r w:rsidRPr="00A647BF">
        <w:rPr>
          <w:lang w:val="fr-CH"/>
        </w:rPr>
        <w:t>20</w:t>
      </w:r>
      <w:r w:rsidR="00C641D4">
        <w:rPr>
          <w:lang w:val="fr-CH"/>
        </w:rPr>
        <w:t>20</w:t>
      </w:r>
      <w:r w:rsidRPr="00A647BF">
        <w:rPr>
          <w:lang w:val="fr-CH"/>
        </w:rPr>
        <w:t>. L</w:t>
      </w:r>
      <w:r w:rsidR="00052B57">
        <w:rPr>
          <w:lang w:val="fr-CH"/>
        </w:rPr>
        <w:t>'</w:t>
      </w:r>
      <w:r w:rsidRPr="00A647BF">
        <w:rPr>
          <w:lang w:val="fr-CH"/>
        </w:rPr>
        <w:t>ordre du jour ainsi que tous les renseignements pertinents concernant la réunion de la Commission d</w:t>
      </w:r>
      <w:r w:rsidR="00052B57">
        <w:rPr>
          <w:lang w:val="fr-CH"/>
        </w:rPr>
        <w:t>'</w:t>
      </w:r>
      <w:r w:rsidRPr="00A647BF">
        <w:rPr>
          <w:lang w:val="fr-CH"/>
        </w:rPr>
        <w:t xml:space="preserve">études </w:t>
      </w:r>
      <w:r w:rsidR="00ED14D8">
        <w:rPr>
          <w:lang w:val="fr-CH"/>
        </w:rPr>
        <w:t>11</w:t>
      </w:r>
      <w:r w:rsidRPr="00A647BF">
        <w:rPr>
          <w:lang w:val="fr-CH"/>
        </w:rPr>
        <w:t xml:space="preserve"> de l</w:t>
      </w:r>
      <w:r w:rsidR="00052B57">
        <w:rPr>
          <w:lang w:val="fr-CH"/>
        </w:rPr>
        <w:t>'</w:t>
      </w:r>
      <w:r w:rsidRPr="00A647BF">
        <w:rPr>
          <w:lang w:val="fr-CH"/>
        </w:rPr>
        <w:t xml:space="preserve">UIT-T seront disponibles dans la Lettre collective </w:t>
      </w:r>
      <w:r w:rsidR="00C641D4">
        <w:rPr>
          <w:lang w:val="fr-CH"/>
        </w:rPr>
        <w:t>9</w:t>
      </w:r>
      <w:r w:rsidR="00ED14D8">
        <w:rPr>
          <w:lang w:val="fr-CH"/>
        </w:rPr>
        <w:t>/11</w:t>
      </w:r>
      <w:r w:rsidR="00A224D8" w:rsidRPr="00A647BF">
        <w:rPr>
          <w:lang w:val="fr-CH"/>
        </w:rPr>
        <w:t>.</w:t>
      </w:r>
    </w:p>
    <w:p w14:paraId="73551A3F" w14:textId="1F456295" w:rsidR="000F65FB" w:rsidRPr="00A647BF" w:rsidRDefault="000F65FB" w:rsidP="00F32075">
      <w:pPr>
        <w:rPr>
          <w:lang w:val="fr-CH"/>
        </w:rPr>
      </w:pPr>
      <w:r w:rsidRPr="00A647BF">
        <w:rPr>
          <w:lang w:val="fr-CH"/>
        </w:rPr>
        <w:t>2</w:t>
      </w:r>
      <w:r w:rsidRPr="00A647BF">
        <w:rPr>
          <w:lang w:val="fr-CH"/>
        </w:rPr>
        <w:tab/>
        <w:t>Vous trouverez dans l</w:t>
      </w:r>
      <w:r w:rsidR="00052B57">
        <w:rPr>
          <w:lang w:val="fr-CH"/>
        </w:rPr>
        <w:t>'</w:t>
      </w:r>
      <w:r w:rsidRPr="00A647BF">
        <w:rPr>
          <w:b/>
          <w:bCs/>
          <w:lang w:val="fr-CH"/>
        </w:rPr>
        <w:t>Annexe 1</w:t>
      </w:r>
      <w:r w:rsidRPr="00A647BF">
        <w:rPr>
          <w:lang w:val="fr-CH"/>
        </w:rPr>
        <w:t xml:space="preserve"> le titre, le résumé et la localisation d</w:t>
      </w:r>
      <w:r w:rsidR="00ED14D8">
        <w:rPr>
          <w:lang w:val="fr-CH"/>
        </w:rPr>
        <w:t>u projet</w:t>
      </w:r>
      <w:r w:rsidRPr="00A647BF">
        <w:rPr>
          <w:lang w:val="fr-CH"/>
        </w:rPr>
        <w:t xml:space="preserve"> de Recommandation </w:t>
      </w:r>
      <w:r w:rsidR="00B4692C" w:rsidRPr="00A647BF">
        <w:rPr>
          <w:lang w:val="fr-CH"/>
        </w:rPr>
        <w:t xml:space="preserve">UIT-T </w:t>
      </w:r>
      <w:r w:rsidRPr="00A647BF">
        <w:rPr>
          <w:lang w:val="fr-CH"/>
        </w:rPr>
        <w:t>qu</w:t>
      </w:r>
      <w:r w:rsidR="00052B57">
        <w:rPr>
          <w:lang w:val="fr-CH"/>
        </w:rPr>
        <w:t>'</w:t>
      </w:r>
      <w:r w:rsidRPr="00A647BF">
        <w:rPr>
          <w:lang w:val="fr-CH"/>
        </w:rPr>
        <w:t>il est proposé d</w:t>
      </w:r>
      <w:r w:rsidR="00052B57">
        <w:rPr>
          <w:lang w:val="fr-CH"/>
        </w:rPr>
        <w:t>'</w:t>
      </w:r>
      <w:r w:rsidRPr="00A647BF">
        <w:rPr>
          <w:lang w:val="fr-CH"/>
        </w:rPr>
        <w:t>approuver.</w:t>
      </w:r>
    </w:p>
    <w:p w14:paraId="22DCDD79" w14:textId="424307B0" w:rsidR="000F65FB" w:rsidRPr="00ED14D8" w:rsidRDefault="000F65FB" w:rsidP="00F32075">
      <w:pPr>
        <w:rPr>
          <w:lang w:val="fr-CH"/>
        </w:rPr>
      </w:pPr>
      <w:r w:rsidRPr="00A647BF">
        <w:rPr>
          <w:lang w:val="fr-CH"/>
        </w:rPr>
        <w:t>3</w:t>
      </w:r>
      <w:r w:rsidRPr="00A647BF">
        <w:rPr>
          <w:lang w:val="fr-CH"/>
        </w:rPr>
        <w:tab/>
        <w:t>La présente Circulaire a pour objet d</w:t>
      </w:r>
      <w:r w:rsidR="00052B57">
        <w:rPr>
          <w:lang w:val="fr-CH"/>
        </w:rPr>
        <w:t>'</w:t>
      </w:r>
      <w:r w:rsidRPr="00A647BF">
        <w:rPr>
          <w:lang w:val="fr-CH"/>
        </w:rPr>
        <w:t xml:space="preserve">engager le processus de consultation formelle des </w:t>
      </w:r>
      <w:r w:rsidR="008C41D0">
        <w:rPr>
          <w:lang w:val="fr-CH"/>
        </w:rPr>
        <w:t>É</w:t>
      </w:r>
      <w:r w:rsidRPr="00A647BF">
        <w:rPr>
          <w:lang w:val="fr-CH"/>
        </w:rPr>
        <w:t>tats Membres de l</w:t>
      </w:r>
      <w:r w:rsidR="00052B57">
        <w:rPr>
          <w:lang w:val="fr-CH"/>
        </w:rPr>
        <w:t>'</w:t>
      </w:r>
      <w:r w:rsidR="00ED14D8">
        <w:rPr>
          <w:lang w:val="fr-CH"/>
        </w:rPr>
        <w:t>UIT, qui devront indiquer si ce texte peut être examiné</w:t>
      </w:r>
      <w:r w:rsidRPr="00A647BF">
        <w:rPr>
          <w:lang w:val="fr-CH"/>
        </w:rPr>
        <w:t xml:space="preserve"> en vue </w:t>
      </w:r>
      <w:r w:rsidR="00ED14D8">
        <w:rPr>
          <w:lang w:val="fr-CH"/>
        </w:rPr>
        <w:t>de son</w:t>
      </w:r>
      <w:r w:rsidRPr="00A647BF">
        <w:rPr>
          <w:lang w:val="fr-CH"/>
        </w:rPr>
        <w:t xml:space="preserve"> approbation à la prochaine réunion, conformément au paragraphe 9.4 de la Résolution 1</w:t>
      </w:r>
      <w:r w:rsidR="00C641D4">
        <w:rPr>
          <w:lang w:val="fr-CH"/>
        </w:rPr>
        <w:t xml:space="preserve"> (Rév.Hamm</w:t>
      </w:r>
      <w:r w:rsidR="008C41D0">
        <w:rPr>
          <w:lang w:val="fr-CH"/>
        </w:rPr>
        <w:t>a</w:t>
      </w:r>
      <w:r w:rsidR="00C641D4">
        <w:rPr>
          <w:lang w:val="fr-CH"/>
        </w:rPr>
        <w:t>met, 2016) de l</w:t>
      </w:r>
      <w:r w:rsidR="00052B57">
        <w:rPr>
          <w:lang w:val="fr-CH"/>
        </w:rPr>
        <w:t>'</w:t>
      </w:r>
      <w:r w:rsidR="00C641D4">
        <w:rPr>
          <w:lang w:val="fr-CH"/>
        </w:rPr>
        <w:t>AMNT</w:t>
      </w:r>
      <w:r w:rsidRPr="00A647BF">
        <w:rPr>
          <w:lang w:val="fr-CH"/>
        </w:rPr>
        <w:t xml:space="preserve">. Les </w:t>
      </w:r>
      <w:r w:rsidR="008C41D0">
        <w:rPr>
          <w:lang w:val="fr-CH"/>
        </w:rPr>
        <w:t>É</w:t>
      </w:r>
      <w:r w:rsidRPr="00A647BF">
        <w:rPr>
          <w:lang w:val="fr-CH"/>
        </w:rPr>
        <w:t>tats Membres sont priés de remplir le formulaire de l</w:t>
      </w:r>
      <w:r w:rsidR="00052B57">
        <w:rPr>
          <w:lang w:val="fr-CH"/>
        </w:rPr>
        <w:t>'</w:t>
      </w:r>
      <w:r w:rsidRPr="00A647BF">
        <w:rPr>
          <w:b/>
          <w:bCs/>
          <w:lang w:val="fr-CH"/>
        </w:rPr>
        <w:t>Annexe 2</w:t>
      </w:r>
      <w:r w:rsidRPr="00A647BF">
        <w:rPr>
          <w:lang w:val="fr-CH"/>
        </w:rPr>
        <w:t xml:space="preserve"> et de le r</w:t>
      </w:r>
      <w:r w:rsidR="00A96C87" w:rsidRPr="00A647BF">
        <w:rPr>
          <w:lang w:val="fr-CH"/>
        </w:rPr>
        <w:t>envoyer d</w:t>
      </w:r>
      <w:r w:rsidR="00052B57">
        <w:rPr>
          <w:lang w:val="fr-CH"/>
        </w:rPr>
        <w:t>'</w:t>
      </w:r>
      <w:r w:rsidR="00A96C87" w:rsidRPr="00A647BF">
        <w:rPr>
          <w:lang w:val="fr-CH"/>
        </w:rPr>
        <w:t xml:space="preserve">ici </w:t>
      </w:r>
      <w:r w:rsidR="00A96C87" w:rsidRPr="00ED14D8">
        <w:rPr>
          <w:lang w:val="fr-CH"/>
        </w:rPr>
        <w:t xml:space="preserve">au </w:t>
      </w:r>
      <w:r w:rsidR="00ED14D8" w:rsidRPr="008C41D0">
        <w:rPr>
          <w:b/>
          <w:bCs/>
          <w:lang w:val="fr-CH"/>
        </w:rPr>
        <w:t>2</w:t>
      </w:r>
      <w:r w:rsidR="00C641D4" w:rsidRPr="008C41D0">
        <w:rPr>
          <w:b/>
          <w:bCs/>
          <w:lang w:val="fr-CH"/>
        </w:rPr>
        <w:t>1</w:t>
      </w:r>
      <w:r w:rsidR="00ED14D8" w:rsidRPr="008C41D0">
        <w:rPr>
          <w:b/>
          <w:bCs/>
          <w:lang w:val="fr-CH"/>
        </w:rPr>
        <w:t xml:space="preserve"> février</w:t>
      </w:r>
      <w:r w:rsidR="00B13258" w:rsidRPr="008C41D0">
        <w:rPr>
          <w:b/>
          <w:bCs/>
          <w:lang w:val="fr-CH"/>
        </w:rPr>
        <w:t xml:space="preserve"> </w:t>
      </w:r>
      <w:r w:rsidR="00A96C87" w:rsidRPr="008C41D0">
        <w:rPr>
          <w:b/>
          <w:bCs/>
          <w:lang w:val="fr-CH"/>
        </w:rPr>
        <w:t>20</w:t>
      </w:r>
      <w:r w:rsidR="00C641D4" w:rsidRPr="008C41D0">
        <w:rPr>
          <w:b/>
          <w:bCs/>
          <w:lang w:val="fr-CH"/>
        </w:rPr>
        <w:t>20</w:t>
      </w:r>
      <w:r w:rsidR="00A96C87" w:rsidRPr="00ED14D8">
        <w:rPr>
          <w:lang w:val="fr-CH"/>
        </w:rPr>
        <w:t xml:space="preserve"> à </w:t>
      </w:r>
      <w:r w:rsidRPr="00ED14D8">
        <w:rPr>
          <w:lang w:val="fr-CH"/>
        </w:rPr>
        <w:t>23 h 59 (UTC)</w:t>
      </w:r>
      <w:r w:rsidR="009735EF" w:rsidRPr="00ED14D8">
        <w:rPr>
          <w:rStyle w:val="CommentReference"/>
          <w:lang w:val="fr-CH"/>
        </w:rPr>
        <w:t>.</w:t>
      </w:r>
    </w:p>
    <w:p w14:paraId="0E2924BB" w14:textId="1AD12218" w:rsidR="000F65FB" w:rsidRDefault="000F65FB" w:rsidP="00F32075">
      <w:pPr>
        <w:keepLines/>
        <w:rPr>
          <w:lang w:val="fr-CH"/>
        </w:rPr>
      </w:pPr>
      <w:r w:rsidRPr="00A647BF">
        <w:rPr>
          <w:lang w:val="fr-CH"/>
        </w:rPr>
        <w:lastRenderedPageBreak/>
        <w:t>4</w:t>
      </w:r>
      <w:r w:rsidRPr="00A647BF">
        <w:rPr>
          <w:lang w:val="fr-CH"/>
        </w:rPr>
        <w:tab/>
        <w:t xml:space="preserve">Si au moins 70% des réponses des </w:t>
      </w:r>
      <w:r w:rsidR="008C41D0">
        <w:rPr>
          <w:lang w:val="fr-CH"/>
        </w:rPr>
        <w:t>É</w:t>
      </w:r>
      <w:r w:rsidRPr="00A647BF">
        <w:rPr>
          <w:lang w:val="fr-CH"/>
        </w:rPr>
        <w:t>tats Membres sont en faveur de l</w:t>
      </w:r>
      <w:r w:rsidR="00052B57">
        <w:rPr>
          <w:lang w:val="fr-CH"/>
        </w:rPr>
        <w:t>'</w:t>
      </w:r>
      <w:r w:rsidRPr="00A647BF">
        <w:rPr>
          <w:lang w:val="fr-CH"/>
        </w:rPr>
        <w:t>examen, aux fins d</w:t>
      </w:r>
      <w:r w:rsidR="00052B57">
        <w:rPr>
          <w:lang w:val="fr-CH"/>
        </w:rPr>
        <w:t>'</w:t>
      </w:r>
      <w:r w:rsidRPr="00A647BF">
        <w:rPr>
          <w:lang w:val="fr-CH"/>
        </w:rPr>
        <w:t>approbation, de ce texte, une séance plénière sera consacrée à l</w:t>
      </w:r>
      <w:r w:rsidR="00052B57">
        <w:rPr>
          <w:lang w:val="fr-CH"/>
        </w:rPr>
        <w:t>'</w:t>
      </w:r>
      <w:r w:rsidRPr="00A647BF">
        <w:rPr>
          <w:lang w:val="fr-CH"/>
        </w:rPr>
        <w:t>application de la procédure d</w:t>
      </w:r>
      <w:r w:rsidR="00052B57">
        <w:rPr>
          <w:lang w:val="fr-CH"/>
        </w:rPr>
        <w:t>'</w:t>
      </w:r>
      <w:r w:rsidRPr="00A647BF">
        <w:rPr>
          <w:lang w:val="fr-CH"/>
        </w:rPr>
        <w:t xml:space="preserve">approbation. Les </w:t>
      </w:r>
      <w:r w:rsidR="008C41D0">
        <w:rPr>
          <w:lang w:val="fr-CH"/>
        </w:rPr>
        <w:t>É</w:t>
      </w:r>
      <w:r w:rsidRPr="00A647BF">
        <w:rPr>
          <w:lang w:val="fr-CH"/>
        </w:rPr>
        <w:t>tats Membres qui n</w:t>
      </w:r>
      <w:r w:rsidR="00052B57">
        <w:rPr>
          <w:lang w:val="fr-CH"/>
        </w:rPr>
        <w:t>'</w:t>
      </w:r>
      <w:r w:rsidR="005A36E3">
        <w:rPr>
          <w:lang w:val="fr-CH"/>
        </w:rPr>
        <w:t>autorisent pas la C</w:t>
      </w:r>
      <w:r w:rsidRPr="00A647BF">
        <w:rPr>
          <w:lang w:val="fr-CH"/>
        </w:rPr>
        <w:t>ommission d</w:t>
      </w:r>
      <w:r w:rsidR="00052B57">
        <w:rPr>
          <w:lang w:val="fr-CH"/>
        </w:rPr>
        <w:t>'</w:t>
      </w:r>
      <w:r w:rsidRPr="00A647BF">
        <w:rPr>
          <w:lang w:val="fr-CH"/>
        </w:rPr>
        <w:t>études à procéder ainsi doivent informer le Directeur du TSB des motifs de cette décision et lui faire part des éventuelles modifications qui permettraient la poursuite des travaux.</w:t>
      </w:r>
    </w:p>
    <w:p w14:paraId="5B72CF22" w14:textId="043D021C" w:rsidR="000F65FB" w:rsidRPr="00A647BF" w:rsidRDefault="000F65FB" w:rsidP="004A442B">
      <w:pPr>
        <w:spacing w:before="240" w:after="120"/>
        <w:rPr>
          <w:lang w:val="fr-CH"/>
        </w:rPr>
      </w:pPr>
      <w:r w:rsidRPr="00A647BF">
        <w:rPr>
          <w:lang w:val="fr-CH"/>
        </w:rPr>
        <w:t>Veuillez agréer, Madame, Monsieur, l</w:t>
      </w:r>
      <w:r w:rsidR="00052B57">
        <w:rPr>
          <w:lang w:val="fr-CH"/>
        </w:rPr>
        <w:t>'</w:t>
      </w:r>
      <w:r w:rsidRPr="00A647BF">
        <w:rPr>
          <w:lang w:val="fr-CH"/>
        </w:rPr>
        <w:t>assurance de ma considération distinguée.</w:t>
      </w:r>
    </w:p>
    <w:p w14:paraId="04B4C098" w14:textId="33868D71" w:rsidR="00F32075" w:rsidRPr="00F32075" w:rsidRDefault="003A0947" w:rsidP="004A442B">
      <w:pPr>
        <w:spacing w:before="960"/>
        <w:rPr>
          <w:lang w:val="fr-CH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8EFC61C" wp14:editId="772CF166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596899" cy="447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5FB" w:rsidRPr="00A647BF">
        <w:rPr>
          <w:lang w:val="fr-CH"/>
        </w:rPr>
        <w:t>Chaesub Lee</w:t>
      </w:r>
      <w:r w:rsidR="000F65FB" w:rsidRPr="00A647BF">
        <w:rPr>
          <w:lang w:val="fr-CH"/>
        </w:rPr>
        <w:br/>
        <w:t>Directeur du Bureau de la</w:t>
      </w:r>
      <w:r w:rsidR="00427B03">
        <w:rPr>
          <w:lang w:val="fr-CH"/>
        </w:rPr>
        <w:t xml:space="preserve"> </w:t>
      </w:r>
      <w:r w:rsidR="00F32075">
        <w:rPr>
          <w:lang w:val="fr-CH"/>
        </w:rPr>
        <w:t>normalisation</w:t>
      </w:r>
      <w:r w:rsidR="00427B03">
        <w:rPr>
          <w:lang w:val="fr-CH"/>
        </w:rPr>
        <w:br/>
      </w:r>
      <w:r w:rsidR="000F65FB" w:rsidRPr="00A647BF">
        <w:rPr>
          <w:lang w:val="fr-CH"/>
        </w:rPr>
        <w:t>des télécommunications</w:t>
      </w:r>
    </w:p>
    <w:p w14:paraId="536B7BCA" w14:textId="1825DA88" w:rsidR="009735EF" w:rsidRPr="008617A1" w:rsidRDefault="009735EF" w:rsidP="00F32075">
      <w:pPr>
        <w:spacing w:before="1000" w:after="120"/>
        <w:rPr>
          <w:b/>
          <w:lang w:val="fr-CH"/>
        </w:rPr>
      </w:pPr>
      <w:r w:rsidRPr="008617A1">
        <w:rPr>
          <w:b/>
          <w:lang w:val="fr-CH"/>
        </w:rPr>
        <w:t>Annexes</w:t>
      </w:r>
      <w:r w:rsidRPr="005A36E3">
        <w:rPr>
          <w:bCs/>
          <w:lang w:val="fr-CH"/>
        </w:rPr>
        <w:t>: 2</w:t>
      </w:r>
    </w:p>
    <w:p w14:paraId="554B7B50" w14:textId="77777777" w:rsidR="00697BC1" w:rsidRPr="00A647BF" w:rsidRDefault="00697BC1" w:rsidP="00F320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fr-CH"/>
        </w:rPr>
      </w:pPr>
      <w:r w:rsidRPr="00A647BF">
        <w:rPr>
          <w:bCs/>
          <w:lang w:val="fr-CH"/>
        </w:rPr>
        <w:br w:type="page"/>
      </w:r>
    </w:p>
    <w:p w14:paraId="48BC4C04" w14:textId="5BA980CB" w:rsidR="00A224D8" w:rsidRPr="00A647BF" w:rsidRDefault="00734F7C" w:rsidP="00734F7C">
      <w:pPr>
        <w:pStyle w:val="Annextitle0"/>
        <w:rPr>
          <w:lang w:val="fr-CH"/>
        </w:rPr>
      </w:pPr>
      <w:r w:rsidRPr="00734F7C">
        <w:rPr>
          <w:lang w:val="fr-CH"/>
        </w:rPr>
        <w:lastRenderedPageBreak/>
        <w:t>Annexe 1</w:t>
      </w:r>
      <w:r w:rsidRPr="00734F7C">
        <w:rPr>
          <w:lang w:val="fr-CH"/>
        </w:rPr>
        <w:br/>
      </w:r>
      <w:r w:rsidRPr="00734F7C">
        <w:rPr>
          <w:lang w:val="fr-CH"/>
        </w:rPr>
        <w:br/>
      </w:r>
      <w:r w:rsidR="00C641D4">
        <w:rPr>
          <w:lang w:val="fr-CH"/>
        </w:rPr>
        <w:t>Titre, r</w:t>
      </w:r>
      <w:r w:rsidR="00A224D8" w:rsidRPr="00A647BF">
        <w:rPr>
          <w:lang w:val="fr-CH"/>
        </w:rPr>
        <w:t xml:space="preserve">ésumé et localisation </w:t>
      </w:r>
      <w:r w:rsidR="006C379A">
        <w:rPr>
          <w:lang w:val="fr-CH"/>
        </w:rPr>
        <w:t>du projet de</w:t>
      </w:r>
      <w:r w:rsidR="00A224D8" w:rsidRPr="00A647BF">
        <w:rPr>
          <w:lang w:val="fr-CH"/>
        </w:rPr>
        <w:t xml:space="preserve"> </w:t>
      </w:r>
      <w:r w:rsidR="006C379A">
        <w:rPr>
          <w:lang w:val="fr-CH"/>
        </w:rPr>
        <w:t>texte déterminé</w:t>
      </w:r>
    </w:p>
    <w:p w14:paraId="681F62E3" w14:textId="2C64E469" w:rsidR="004807B5" w:rsidRPr="00052B57" w:rsidRDefault="00A224D8" w:rsidP="00F32075">
      <w:pPr>
        <w:pStyle w:val="Heading1"/>
        <w:rPr>
          <w:sz w:val="28"/>
          <w:szCs w:val="28"/>
          <w:highlight w:val="yellow"/>
        </w:rPr>
      </w:pPr>
      <w:r w:rsidRPr="00052B57">
        <w:rPr>
          <w:sz w:val="28"/>
          <w:szCs w:val="28"/>
          <w:lang w:val="fr-CH"/>
        </w:rPr>
        <w:t>1</w:t>
      </w:r>
      <w:r w:rsidRPr="00052B57">
        <w:rPr>
          <w:sz w:val="28"/>
          <w:szCs w:val="28"/>
          <w:lang w:val="fr-CH"/>
        </w:rPr>
        <w:tab/>
        <w:t xml:space="preserve">Projet de nouvelle Recommandation UIT-T </w:t>
      </w:r>
      <w:r w:rsidR="004807B5" w:rsidRPr="00052B57">
        <w:rPr>
          <w:sz w:val="28"/>
          <w:szCs w:val="28"/>
          <w:lang w:val="fr-CH"/>
        </w:rPr>
        <w:t>Q.505</w:t>
      </w:r>
      <w:r w:rsidR="00C641D4" w:rsidRPr="00052B57">
        <w:rPr>
          <w:sz w:val="28"/>
          <w:szCs w:val="28"/>
          <w:lang w:val="fr-CH"/>
        </w:rPr>
        <w:t>1</w:t>
      </w:r>
      <w:r w:rsidR="004807B5" w:rsidRPr="00052B57">
        <w:rPr>
          <w:sz w:val="28"/>
          <w:szCs w:val="28"/>
          <w:lang w:val="fr-CH"/>
        </w:rPr>
        <w:t xml:space="preserve"> (ex </w:t>
      </w:r>
      <w:r w:rsidR="004807B5" w:rsidRPr="00052B57">
        <w:rPr>
          <w:sz w:val="28"/>
          <w:szCs w:val="28"/>
        </w:rPr>
        <w:t>Q.FW_C</w:t>
      </w:r>
      <w:r w:rsidR="00C641D4" w:rsidRPr="00052B57">
        <w:rPr>
          <w:sz w:val="28"/>
          <w:szCs w:val="28"/>
        </w:rPr>
        <w:t>SM</w:t>
      </w:r>
      <w:r w:rsidR="004807B5" w:rsidRPr="00052B57">
        <w:rPr>
          <w:sz w:val="28"/>
          <w:szCs w:val="28"/>
        </w:rPr>
        <w:t>)</w:t>
      </w:r>
      <w:r w:rsidR="00C641D4" w:rsidRPr="00052B57">
        <w:rPr>
          <w:sz w:val="28"/>
          <w:szCs w:val="28"/>
        </w:rPr>
        <w:t xml:space="preserve"> </w:t>
      </w:r>
      <w:r w:rsidR="00C641D4" w:rsidRPr="00052B57">
        <w:rPr>
          <w:sz w:val="28"/>
          <w:szCs w:val="28"/>
          <w:lang w:val="fr-CH"/>
        </w:rPr>
        <w:t>[</w:t>
      </w:r>
      <w:hyperlink r:id="rId11" w:history="1">
        <w:r w:rsidR="00C641D4" w:rsidRPr="00052B57">
          <w:rPr>
            <w:rStyle w:val="Hyperlink"/>
            <w:sz w:val="28"/>
            <w:szCs w:val="28"/>
            <w:lang w:val="fr-CH"/>
          </w:rPr>
          <w:t>SG11</w:t>
        </w:r>
        <w:r w:rsidR="00052B57">
          <w:rPr>
            <w:rStyle w:val="Hyperlink"/>
            <w:sz w:val="28"/>
            <w:szCs w:val="28"/>
            <w:lang w:val="fr-CH"/>
          </w:rPr>
          <w:noBreakHyphen/>
        </w:r>
        <w:r w:rsidR="00C641D4" w:rsidRPr="00052B57">
          <w:rPr>
            <w:rStyle w:val="Hyperlink"/>
            <w:sz w:val="28"/>
            <w:szCs w:val="28"/>
            <w:lang w:val="fr-CH"/>
          </w:rPr>
          <w:t>R25</w:t>
        </w:r>
      </w:hyperlink>
      <w:r w:rsidR="00C641D4" w:rsidRPr="00052B57">
        <w:rPr>
          <w:sz w:val="28"/>
          <w:szCs w:val="28"/>
          <w:lang w:val="fr-CH"/>
        </w:rPr>
        <w:t>]</w:t>
      </w:r>
      <w:r w:rsidR="004807B5" w:rsidRPr="00052B57">
        <w:rPr>
          <w:sz w:val="28"/>
          <w:szCs w:val="28"/>
        </w:rPr>
        <w:t xml:space="preserve"> </w:t>
      </w:r>
    </w:p>
    <w:p w14:paraId="4173A841" w14:textId="5AB08292" w:rsidR="00A224D8" w:rsidRPr="007F6B78" w:rsidRDefault="00C641D4" w:rsidP="00F32075">
      <w:pPr>
        <w:pStyle w:val="Headingb0"/>
        <w:tabs>
          <w:tab w:val="clear" w:pos="1191"/>
          <w:tab w:val="clear" w:pos="1588"/>
          <w:tab w:val="clear" w:pos="1985"/>
          <w:tab w:val="left" w:pos="7608"/>
        </w:tabs>
        <w:rPr>
          <w:rFonts w:asciiTheme="minorHAnsi" w:hAnsiTheme="minorHAnsi" w:cstheme="majorBidi"/>
          <w:szCs w:val="24"/>
          <w:lang w:val="fr-CH"/>
        </w:rPr>
      </w:pPr>
      <w:r w:rsidRPr="00C641D4">
        <w:rPr>
          <w:color w:val="000000"/>
          <w:lang w:val="fr-CH"/>
        </w:rPr>
        <w:t>Cadre pour la lutte contre l</w:t>
      </w:r>
      <w:r w:rsidR="00052B57">
        <w:rPr>
          <w:color w:val="000000"/>
          <w:lang w:val="fr-CH"/>
        </w:rPr>
        <w:t>'</w:t>
      </w:r>
      <w:r w:rsidRPr="00C641D4">
        <w:rPr>
          <w:color w:val="000000"/>
          <w:lang w:val="fr-CH"/>
        </w:rPr>
        <w:t>utilisation de dispositifs mobiles volés</w:t>
      </w:r>
    </w:p>
    <w:p w14:paraId="0D0AA932" w14:textId="77777777" w:rsidR="00A224D8" w:rsidRPr="00A647BF" w:rsidRDefault="00A224D8" w:rsidP="00F32075">
      <w:pPr>
        <w:pStyle w:val="Headingb0"/>
        <w:rPr>
          <w:lang w:val="fr-CH"/>
        </w:rPr>
      </w:pPr>
      <w:r w:rsidRPr="00A647BF">
        <w:rPr>
          <w:lang w:val="fr-CH"/>
        </w:rPr>
        <w:t>Résumé</w:t>
      </w:r>
    </w:p>
    <w:p w14:paraId="2CB73282" w14:textId="586180B9" w:rsidR="0040535D" w:rsidRPr="0040535D" w:rsidRDefault="0040535D" w:rsidP="0040535D">
      <w:pPr>
        <w:rPr>
          <w:color w:val="000000"/>
        </w:rPr>
      </w:pPr>
      <w:r w:rsidRPr="0040535D">
        <w:rPr>
          <w:color w:val="000000"/>
        </w:rPr>
        <w:t>Ces dernières années, l</w:t>
      </w:r>
      <w:r w:rsidR="00052B57">
        <w:rPr>
          <w:color w:val="000000"/>
        </w:rPr>
        <w:t>'</w:t>
      </w:r>
      <w:r w:rsidRPr="0040535D">
        <w:rPr>
          <w:color w:val="000000"/>
        </w:rPr>
        <w:t>amélioration des fonctionnalités et des capacités offertes par les dispositifs mobiles a eu pour effet de renforcer l</w:t>
      </w:r>
      <w:r w:rsidR="00052B57">
        <w:rPr>
          <w:color w:val="000000"/>
        </w:rPr>
        <w:t>'</w:t>
      </w:r>
      <w:r w:rsidRPr="0040535D">
        <w:rPr>
          <w:color w:val="000000"/>
        </w:rPr>
        <w:t>importance et l</w:t>
      </w:r>
      <w:r w:rsidR="00052B57">
        <w:rPr>
          <w:color w:val="000000"/>
        </w:rPr>
        <w:t>'</w:t>
      </w:r>
      <w:r w:rsidRPr="0040535D">
        <w:rPr>
          <w:color w:val="000000"/>
        </w:rPr>
        <w:t>utilisation de ces dispositifs dans la vie quotidienne. Dans certains pays, ce phénomène s</w:t>
      </w:r>
      <w:r w:rsidR="00052B57">
        <w:rPr>
          <w:color w:val="000000"/>
        </w:rPr>
        <w:t>'</w:t>
      </w:r>
      <w:r w:rsidRPr="0040535D">
        <w:rPr>
          <w:color w:val="000000"/>
        </w:rPr>
        <w:t>accompagne d</w:t>
      </w:r>
      <w:r w:rsidR="00052B57">
        <w:rPr>
          <w:color w:val="000000"/>
        </w:rPr>
        <w:t>'</w:t>
      </w:r>
      <w:r w:rsidRPr="0040535D">
        <w:rPr>
          <w:color w:val="000000"/>
        </w:rPr>
        <w:t>une recrudescence des comportements visant à voler ces dispositifs et à en tirer profit, non seulement par la vente des équipements eux-mêmes, mais aussi par l</w:t>
      </w:r>
      <w:r w:rsidR="00052B57">
        <w:rPr>
          <w:color w:val="000000"/>
        </w:rPr>
        <w:t>'</w:t>
      </w:r>
      <w:r w:rsidRPr="0040535D">
        <w:rPr>
          <w:color w:val="000000"/>
        </w:rPr>
        <w:t>utilisation illégale des données qu</w:t>
      </w:r>
      <w:r w:rsidR="00052B57">
        <w:rPr>
          <w:color w:val="000000"/>
        </w:rPr>
        <w:t>'</w:t>
      </w:r>
      <w:r w:rsidRPr="0040535D">
        <w:rPr>
          <w:color w:val="000000"/>
        </w:rPr>
        <w:t xml:space="preserve">ils contiennent. </w:t>
      </w:r>
    </w:p>
    <w:p w14:paraId="0B196B4A" w14:textId="673FCCFE" w:rsidR="0040535D" w:rsidRPr="0040535D" w:rsidRDefault="0040535D" w:rsidP="0040535D">
      <w:pPr>
        <w:rPr>
          <w:color w:val="000000"/>
        </w:rPr>
      </w:pPr>
      <w:r w:rsidRPr="0040535D">
        <w:rPr>
          <w:color w:val="000000"/>
        </w:rPr>
        <w:t>Pour faire face à ces comportements, il faut mettre en œuvre des initiatives visant à prévenir le vol de dispositifs mobiles et la réutilisation de dispositifs mobiles volés et à protéger les données des consommateurs stockées sur ces dispositifs contre toute utilisation illégale. De plus, étant donné qu</w:t>
      </w:r>
      <w:r w:rsidR="00052B57">
        <w:rPr>
          <w:color w:val="000000"/>
        </w:rPr>
        <w:t>'</w:t>
      </w:r>
      <w:r w:rsidRPr="0040535D">
        <w:rPr>
          <w:color w:val="000000"/>
        </w:rPr>
        <w:t>il est fréquent que des dispositifs soient volés dans un pays où des mesures d</w:t>
      </w:r>
      <w:r w:rsidR="00052B57">
        <w:rPr>
          <w:color w:val="000000"/>
        </w:rPr>
        <w:t>'</w:t>
      </w:r>
      <w:r w:rsidRPr="0040535D">
        <w:rPr>
          <w:color w:val="000000"/>
        </w:rPr>
        <w:t>atténuation visant à lutter contre l</w:t>
      </w:r>
      <w:r w:rsidR="00052B57">
        <w:rPr>
          <w:color w:val="000000"/>
        </w:rPr>
        <w:t>'</w:t>
      </w:r>
      <w:r w:rsidRPr="0040535D">
        <w:rPr>
          <w:color w:val="000000"/>
        </w:rPr>
        <w:t>utilisation de dispositifs volés peuvent exister, avant d</w:t>
      </w:r>
      <w:r w:rsidR="00052B57">
        <w:rPr>
          <w:color w:val="000000"/>
        </w:rPr>
        <w:t>'</w:t>
      </w:r>
      <w:r w:rsidRPr="0040535D">
        <w:rPr>
          <w:color w:val="000000"/>
        </w:rPr>
        <w:t>être vendus dans d</w:t>
      </w:r>
      <w:r w:rsidR="00052B57">
        <w:rPr>
          <w:color w:val="000000"/>
        </w:rPr>
        <w:t>'</w:t>
      </w:r>
      <w:r w:rsidRPr="0040535D">
        <w:rPr>
          <w:color w:val="000000"/>
        </w:rPr>
        <w:t>autres pays, voire d</w:t>
      </w:r>
      <w:r w:rsidR="00052B57">
        <w:rPr>
          <w:color w:val="000000"/>
        </w:rPr>
        <w:t>'</w:t>
      </w:r>
      <w:r w:rsidRPr="0040535D">
        <w:rPr>
          <w:color w:val="000000"/>
        </w:rPr>
        <w:t>autres régions, dans lesquels de telles mesures d</w:t>
      </w:r>
      <w:r w:rsidR="00052B57">
        <w:rPr>
          <w:color w:val="000000"/>
        </w:rPr>
        <w:t>'</w:t>
      </w:r>
      <w:r w:rsidRPr="0040535D">
        <w:rPr>
          <w:color w:val="000000"/>
        </w:rPr>
        <w:t>atténuation n</w:t>
      </w:r>
      <w:r w:rsidR="00052B57">
        <w:rPr>
          <w:color w:val="000000"/>
        </w:rPr>
        <w:t>'</w:t>
      </w:r>
      <w:r w:rsidRPr="0040535D">
        <w:rPr>
          <w:color w:val="000000"/>
        </w:rPr>
        <w:t>ont peut-être pas été mises en place, il est essentiel, pour que ces initiatives portent leurs fruits, de mettre en place une coordination et un échange d</w:t>
      </w:r>
      <w:r w:rsidR="00052B57">
        <w:rPr>
          <w:color w:val="000000"/>
        </w:rPr>
        <w:t>'</w:t>
      </w:r>
      <w:r w:rsidRPr="0040535D">
        <w:rPr>
          <w:color w:val="000000"/>
        </w:rPr>
        <w:t>informations entre les gouvernements et les opérateurs des différents pays visant à  lutter contre le vol de dispositifs mobiles et la réutilisation de dispositifs mobiles volés à l</w:t>
      </w:r>
      <w:r w:rsidR="00052B57">
        <w:rPr>
          <w:color w:val="000000"/>
        </w:rPr>
        <w:t>'</w:t>
      </w:r>
      <w:r w:rsidRPr="0040535D">
        <w:rPr>
          <w:color w:val="000000"/>
        </w:rPr>
        <w:t>échelle mondiale. Dans le cas contraire, il existe un risque que le trafic de dispositifs volés s</w:t>
      </w:r>
      <w:r w:rsidR="00052B57">
        <w:rPr>
          <w:color w:val="000000"/>
        </w:rPr>
        <w:t>'</w:t>
      </w:r>
      <w:r w:rsidRPr="0040535D">
        <w:rPr>
          <w:color w:val="000000"/>
        </w:rPr>
        <w:t>étende au-delà des frontières.</w:t>
      </w:r>
    </w:p>
    <w:p w14:paraId="6935A2FD" w14:textId="15A81D0B" w:rsidR="0040535D" w:rsidRPr="0040535D" w:rsidRDefault="0040535D" w:rsidP="0040535D">
      <w:pPr>
        <w:rPr>
          <w:color w:val="000000"/>
        </w:rPr>
      </w:pPr>
      <w:r w:rsidRPr="0040535D">
        <w:rPr>
          <w:color w:val="000000"/>
        </w:rPr>
        <w:t>Il importe de noter que, dans la mesure où la plupart des solutions qui sont mises en œuvre à l</w:t>
      </w:r>
      <w:r w:rsidR="00052B57">
        <w:rPr>
          <w:color w:val="000000"/>
        </w:rPr>
        <w:t>'</w:t>
      </w:r>
      <w:r w:rsidRPr="0040535D">
        <w:rPr>
          <w:color w:val="000000"/>
        </w:rPr>
        <w:t>heure actuelle pour prévenir le vol et la réutilisation des dispositifs utilisent des listes d</w:t>
      </w:r>
      <w:r w:rsidR="00052B57">
        <w:rPr>
          <w:color w:val="000000"/>
        </w:rPr>
        <w:t>'</w:t>
      </w:r>
      <w:r w:rsidRPr="0040535D">
        <w:rPr>
          <w:color w:val="000000"/>
        </w:rPr>
        <w:t>identifiants uniques, une solution couramment employée par les trafiquants pour contourner ces solutions consiste à altérer le dispositif afin de modifier son identifiant unique, bien souvent en choisissant un identifiant appartenant déjà à un dispositif authentique, de façon que l</w:t>
      </w:r>
      <w:r w:rsidR="00052B57">
        <w:rPr>
          <w:color w:val="000000"/>
        </w:rPr>
        <w:t>'</w:t>
      </w:r>
      <w:r w:rsidRPr="0040535D">
        <w:rPr>
          <w:color w:val="000000"/>
        </w:rPr>
        <w:t>équipement puisse retourner sur le marché et se connecter aux réseaux mobiles.</w:t>
      </w:r>
    </w:p>
    <w:p w14:paraId="49BAAB16" w14:textId="6D6EF0A1" w:rsidR="0040535D" w:rsidRPr="0040535D" w:rsidRDefault="0040535D" w:rsidP="0040535D">
      <w:pPr>
        <w:rPr>
          <w:color w:val="000000"/>
        </w:rPr>
      </w:pPr>
      <w:r w:rsidRPr="0040535D">
        <w:rPr>
          <w:color w:val="000000"/>
        </w:rPr>
        <w:t>Pour faire face à ce phénomène, de nombreux pays à travers le monde s</w:t>
      </w:r>
      <w:r w:rsidR="00052B57">
        <w:rPr>
          <w:color w:val="000000"/>
        </w:rPr>
        <w:t>'</w:t>
      </w:r>
      <w:r w:rsidRPr="0040535D">
        <w:rPr>
          <w:color w:val="000000"/>
        </w:rPr>
        <w:t>emploient non seulement à lutter contre l</w:t>
      </w:r>
      <w:r w:rsidR="00052B57">
        <w:rPr>
          <w:color w:val="000000"/>
        </w:rPr>
        <w:t>'</w:t>
      </w:r>
      <w:r w:rsidRPr="0040535D">
        <w:rPr>
          <w:color w:val="000000"/>
        </w:rPr>
        <w:t>utilisation de dispositifs mobiles volés, mais aussi à empêcher les dispositifs reprogrammés avec des identifiants uniques non autorisés, c</w:t>
      </w:r>
      <w:r w:rsidR="00052B57">
        <w:rPr>
          <w:color w:val="000000"/>
        </w:rPr>
        <w:t>'</w:t>
      </w:r>
      <w:r w:rsidRPr="0040535D">
        <w:rPr>
          <w:color w:val="000000"/>
        </w:rPr>
        <w:t>est-à-dire des identifiants qui ont été altérés volontairement, d</w:t>
      </w:r>
      <w:r w:rsidR="00052B57">
        <w:rPr>
          <w:color w:val="000000"/>
        </w:rPr>
        <w:t>'</w:t>
      </w:r>
      <w:r w:rsidRPr="0040535D">
        <w:rPr>
          <w:color w:val="000000"/>
        </w:rPr>
        <w:t>accéder de nouveau au réseau. Parallèlement, les pouvoirs publics d</w:t>
      </w:r>
      <w:r w:rsidR="00052B57">
        <w:rPr>
          <w:color w:val="000000"/>
        </w:rPr>
        <w:t>'</w:t>
      </w:r>
      <w:r w:rsidRPr="0040535D">
        <w:rPr>
          <w:color w:val="000000"/>
        </w:rPr>
        <w:t>autres pays sont mis à rude épreuve et sont incertains de la stratégie qu</w:t>
      </w:r>
      <w:r w:rsidR="00052B57">
        <w:rPr>
          <w:color w:val="000000"/>
        </w:rPr>
        <w:t>'</w:t>
      </w:r>
      <w:r w:rsidRPr="0040535D">
        <w:rPr>
          <w:color w:val="000000"/>
        </w:rPr>
        <w:t>il est préférable d</w:t>
      </w:r>
      <w:r w:rsidR="00052B57">
        <w:rPr>
          <w:color w:val="000000"/>
        </w:rPr>
        <w:t>'</w:t>
      </w:r>
      <w:r w:rsidRPr="0040535D">
        <w:rPr>
          <w:color w:val="000000"/>
        </w:rPr>
        <w:t>adopter, à cause, dans bien des cas, d</w:t>
      </w:r>
      <w:r w:rsidR="00052B57">
        <w:rPr>
          <w:color w:val="000000"/>
        </w:rPr>
        <w:t>'</w:t>
      </w:r>
      <w:r w:rsidRPr="0040535D">
        <w:rPr>
          <w:color w:val="000000"/>
        </w:rPr>
        <w:t>un manque de connaissances ou de savoir-faire nécessaires pour comprendre ce problème et les solutions possibles et prendre des décisions éclairées afin de déployer des solutions, adaptées à la situation du pays, qui pourraient être efficaces. Dans ce contexte, des lignes directrices sont nécessaires pour résoudre ce problème, comme cela est indiqué dans le Résolution 97 (Hammamet, 2016) de l</w:t>
      </w:r>
      <w:r w:rsidR="00052B57">
        <w:rPr>
          <w:color w:val="000000"/>
        </w:rPr>
        <w:t>'</w:t>
      </w:r>
      <w:r w:rsidRPr="0040535D">
        <w:rPr>
          <w:color w:val="000000"/>
        </w:rPr>
        <w:t>Assemblée mondiale de normalisation des télécommunications.</w:t>
      </w:r>
    </w:p>
    <w:p w14:paraId="3BB13197" w14:textId="77777777" w:rsidR="00052B57" w:rsidRDefault="00052B57" w:rsidP="0040535D">
      <w:pPr>
        <w:rPr>
          <w:color w:val="000000"/>
        </w:rPr>
      </w:pPr>
      <w:r>
        <w:rPr>
          <w:color w:val="000000"/>
        </w:rPr>
        <w:br w:type="page"/>
      </w:r>
    </w:p>
    <w:p w14:paraId="0FCBF61B" w14:textId="211EF532" w:rsidR="00635BB5" w:rsidRDefault="0040535D" w:rsidP="0040535D">
      <w:pPr>
        <w:rPr>
          <w:color w:val="000000"/>
        </w:rPr>
      </w:pPr>
      <w:r w:rsidRPr="0040535D">
        <w:rPr>
          <w:color w:val="000000"/>
        </w:rPr>
        <w:lastRenderedPageBreak/>
        <w:t xml:space="preserve">Compte tenu de ce qui précède, </w:t>
      </w:r>
      <w:r w:rsidR="00654DD2">
        <w:rPr>
          <w:color w:val="000000"/>
        </w:rPr>
        <w:t xml:space="preserve">cette </w:t>
      </w:r>
      <w:r w:rsidRPr="0040535D">
        <w:rPr>
          <w:color w:val="000000"/>
        </w:rPr>
        <w:t>Recommandation présente un cadre définissant les exigences ainsi qu</w:t>
      </w:r>
      <w:r w:rsidR="00052B57">
        <w:rPr>
          <w:color w:val="000000"/>
        </w:rPr>
        <w:t>'</w:t>
      </w:r>
      <w:r w:rsidRPr="0040535D">
        <w:rPr>
          <w:color w:val="000000"/>
        </w:rPr>
        <w:t>un large éventail de mesures complètes qu</w:t>
      </w:r>
      <w:r w:rsidR="00052B57">
        <w:rPr>
          <w:color w:val="000000"/>
        </w:rPr>
        <w:t>'</w:t>
      </w:r>
      <w:r w:rsidRPr="0040535D">
        <w:rPr>
          <w:color w:val="000000"/>
        </w:rPr>
        <w:t>il est recommandé de mettre en œuvre pour lutter contre le vol de dispositifs mobiles et la réutilisation des dispositifs mobiles volés.</w:t>
      </w:r>
    </w:p>
    <w:p w14:paraId="6D1740BC" w14:textId="3AF84EDE" w:rsidR="008C41D0" w:rsidRPr="008C41D0" w:rsidRDefault="008C41D0" w:rsidP="00052B57">
      <w:r w:rsidRPr="008C41D0">
        <w:t>Aucun document de justification UIT-T A.5 n</w:t>
      </w:r>
      <w:r w:rsidR="00052B57">
        <w:t>'</w:t>
      </w:r>
      <w:r w:rsidRPr="008C41D0">
        <w:t xml:space="preserve">a été </w:t>
      </w:r>
      <w:r>
        <w:t>élaboré pour ce projet de document déterminé</w:t>
      </w:r>
      <w:r w:rsidRPr="008C41D0">
        <w:t>.</w:t>
      </w:r>
    </w:p>
    <w:p w14:paraId="0265F483" w14:textId="7BD807F0" w:rsidR="008C41D0" w:rsidRPr="008C41D0" w:rsidRDefault="008C41D0" w:rsidP="00052B57">
      <w:r w:rsidRPr="00052B57">
        <w:rPr>
          <w:b/>
          <w:bCs/>
          <w:lang w:val="fr-CH"/>
        </w:rPr>
        <w:t>NOTE DU TSB</w:t>
      </w:r>
      <w:r w:rsidRPr="00190EB5">
        <w:rPr>
          <w:lang w:val="fr-CH"/>
        </w:rPr>
        <w:t xml:space="preserve"> –</w:t>
      </w:r>
      <w:r>
        <w:rPr>
          <w:lang w:val="fr-CH"/>
        </w:rPr>
        <w:t xml:space="preserve"> </w:t>
      </w:r>
      <w:r>
        <w:t>A la date de la présente Circulaire, le TSB n</w:t>
      </w:r>
      <w:r w:rsidR="00052B57">
        <w:t>'</w:t>
      </w:r>
      <w:r>
        <w:t>a reçu aucune déclaration</w:t>
      </w:r>
      <w:r>
        <w:rPr>
          <w:lang w:val="fr-CH"/>
        </w:rPr>
        <w:t xml:space="preserve"> </w:t>
      </w:r>
      <w:r>
        <w:t>concernant les droits de propriété intellectuelle relative à ce projet de document.</w:t>
      </w:r>
      <w:r>
        <w:rPr>
          <w:lang w:val="fr-CH"/>
        </w:rPr>
        <w:t xml:space="preserve"> </w:t>
      </w:r>
      <w:r>
        <w:t xml:space="preserve">Pour </w:t>
      </w:r>
      <w:r w:rsidRPr="00B6200E">
        <w:t>obtenir des renseignements actualisés, les membres sont invités à consulter la base de données relative aux droits de propriété intellectuelle à l</w:t>
      </w:r>
      <w:r w:rsidR="00052B57">
        <w:t>'</w:t>
      </w:r>
      <w:r w:rsidRPr="00B6200E">
        <w:t xml:space="preserve">adresse </w:t>
      </w:r>
      <w:hyperlink r:id="rId12" w:history="1">
        <w:r w:rsidRPr="00B6200E">
          <w:rPr>
            <w:rStyle w:val="Hyperlink"/>
            <w:lang w:val="fr-CH"/>
          </w:rPr>
          <w:t>www.itu.int/ipr/</w:t>
        </w:r>
      </w:hyperlink>
      <w:r w:rsidRPr="00B6200E">
        <w:rPr>
          <w:lang w:val="fr-CH"/>
        </w:rPr>
        <w:t>.</w:t>
      </w:r>
    </w:p>
    <w:p w14:paraId="66A5730D" w14:textId="08DD2784" w:rsidR="00A421F2" w:rsidRPr="008743BD" w:rsidRDefault="00410CE0" w:rsidP="00F32075">
      <w:pPr>
        <w:rPr>
          <w:lang w:val="fr-CH"/>
        </w:rPr>
      </w:pPr>
      <w:r w:rsidRPr="00B6200E">
        <w:rPr>
          <w:lang w:val="fr-CH"/>
        </w:rPr>
        <w:br w:type="page"/>
      </w:r>
    </w:p>
    <w:p w14:paraId="3008EB4D" w14:textId="726D25FE" w:rsidR="00A224D8" w:rsidRPr="00A647BF" w:rsidRDefault="00A224D8" w:rsidP="0018125D">
      <w:pPr>
        <w:pStyle w:val="Annextitle0"/>
        <w:rPr>
          <w:lang w:val="fr-CH"/>
        </w:rPr>
      </w:pPr>
      <w:r w:rsidRPr="0018125D">
        <w:rPr>
          <w:lang w:val="fr-CH"/>
        </w:rPr>
        <w:lastRenderedPageBreak/>
        <w:t>A</w:t>
      </w:r>
      <w:r w:rsidR="0018125D" w:rsidRPr="0018125D">
        <w:rPr>
          <w:lang w:val="fr-CH"/>
        </w:rPr>
        <w:t xml:space="preserve">nnexe </w:t>
      </w:r>
      <w:r w:rsidRPr="0018125D">
        <w:rPr>
          <w:lang w:val="fr-CH"/>
        </w:rPr>
        <w:t>2</w:t>
      </w:r>
      <w:r w:rsidR="0018125D" w:rsidRPr="0018125D">
        <w:rPr>
          <w:lang w:val="fr-CH"/>
        </w:rPr>
        <w:br/>
      </w:r>
      <w:r w:rsidR="0018125D" w:rsidRPr="0018125D">
        <w:rPr>
          <w:lang w:val="fr-CH"/>
        </w:rPr>
        <w:br/>
      </w:r>
      <w:r w:rsidRPr="00A647BF">
        <w:rPr>
          <w:lang w:val="fr-CH"/>
        </w:rPr>
        <w:t xml:space="preserve">Objet: Réponse des </w:t>
      </w:r>
      <w:r w:rsidR="008C41D0">
        <w:rPr>
          <w:lang w:val="fr-CH"/>
        </w:rPr>
        <w:t>É</w:t>
      </w:r>
      <w:r w:rsidRPr="00A647BF">
        <w:rPr>
          <w:lang w:val="fr-CH"/>
        </w:rPr>
        <w:t xml:space="preserve">tats Membres à la Circulaire TSB </w:t>
      </w:r>
      <w:r w:rsidR="008C41D0">
        <w:rPr>
          <w:lang w:val="fr-CH"/>
        </w:rPr>
        <w:t>2</w:t>
      </w:r>
      <w:r w:rsidR="00663DF3">
        <w:rPr>
          <w:lang w:val="fr-CH"/>
        </w:rPr>
        <w:t>05</w:t>
      </w:r>
      <w:r w:rsidRPr="00A647BF">
        <w:rPr>
          <w:lang w:val="fr-CH"/>
        </w:rPr>
        <w:t>:</w:t>
      </w:r>
      <w:r w:rsidR="00846EDA" w:rsidRPr="00A647BF">
        <w:rPr>
          <w:lang w:val="fr-CH"/>
        </w:rPr>
        <w:t xml:space="preserve"> </w:t>
      </w:r>
      <w:r w:rsidR="004522BD">
        <w:rPr>
          <w:lang w:val="fr-CH"/>
        </w:rPr>
        <w:t>Consultation au sujet</w:t>
      </w:r>
      <w:r w:rsidR="004522BD">
        <w:rPr>
          <w:lang w:val="fr-CH"/>
        </w:rPr>
        <w:br/>
      </w:r>
      <w:r w:rsidR="008E39FE">
        <w:rPr>
          <w:lang w:val="fr-CH"/>
        </w:rPr>
        <w:t xml:space="preserve">du </w:t>
      </w:r>
      <w:r w:rsidR="005C0EC0">
        <w:rPr>
          <w:lang w:val="fr-CH"/>
        </w:rPr>
        <w:t xml:space="preserve">texte déterminé du </w:t>
      </w:r>
      <w:r w:rsidR="008E39FE">
        <w:rPr>
          <w:lang w:val="fr-CH"/>
        </w:rPr>
        <w:t>projet de</w:t>
      </w:r>
      <w:r w:rsidRPr="00A647BF">
        <w:rPr>
          <w:lang w:val="fr-CH"/>
        </w:rPr>
        <w:t xml:space="preserve"> </w:t>
      </w:r>
      <w:r w:rsidR="008C41D0">
        <w:rPr>
          <w:lang w:val="fr-CH"/>
        </w:rPr>
        <w:t xml:space="preserve">nouvelle </w:t>
      </w:r>
      <w:r w:rsidRPr="00A647BF">
        <w:rPr>
          <w:lang w:val="fr-CH"/>
        </w:rPr>
        <w:t xml:space="preserve">Recommandation </w:t>
      </w:r>
      <w:r w:rsidR="006C0B64" w:rsidRPr="00A647BF">
        <w:rPr>
          <w:lang w:val="fr-CH"/>
        </w:rPr>
        <w:t xml:space="preserve">UIT-T </w:t>
      </w:r>
      <w:r w:rsidR="008E39FE">
        <w:rPr>
          <w:lang w:val="fr-CH"/>
        </w:rPr>
        <w:t>Q.505</w:t>
      </w:r>
      <w:r w:rsidR="008C41D0">
        <w:rPr>
          <w:lang w:val="fr-CH"/>
        </w:rPr>
        <w:t>1</w:t>
      </w:r>
    </w:p>
    <w:tbl>
      <w:tblPr>
        <w:tblW w:w="975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291"/>
        <w:gridCol w:w="4159"/>
        <w:gridCol w:w="1291"/>
        <w:gridCol w:w="3011"/>
      </w:tblGrid>
      <w:tr w:rsidR="00A224D8" w:rsidRPr="00A647BF" w14:paraId="70370862" w14:textId="77777777" w:rsidTr="00764767">
        <w:tc>
          <w:tcPr>
            <w:tcW w:w="1291" w:type="dxa"/>
            <w:shd w:val="clear" w:color="auto" w:fill="auto"/>
          </w:tcPr>
          <w:p w14:paraId="6137A537" w14:textId="7784F75A" w:rsidR="00A224D8" w:rsidRPr="00A647BF" w:rsidRDefault="00764767" w:rsidP="00F32075">
            <w:pPr>
              <w:jc w:val="right"/>
              <w:rPr>
                <w:szCs w:val="24"/>
                <w:lang w:val="fr-CH"/>
              </w:rPr>
            </w:pPr>
            <w:r>
              <w:rPr>
                <w:b/>
                <w:bCs/>
                <w:lang w:val="fr-CH"/>
              </w:rPr>
              <w:t xml:space="preserve">                                       </w:t>
            </w: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2ECA2153" w14:textId="0BD67A37" w:rsidR="00A224D8" w:rsidRPr="00A647BF" w:rsidRDefault="00427B03" w:rsidP="00F32075">
            <w:pPr>
              <w:ind w:right="-284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Directeur du Bureau de la </w:t>
            </w:r>
            <w:r w:rsidR="00A224D8" w:rsidRPr="00A647BF">
              <w:rPr>
                <w:bCs/>
                <w:lang w:val="fr-CH"/>
              </w:rPr>
              <w:t>norma</w:t>
            </w:r>
            <w:r>
              <w:rPr>
                <w:bCs/>
                <w:lang w:val="fr-CH"/>
              </w:rPr>
              <w:t>lisation des télécommunications</w:t>
            </w:r>
          </w:p>
          <w:p w14:paraId="1B6D27AD" w14:textId="48108911" w:rsidR="00A224D8" w:rsidRPr="00A647BF" w:rsidRDefault="009D5349" w:rsidP="00F32075">
            <w:pPr>
              <w:spacing w:before="0"/>
              <w:ind w:right="-284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Union internationale</w:t>
            </w:r>
            <w:r>
              <w:rPr>
                <w:bCs/>
                <w:lang w:val="fr-CH"/>
              </w:rPr>
              <w:br/>
            </w:r>
            <w:r w:rsidR="00A224D8" w:rsidRPr="00A647BF">
              <w:rPr>
                <w:bCs/>
                <w:lang w:val="fr-CH"/>
              </w:rPr>
              <w:t>des télécommunications</w:t>
            </w:r>
          </w:p>
          <w:p w14:paraId="4597C601" w14:textId="77777777" w:rsidR="00A224D8" w:rsidRPr="00A647BF" w:rsidRDefault="00A224D8" w:rsidP="00F32075">
            <w:pPr>
              <w:spacing w:before="0"/>
              <w:ind w:right="-284"/>
              <w:rPr>
                <w:bCs/>
                <w:lang w:val="fr-CH"/>
              </w:rPr>
            </w:pPr>
            <w:r w:rsidRPr="00A647BF">
              <w:rPr>
                <w:bCs/>
                <w:lang w:val="fr-CH"/>
              </w:rPr>
              <w:t>Place des Nations</w:t>
            </w:r>
          </w:p>
          <w:p w14:paraId="6A93EA01" w14:textId="77777777" w:rsidR="00A224D8" w:rsidRPr="00A647BF" w:rsidRDefault="00A224D8" w:rsidP="00F32075">
            <w:pPr>
              <w:spacing w:before="0"/>
              <w:rPr>
                <w:szCs w:val="24"/>
                <w:lang w:val="fr-CH"/>
              </w:rPr>
            </w:pPr>
            <w:r w:rsidRPr="00A647BF">
              <w:rPr>
                <w:bCs/>
                <w:lang w:val="fr-CH"/>
              </w:rPr>
              <w:t>CH 1211 Genève 20, Suisse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478519CE" w14:textId="77777777" w:rsidR="00A224D8" w:rsidRPr="00A647BF" w:rsidRDefault="00A224D8" w:rsidP="00F32075">
            <w:pPr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De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583BCDD3" w14:textId="77777777" w:rsidR="00A224D8" w:rsidRPr="00A647BF" w:rsidRDefault="00A224D8" w:rsidP="00F32075">
            <w:pPr>
              <w:ind w:right="-284"/>
              <w:rPr>
                <w:bCs/>
                <w:highlight w:val="green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[Nom]</w:t>
            </w:r>
          </w:p>
          <w:p w14:paraId="0953F744" w14:textId="77777777" w:rsidR="00A224D8" w:rsidRPr="00A647BF" w:rsidRDefault="00A224D8" w:rsidP="00F32075">
            <w:pPr>
              <w:spacing w:before="0"/>
              <w:ind w:right="-284"/>
              <w:rPr>
                <w:bCs/>
                <w:highlight w:val="green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[Rôle/titre officiel]</w:t>
            </w:r>
          </w:p>
          <w:p w14:paraId="7541967C" w14:textId="77777777" w:rsidR="00A224D8" w:rsidRPr="00A647BF" w:rsidRDefault="00A224D8" w:rsidP="00F32075">
            <w:pPr>
              <w:spacing w:before="0"/>
              <w:rPr>
                <w:szCs w:val="24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[Adresse]</w:t>
            </w:r>
          </w:p>
        </w:tc>
      </w:tr>
      <w:tr w:rsidR="00A224D8" w:rsidRPr="00A647BF" w14:paraId="169DE0C4" w14:textId="77777777" w:rsidTr="00764767">
        <w:trPr>
          <w:trHeight w:val="923"/>
        </w:trPr>
        <w:tc>
          <w:tcPr>
            <w:tcW w:w="1291" w:type="dxa"/>
            <w:shd w:val="clear" w:color="auto" w:fill="auto"/>
          </w:tcPr>
          <w:p w14:paraId="0A4982D4" w14:textId="315E4649" w:rsidR="00A224D8" w:rsidRPr="00A647BF" w:rsidRDefault="009B793E" w:rsidP="00F32075">
            <w:pPr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Télécopie</w:t>
            </w:r>
            <w:r w:rsidR="00A224D8" w:rsidRPr="00A647BF">
              <w:rPr>
                <w:bCs/>
                <w:lang w:val="fr-CH"/>
              </w:rPr>
              <w:t>:</w:t>
            </w:r>
            <w:r w:rsidR="00A224D8" w:rsidRPr="00A647BF">
              <w:rPr>
                <w:bCs/>
                <w:lang w:val="fr-CH"/>
              </w:rPr>
              <w:br/>
            </w:r>
            <w:r w:rsidR="00A224D8" w:rsidRPr="00A647BF">
              <w:rPr>
                <w:b/>
                <w:bCs/>
                <w:lang w:val="fr-CH"/>
              </w:rPr>
              <w:t>Courrie</w:t>
            </w:r>
            <w:r w:rsidR="00194A19" w:rsidRPr="00A647BF">
              <w:rPr>
                <w:b/>
                <w:bCs/>
                <w:lang w:val="fr-CH"/>
              </w:rPr>
              <w:t>l</w:t>
            </w:r>
            <w:r w:rsidR="00A224D8" w:rsidRPr="00A647BF">
              <w:rPr>
                <w:bCs/>
                <w:lang w:val="fr-CH"/>
              </w:rPr>
              <w:t>:</w:t>
            </w: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412CAFCB" w14:textId="6D792A9F" w:rsidR="00A224D8" w:rsidRPr="00A647BF" w:rsidRDefault="00A224D8" w:rsidP="00F32075">
            <w:pPr>
              <w:rPr>
                <w:szCs w:val="24"/>
                <w:lang w:val="fr-CH"/>
              </w:rPr>
            </w:pPr>
            <w:r w:rsidRPr="00A647BF">
              <w:rPr>
                <w:bCs/>
                <w:lang w:val="fr-CH"/>
              </w:rPr>
              <w:t>+41</w:t>
            </w:r>
            <w:r w:rsidR="00CB4C9B">
              <w:rPr>
                <w:bCs/>
                <w:lang w:val="fr-CH"/>
              </w:rPr>
              <w:t xml:space="preserve"> </w:t>
            </w:r>
            <w:r w:rsidRPr="00A647BF">
              <w:rPr>
                <w:bCs/>
                <w:lang w:val="fr-CH"/>
              </w:rPr>
              <w:t>22</w:t>
            </w:r>
            <w:r w:rsidR="00CB4C9B">
              <w:rPr>
                <w:bCs/>
                <w:lang w:val="fr-CH"/>
              </w:rPr>
              <w:t xml:space="preserve"> </w:t>
            </w:r>
            <w:r w:rsidRPr="00A647BF">
              <w:rPr>
                <w:bCs/>
                <w:lang w:val="fr-CH"/>
              </w:rPr>
              <w:t>730</w:t>
            </w:r>
            <w:r w:rsidR="00CB4C9B">
              <w:rPr>
                <w:bCs/>
                <w:lang w:val="fr-CH"/>
              </w:rPr>
              <w:t xml:space="preserve"> </w:t>
            </w:r>
            <w:r w:rsidRPr="00A647BF">
              <w:rPr>
                <w:bCs/>
                <w:lang w:val="fr-CH"/>
              </w:rPr>
              <w:t>5853</w:t>
            </w:r>
            <w:r w:rsidRPr="00A647BF">
              <w:rPr>
                <w:bCs/>
                <w:lang w:val="fr-CH"/>
              </w:rPr>
              <w:br/>
            </w:r>
            <w:hyperlink r:id="rId13" w:history="1">
              <w:r w:rsidRPr="00A647BF">
                <w:rPr>
                  <w:rStyle w:val="Hyperlink"/>
                  <w:bCs/>
                  <w:lang w:val="fr-CH"/>
                </w:rPr>
                <w:t>tsbdir@itu.int</w:t>
              </w:r>
            </w:hyperlink>
            <w:r w:rsidRPr="00A647BF">
              <w:rPr>
                <w:bCs/>
                <w:lang w:val="fr-CH"/>
              </w:rPr>
              <w:t xml:space="preserve"> 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6A60E219" w14:textId="77777777" w:rsidR="00A224D8" w:rsidRPr="00A647BF" w:rsidRDefault="00A224D8" w:rsidP="00F32075">
            <w:pPr>
              <w:spacing w:before="0"/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Télécopie:</w:t>
            </w:r>
            <w:r w:rsidRPr="00A647BF">
              <w:rPr>
                <w:b/>
                <w:bCs/>
                <w:lang w:val="fr-CH"/>
              </w:rPr>
              <w:br/>
              <w:t>Courriel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21CED3BE" w14:textId="77777777" w:rsidR="00A224D8" w:rsidRPr="00A647BF" w:rsidRDefault="00A224D8" w:rsidP="00F32075">
            <w:pPr>
              <w:spacing w:before="0"/>
              <w:rPr>
                <w:szCs w:val="24"/>
                <w:lang w:val="fr-CH"/>
              </w:rPr>
            </w:pPr>
          </w:p>
        </w:tc>
      </w:tr>
      <w:tr w:rsidR="00A224D8" w:rsidRPr="00A647BF" w14:paraId="047F04F3" w14:textId="77777777" w:rsidTr="00764767">
        <w:trPr>
          <w:trHeight w:val="186"/>
        </w:trPr>
        <w:tc>
          <w:tcPr>
            <w:tcW w:w="1291" w:type="dxa"/>
            <w:shd w:val="clear" w:color="auto" w:fill="auto"/>
          </w:tcPr>
          <w:p w14:paraId="41C47048" w14:textId="77777777" w:rsidR="00A224D8" w:rsidRPr="00A647BF" w:rsidRDefault="00A224D8" w:rsidP="00F32075">
            <w:pPr>
              <w:spacing w:before="0"/>
              <w:jc w:val="right"/>
              <w:rPr>
                <w:szCs w:val="24"/>
                <w:lang w:val="fr-CH"/>
              </w:rPr>
            </w:pP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28145306" w14:textId="77777777" w:rsidR="00A224D8" w:rsidRPr="00A647BF" w:rsidRDefault="00A224D8" w:rsidP="00F32075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2EC1D0FE" w14:textId="77777777" w:rsidR="00A224D8" w:rsidRPr="00A647BF" w:rsidRDefault="00A224D8" w:rsidP="00F32075">
            <w:pPr>
              <w:spacing w:before="0"/>
              <w:jc w:val="right"/>
              <w:rPr>
                <w:szCs w:val="24"/>
                <w:lang w:val="fr-CH"/>
              </w:rPr>
            </w:pPr>
            <w:r w:rsidRPr="00A647BF">
              <w:rPr>
                <w:b/>
                <w:bCs/>
                <w:lang w:val="fr-CH"/>
              </w:rPr>
              <w:t>Date</w:t>
            </w:r>
            <w:r w:rsidRPr="00A647BF">
              <w:rPr>
                <w:bCs/>
                <w:lang w:val="fr-CH"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5C7B6282" w14:textId="175B8D9C" w:rsidR="00A224D8" w:rsidRPr="00A647BF" w:rsidRDefault="00A224D8" w:rsidP="00F32075">
            <w:pPr>
              <w:spacing w:before="0"/>
              <w:rPr>
                <w:szCs w:val="24"/>
                <w:lang w:val="fr-CH"/>
              </w:rPr>
            </w:pPr>
            <w:r w:rsidRPr="00A647BF">
              <w:rPr>
                <w:bCs/>
                <w:highlight w:val="green"/>
                <w:lang w:val="fr-CH"/>
              </w:rPr>
              <w:t>[Lieu,] [Date]</w:t>
            </w:r>
          </w:p>
        </w:tc>
      </w:tr>
    </w:tbl>
    <w:p w14:paraId="17ED8B16" w14:textId="77777777" w:rsidR="00A224D8" w:rsidRPr="00A647BF" w:rsidRDefault="00A224D8" w:rsidP="00764767">
      <w:pPr>
        <w:spacing w:before="240"/>
        <w:rPr>
          <w:lang w:val="fr-CH"/>
        </w:rPr>
      </w:pPr>
      <w:r w:rsidRPr="00A647BF">
        <w:rPr>
          <w:lang w:val="fr-CH"/>
        </w:rPr>
        <w:t>Madame, Monsieur,</w:t>
      </w:r>
    </w:p>
    <w:p w14:paraId="0EFD964C" w14:textId="30CE654E" w:rsidR="00A224D8" w:rsidRDefault="00A224D8" w:rsidP="00764767">
      <w:pPr>
        <w:spacing w:after="240"/>
        <w:rPr>
          <w:lang w:val="fr-CH"/>
        </w:rPr>
      </w:pPr>
      <w:r w:rsidRPr="00A647BF">
        <w:rPr>
          <w:lang w:val="fr-CH"/>
        </w:rPr>
        <w:t>Dans le cadre de la consultatio</w:t>
      </w:r>
      <w:r w:rsidR="00BE6E0A">
        <w:rPr>
          <w:lang w:val="fr-CH"/>
        </w:rPr>
        <w:t xml:space="preserve">n des </w:t>
      </w:r>
      <w:r w:rsidR="008C41D0">
        <w:rPr>
          <w:lang w:val="fr-CH"/>
        </w:rPr>
        <w:t>É</w:t>
      </w:r>
      <w:r w:rsidR="00BE6E0A">
        <w:rPr>
          <w:lang w:val="fr-CH"/>
        </w:rPr>
        <w:t>tats Membres au sujet du projet de document déterminé</w:t>
      </w:r>
      <w:r w:rsidRPr="00A647BF">
        <w:rPr>
          <w:lang w:val="fr-CH"/>
        </w:rPr>
        <w:t xml:space="preserve"> dont il est question dans la Circulaire </w:t>
      </w:r>
      <w:r w:rsidR="004522BD">
        <w:rPr>
          <w:lang w:val="fr-CH"/>
        </w:rPr>
        <w:t>TSB</w:t>
      </w:r>
      <w:r w:rsidR="00116BD4">
        <w:rPr>
          <w:lang w:val="fr-CH"/>
        </w:rPr>
        <w:t xml:space="preserve"> </w:t>
      </w:r>
      <w:r w:rsidR="008C41D0">
        <w:rPr>
          <w:lang w:val="fr-CH"/>
        </w:rPr>
        <w:t>2</w:t>
      </w:r>
      <w:r w:rsidR="00BE6E0A">
        <w:rPr>
          <w:lang w:val="fr-CH"/>
        </w:rPr>
        <w:t>05</w:t>
      </w:r>
      <w:r w:rsidRPr="00A647BF">
        <w:rPr>
          <w:lang w:val="fr-CH"/>
        </w:rPr>
        <w:t>, je vous indique par la présente l</w:t>
      </w:r>
      <w:r w:rsidR="00052B57">
        <w:rPr>
          <w:lang w:val="fr-CH"/>
        </w:rPr>
        <w:t>'</w:t>
      </w:r>
      <w:r w:rsidRPr="00A647BF">
        <w:rPr>
          <w:lang w:val="fr-CH"/>
        </w:rPr>
        <w:t>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95614B" w:rsidRPr="0095614B" w14:paraId="0D7C1DB2" w14:textId="77777777" w:rsidTr="001E4B1D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2CED517D" w14:textId="77777777" w:rsidR="0095614B" w:rsidRPr="00F32075" w:rsidRDefault="0095614B" w:rsidP="00F32075">
            <w:pPr>
              <w:spacing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75BF2BE" w14:textId="21EA839F" w:rsidR="0095614B" w:rsidRPr="0095614B" w:rsidRDefault="0095614B" w:rsidP="00F320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Cs w:val="24"/>
                <w:lang w:val="fr-CH"/>
              </w:rPr>
            </w:pPr>
            <w:r w:rsidRPr="0095614B">
              <w:rPr>
                <w:b/>
                <w:bCs/>
                <w:lang w:val="fr-CH"/>
              </w:rPr>
              <w:t>Cochez l</w:t>
            </w:r>
            <w:r w:rsidR="00052B57">
              <w:rPr>
                <w:b/>
                <w:bCs/>
                <w:lang w:val="fr-CH"/>
              </w:rPr>
              <w:t>'</w:t>
            </w:r>
            <w:r w:rsidRPr="0095614B">
              <w:rPr>
                <w:b/>
                <w:bCs/>
                <w:lang w:val="fr-CH"/>
              </w:rPr>
              <w:t>une des deux cases</w:t>
            </w:r>
          </w:p>
        </w:tc>
      </w:tr>
      <w:tr w:rsidR="0095614B" w:rsidRPr="00851837" w14:paraId="59624A6A" w14:textId="77777777" w:rsidTr="001E4B1D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D8BF1C1" w14:textId="722C757E" w:rsidR="0095614B" w:rsidRPr="00E422D1" w:rsidRDefault="00E422D1" w:rsidP="00F32075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 w:rsidRPr="00E422D1">
              <w:rPr>
                <w:b/>
                <w:bCs/>
                <w:lang w:val="fr-CH"/>
              </w:rPr>
              <w:t>Projet de nouvelle Recommandation UIT-T Q.505</w:t>
            </w:r>
            <w:r w:rsidR="008C41D0">
              <w:rPr>
                <w:b/>
                <w:bCs/>
                <w:lang w:val="fr-CH"/>
              </w:rPr>
              <w:t xml:space="preserve">1 </w:t>
            </w:r>
            <w:r w:rsidR="008C41D0">
              <w:rPr>
                <w:b/>
                <w:bCs/>
                <w:lang w:val="fr-CH"/>
              </w:rPr>
              <w:br/>
              <w:t>(ex Q.FW_CSM)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13326BFD" w14:textId="332F04C4" w:rsidR="00851837" w:rsidRPr="00E422D1" w:rsidRDefault="00851837" w:rsidP="00F32075">
            <w:pPr>
              <w:pStyle w:val="TableText"/>
              <w:spacing w:before="120" w:after="120"/>
              <w:ind w:left="567" w:hanging="567"/>
              <w:rPr>
                <w:sz w:val="24"/>
                <w:szCs w:val="24"/>
                <w:lang w:val="fr-CH"/>
              </w:rPr>
            </w:pPr>
            <w:r w:rsidRPr="00E422D1">
              <w:rPr>
                <w:sz w:val="24"/>
                <w:szCs w:val="24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2D1">
              <w:rPr>
                <w:sz w:val="24"/>
                <w:szCs w:val="24"/>
                <w:lang w:val="fr-CH"/>
              </w:rPr>
              <w:instrText xml:space="preserve"> FORMCHECKBOX </w:instrText>
            </w:r>
            <w:r w:rsidR="002812AC">
              <w:rPr>
                <w:sz w:val="24"/>
                <w:szCs w:val="24"/>
                <w:lang w:val="fr-CH"/>
              </w:rPr>
            </w:r>
            <w:r w:rsidR="002812AC">
              <w:rPr>
                <w:sz w:val="24"/>
                <w:szCs w:val="24"/>
                <w:lang w:val="fr-CH"/>
              </w:rPr>
              <w:fldChar w:fldCharType="separate"/>
            </w:r>
            <w:r w:rsidRPr="00E422D1">
              <w:rPr>
                <w:sz w:val="24"/>
                <w:szCs w:val="24"/>
                <w:lang w:val="fr-CH"/>
              </w:rPr>
              <w:fldChar w:fldCharType="end"/>
            </w:r>
            <w:r w:rsidRPr="00E422D1">
              <w:rPr>
                <w:sz w:val="24"/>
                <w:szCs w:val="24"/>
                <w:lang w:val="fr-CH"/>
              </w:rPr>
              <w:tab/>
            </w:r>
            <w:r w:rsidRPr="00E422D1">
              <w:rPr>
                <w:b/>
                <w:bCs/>
                <w:sz w:val="24"/>
                <w:szCs w:val="24"/>
                <w:lang w:val="fr-CH"/>
              </w:rPr>
              <w:t>autorise</w:t>
            </w:r>
            <w:r w:rsidRPr="00E422D1">
              <w:rPr>
                <w:sz w:val="24"/>
                <w:szCs w:val="24"/>
                <w:lang w:val="fr-CH"/>
              </w:rPr>
              <w:t xml:space="preserve"> la Commission d</w:t>
            </w:r>
            <w:r w:rsidR="00052B57">
              <w:rPr>
                <w:sz w:val="24"/>
                <w:szCs w:val="24"/>
                <w:lang w:val="fr-CH"/>
              </w:rPr>
              <w:t>'</w:t>
            </w:r>
            <w:r w:rsidRPr="00E422D1">
              <w:rPr>
                <w:sz w:val="24"/>
                <w:szCs w:val="24"/>
                <w:lang w:val="fr-CH"/>
              </w:rPr>
              <w:t>études 11 à procéder à l</w:t>
            </w:r>
            <w:r w:rsidR="00052B57">
              <w:rPr>
                <w:sz w:val="24"/>
                <w:szCs w:val="24"/>
                <w:lang w:val="fr-CH"/>
              </w:rPr>
              <w:t>'</w:t>
            </w:r>
            <w:r w:rsidRPr="00E422D1">
              <w:rPr>
                <w:sz w:val="24"/>
                <w:szCs w:val="24"/>
                <w:lang w:val="fr-CH"/>
              </w:rPr>
              <w:t>examen de ce document en vue de son approbation (dans ce cas, sélectionnez l</w:t>
            </w:r>
            <w:r w:rsidR="00052B57">
              <w:rPr>
                <w:sz w:val="24"/>
                <w:szCs w:val="24"/>
                <w:lang w:val="fr-CH"/>
              </w:rPr>
              <w:t>'</w:t>
            </w:r>
            <w:r w:rsidRPr="00E422D1">
              <w:rPr>
                <w:sz w:val="24"/>
                <w:szCs w:val="24"/>
                <w:lang w:val="fr-CH"/>
              </w:rPr>
              <w:t>une des deux options ⃝):</w:t>
            </w:r>
          </w:p>
          <w:p w14:paraId="1065823C" w14:textId="5B88C0FD" w:rsidR="00851837" w:rsidRPr="00E422D1" w:rsidRDefault="00A87195" w:rsidP="00A87195">
            <w:pPr>
              <w:pStyle w:val="TableText"/>
              <w:tabs>
                <w:tab w:val="clear" w:pos="851"/>
                <w:tab w:val="left" w:pos="939"/>
              </w:tabs>
              <w:ind w:left="514"/>
              <w:rPr>
                <w:sz w:val="24"/>
                <w:szCs w:val="24"/>
                <w:lang w:val="fr-CH"/>
              </w:rPr>
            </w:pPr>
            <w:r w:rsidRPr="00A87195">
              <w:rPr>
                <w:sz w:val="24"/>
                <w:szCs w:val="24"/>
                <w:lang w:val="fr-CH"/>
              </w:rPr>
              <w:t>⃝</w:t>
            </w:r>
            <w:r w:rsidRPr="00A87195">
              <w:rPr>
                <w:sz w:val="24"/>
                <w:szCs w:val="24"/>
                <w:lang w:val="fr-CH"/>
              </w:rPr>
              <w:tab/>
            </w:r>
            <w:r w:rsidR="00851837" w:rsidRPr="00E422D1">
              <w:rPr>
                <w:sz w:val="24"/>
                <w:szCs w:val="24"/>
                <w:lang w:val="fr-CH"/>
              </w:rPr>
              <w:t>Pas de commentaire ou de proposition de modification</w:t>
            </w:r>
          </w:p>
          <w:p w14:paraId="1C03D07F" w14:textId="76BBDCC2" w:rsidR="0095614B" w:rsidRPr="00E422D1" w:rsidRDefault="00A87195" w:rsidP="00A87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39"/>
              </w:tabs>
              <w:spacing w:before="60" w:after="60"/>
              <w:ind w:left="926" w:hanging="412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⃝</w:t>
            </w:r>
            <w:r w:rsidRPr="00A87195">
              <w:rPr>
                <w:szCs w:val="24"/>
                <w:lang w:val="fr-CH"/>
              </w:rPr>
              <w:tab/>
            </w:r>
            <w:r w:rsidR="00851837" w:rsidRPr="00E422D1">
              <w:rPr>
                <w:szCs w:val="24"/>
                <w:lang w:val="fr-CH"/>
              </w:rPr>
              <w:t>Des commentaires ou propositi</w:t>
            </w:r>
            <w:r>
              <w:rPr>
                <w:szCs w:val="24"/>
                <w:lang w:val="fr-CH"/>
              </w:rPr>
              <w:t>ons de modification sont joints</w:t>
            </w:r>
            <w:r>
              <w:rPr>
                <w:szCs w:val="24"/>
                <w:lang w:val="fr-CH"/>
              </w:rPr>
              <w:br/>
            </w:r>
            <w:r w:rsidR="00851837" w:rsidRPr="00E422D1">
              <w:rPr>
                <w:szCs w:val="24"/>
                <w:lang w:val="fr-CH"/>
              </w:rPr>
              <w:t>à la présente</w:t>
            </w:r>
          </w:p>
        </w:tc>
      </w:tr>
      <w:tr w:rsidR="0095614B" w:rsidRPr="00E422D1" w14:paraId="59CD5A6C" w14:textId="77777777" w:rsidTr="001E4B1D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2ACD99C7" w14:textId="77777777" w:rsidR="0095614B" w:rsidRPr="00851837" w:rsidRDefault="0095614B" w:rsidP="00F32075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C9135E5" w14:textId="024B305E" w:rsidR="0095614B" w:rsidRPr="00E422D1" w:rsidRDefault="00E422D1" w:rsidP="00F32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fr-CH"/>
              </w:rPr>
            </w:pPr>
            <w:r w:rsidRPr="00A647BF">
              <w:rPr>
                <w:szCs w:val="22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7BF">
              <w:rPr>
                <w:szCs w:val="22"/>
                <w:lang w:val="fr-CH"/>
              </w:rPr>
              <w:instrText xml:space="preserve"> FORMCHECKBOX </w:instrText>
            </w:r>
            <w:r w:rsidR="002812AC">
              <w:rPr>
                <w:szCs w:val="22"/>
                <w:lang w:val="fr-CH"/>
              </w:rPr>
            </w:r>
            <w:r w:rsidR="002812AC">
              <w:rPr>
                <w:szCs w:val="22"/>
                <w:lang w:val="fr-CH"/>
              </w:rPr>
              <w:fldChar w:fldCharType="separate"/>
            </w:r>
            <w:r w:rsidRPr="00A647BF">
              <w:rPr>
                <w:szCs w:val="22"/>
                <w:lang w:val="fr-CH"/>
              </w:rPr>
              <w:fldChar w:fldCharType="end"/>
            </w:r>
            <w:r w:rsidRPr="00A647BF">
              <w:rPr>
                <w:szCs w:val="22"/>
                <w:lang w:val="fr-CH"/>
              </w:rPr>
              <w:tab/>
            </w:r>
            <w:r w:rsidRPr="00A647BF">
              <w:rPr>
                <w:b/>
                <w:bCs/>
                <w:lang w:val="fr-CH"/>
              </w:rPr>
              <w:t>n</w:t>
            </w:r>
            <w:r w:rsidR="00052B57">
              <w:rPr>
                <w:b/>
                <w:bCs/>
                <w:lang w:val="fr-CH"/>
              </w:rPr>
              <w:t>'</w:t>
            </w:r>
            <w:r w:rsidRPr="00A647BF">
              <w:rPr>
                <w:b/>
                <w:bCs/>
                <w:lang w:val="fr-CH"/>
              </w:rPr>
              <w:t>autorise pas</w:t>
            </w:r>
            <w:r w:rsidRPr="00A647BF">
              <w:rPr>
                <w:lang w:val="fr-CH"/>
              </w:rPr>
              <w:t xml:space="preserve"> la Commission d</w:t>
            </w:r>
            <w:r w:rsidR="00052B57">
              <w:rPr>
                <w:lang w:val="fr-CH"/>
              </w:rPr>
              <w:t>'</w:t>
            </w:r>
            <w:r w:rsidRPr="00A647BF">
              <w:rPr>
                <w:lang w:val="fr-CH"/>
              </w:rPr>
              <w:t xml:space="preserve">études </w:t>
            </w:r>
            <w:r>
              <w:rPr>
                <w:lang w:val="fr-CH"/>
              </w:rPr>
              <w:t>11</w:t>
            </w:r>
            <w:r w:rsidRPr="00A647BF">
              <w:rPr>
                <w:lang w:val="fr-CH"/>
              </w:rPr>
              <w:t xml:space="preserve"> à procéder à l</w:t>
            </w:r>
            <w:r w:rsidR="00052B57">
              <w:rPr>
                <w:lang w:val="fr-CH"/>
              </w:rPr>
              <w:t>'</w:t>
            </w:r>
            <w:r w:rsidRPr="00A647BF">
              <w:rPr>
                <w:lang w:val="fr-CH"/>
              </w:rPr>
              <w:t>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E5391B1" w14:textId="0B799476" w:rsidR="00A224D8" w:rsidRPr="00A647BF" w:rsidRDefault="00A224D8" w:rsidP="00C131AE">
      <w:pPr>
        <w:spacing w:before="360"/>
        <w:rPr>
          <w:lang w:val="fr-CH"/>
        </w:rPr>
      </w:pPr>
      <w:r w:rsidRPr="00A647BF">
        <w:rPr>
          <w:lang w:val="fr-CH"/>
        </w:rPr>
        <w:t>Veuillez agréer, Madame, Monsieur, l</w:t>
      </w:r>
      <w:r w:rsidR="00052B57">
        <w:rPr>
          <w:lang w:val="fr-CH"/>
        </w:rPr>
        <w:t>'</w:t>
      </w:r>
      <w:r w:rsidRPr="00A647BF">
        <w:rPr>
          <w:lang w:val="fr-CH"/>
        </w:rPr>
        <w:t>assurance</w:t>
      </w:r>
      <w:r w:rsidR="007826DF">
        <w:rPr>
          <w:lang w:val="fr-CH"/>
        </w:rPr>
        <w:t xml:space="preserve"> de ma considération distinguée.</w:t>
      </w:r>
    </w:p>
    <w:p w14:paraId="53E038A6" w14:textId="1E70DAED" w:rsidR="00405B28" w:rsidRDefault="00A224D8" w:rsidP="00052B57">
      <w:pPr>
        <w:spacing w:before="840"/>
        <w:rPr>
          <w:lang w:val="fr-CH"/>
        </w:rPr>
      </w:pPr>
      <w:r w:rsidRPr="00A647BF">
        <w:rPr>
          <w:szCs w:val="24"/>
          <w:highlight w:val="green"/>
          <w:lang w:val="fr-CH"/>
        </w:rPr>
        <w:t>[Nom]</w:t>
      </w:r>
      <w:r w:rsidR="00C131AE">
        <w:rPr>
          <w:szCs w:val="24"/>
          <w:highlight w:val="green"/>
          <w:lang w:val="fr-CH"/>
        </w:rPr>
        <w:br/>
      </w:r>
      <w:r w:rsidRPr="00A647BF">
        <w:rPr>
          <w:szCs w:val="24"/>
          <w:highlight w:val="green"/>
          <w:lang w:val="fr-CH"/>
        </w:rPr>
        <w:t>[Rôle/titre officiel]</w:t>
      </w:r>
      <w:r w:rsidR="00C131AE">
        <w:rPr>
          <w:szCs w:val="24"/>
          <w:lang w:val="fr-CH"/>
        </w:rPr>
        <w:br/>
      </w:r>
      <w:r w:rsidRPr="00A647BF">
        <w:rPr>
          <w:lang w:val="fr-CH"/>
        </w:rPr>
        <w:t xml:space="preserve">Administration de </w:t>
      </w:r>
      <w:r w:rsidRPr="00A647BF">
        <w:rPr>
          <w:highlight w:val="green"/>
          <w:lang w:val="fr-CH"/>
        </w:rPr>
        <w:t>[</w:t>
      </w:r>
      <w:r w:rsidR="00264F93" w:rsidRPr="00A647BF">
        <w:rPr>
          <w:highlight w:val="green"/>
          <w:lang w:val="fr-CH"/>
        </w:rPr>
        <w:t>E</w:t>
      </w:r>
      <w:r w:rsidRPr="00A647BF">
        <w:rPr>
          <w:highlight w:val="green"/>
          <w:lang w:val="fr-CH"/>
        </w:rPr>
        <w:t>tat Membre]</w:t>
      </w:r>
    </w:p>
    <w:p w14:paraId="7E075174" w14:textId="77777777" w:rsidR="001232E7" w:rsidRDefault="001232E7" w:rsidP="00C131AE">
      <w:pPr>
        <w:spacing w:before="240"/>
        <w:rPr>
          <w:lang w:val="fr-CH"/>
        </w:rPr>
      </w:pPr>
    </w:p>
    <w:p w14:paraId="6A8B758F" w14:textId="6D32DF56" w:rsidR="00EA41D2" w:rsidRDefault="00EA41D2" w:rsidP="00EA41D2">
      <w:pPr>
        <w:spacing w:before="240"/>
        <w:jc w:val="center"/>
        <w:rPr>
          <w:lang w:val="fr-CH"/>
        </w:rPr>
      </w:pPr>
      <w:r>
        <w:rPr>
          <w:lang w:val="fr-CH"/>
        </w:rPr>
        <w:t>___________</w:t>
      </w:r>
    </w:p>
    <w:sectPr w:rsidR="00EA41D2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AC79F" w14:textId="77777777" w:rsidR="009B0714" w:rsidRDefault="009B0714">
      <w:r>
        <w:separator/>
      </w:r>
    </w:p>
  </w:endnote>
  <w:endnote w:type="continuationSeparator" w:id="0">
    <w:p w14:paraId="6ACBA266" w14:textId="77777777" w:rsidR="009B0714" w:rsidRDefault="009B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D340" w14:textId="025FFC46" w:rsidR="005120A2" w:rsidRPr="00AE0A80" w:rsidRDefault="00AE0A80" w:rsidP="00AE0A8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1B0B58">
      <w:rPr>
        <w:color w:val="0070C0"/>
        <w:sz w:val="18"/>
        <w:szCs w:val="18"/>
        <w:lang w:val="fr-CH"/>
      </w:rPr>
      <w:t>Union internationale des télécommunications • Place des Nations, CH</w:t>
    </w:r>
    <w:r w:rsidRPr="001B0B58">
      <w:rPr>
        <w:color w:val="0070C0"/>
        <w:sz w:val="18"/>
        <w:szCs w:val="18"/>
        <w:lang w:val="fr-CH"/>
      </w:rPr>
      <w:noBreakHyphen/>
      <w:t xml:space="preserve">1211 Genève 20, Suisse </w:t>
    </w:r>
    <w:r w:rsidRPr="001B0B58">
      <w:rPr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1B0B58">
        <w:rPr>
          <w:rStyle w:val="Hyperlink"/>
          <w:color w:val="0070C0"/>
          <w:sz w:val="18"/>
          <w:szCs w:val="18"/>
        </w:rPr>
        <w:t>itumail@itu.int</w:t>
      </w:r>
    </w:hyperlink>
    <w:r w:rsidRPr="001B0B58">
      <w:rPr>
        <w:color w:val="0070C0"/>
        <w:sz w:val="18"/>
        <w:szCs w:val="18"/>
        <w:lang w:val="fr-CH"/>
      </w:rPr>
      <w:t xml:space="preserve"> • </w:t>
    </w:r>
    <w:hyperlink r:id="rId2" w:history="1">
      <w:r w:rsidRPr="001B0B58">
        <w:rPr>
          <w:rStyle w:val="Hyperlink"/>
          <w:color w:val="0070C0"/>
          <w:sz w:val="18"/>
          <w:szCs w:val="18"/>
        </w:rPr>
        <w:t>www.itu.int</w:t>
      </w:r>
    </w:hyperlink>
    <w:r w:rsidRPr="001B0B58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C6A4" w14:textId="77777777" w:rsidR="009B0714" w:rsidRDefault="009B0714">
      <w:r>
        <w:t>____________________</w:t>
      </w:r>
    </w:p>
  </w:footnote>
  <w:footnote w:type="continuationSeparator" w:id="0">
    <w:p w14:paraId="0CC30CC8" w14:textId="77777777" w:rsidR="009B0714" w:rsidRDefault="009B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267" w14:textId="3A410947" w:rsidR="00697BC1" w:rsidRDefault="002812AC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3A0947">
          <w:rPr>
            <w:noProof/>
            <w:sz w:val="18"/>
            <w:szCs w:val="16"/>
          </w:rPr>
          <w:t>4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58218A2D" w14:textId="59B7A1AC" w:rsidR="00846EDA" w:rsidRPr="00697BC1" w:rsidRDefault="00846EDA" w:rsidP="00AE0B5F">
    <w:pPr>
      <w:pStyle w:val="Header"/>
      <w:spacing w:after="360"/>
      <w:rPr>
        <w:sz w:val="18"/>
        <w:szCs w:val="16"/>
      </w:rPr>
    </w:pPr>
    <w:r>
      <w:rPr>
        <w:noProof/>
        <w:sz w:val="18"/>
        <w:szCs w:val="16"/>
      </w:rPr>
      <w:t>Circulaire</w:t>
    </w:r>
    <w:r w:rsidR="002A4E03">
      <w:rPr>
        <w:noProof/>
        <w:sz w:val="18"/>
        <w:szCs w:val="16"/>
      </w:rPr>
      <w:t xml:space="preserve"> TSB </w:t>
    </w:r>
    <w:r w:rsidR="002F5BA1">
      <w:rPr>
        <w:noProof/>
        <w:sz w:val="18"/>
        <w:szCs w:val="16"/>
      </w:rPr>
      <w:t>2</w:t>
    </w:r>
    <w:r w:rsidR="002A4E03">
      <w:rPr>
        <w:noProof/>
        <w:sz w:val="18"/>
        <w:szCs w:val="16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64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21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A0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AF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D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0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4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9CD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A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E8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FB"/>
    <w:rsid w:val="000039EE"/>
    <w:rsid w:val="00005622"/>
    <w:rsid w:val="00024157"/>
    <w:rsid w:val="00024460"/>
    <w:rsid w:val="0002519E"/>
    <w:rsid w:val="00035B43"/>
    <w:rsid w:val="00042616"/>
    <w:rsid w:val="0005236E"/>
    <w:rsid w:val="00052B57"/>
    <w:rsid w:val="000707B2"/>
    <w:rsid w:val="000758B3"/>
    <w:rsid w:val="000A74F1"/>
    <w:rsid w:val="000B0D96"/>
    <w:rsid w:val="000B35B9"/>
    <w:rsid w:val="000B59D8"/>
    <w:rsid w:val="000C1F6B"/>
    <w:rsid w:val="000C56BE"/>
    <w:rsid w:val="000F65FB"/>
    <w:rsid w:val="001026FD"/>
    <w:rsid w:val="001077FD"/>
    <w:rsid w:val="0011545F"/>
    <w:rsid w:val="00115DD7"/>
    <w:rsid w:val="00116BD4"/>
    <w:rsid w:val="001225AE"/>
    <w:rsid w:val="001232E7"/>
    <w:rsid w:val="00167472"/>
    <w:rsid w:val="00167F92"/>
    <w:rsid w:val="00173738"/>
    <w:rsid w:val="00180F34"/>
    <w:rsid w:val="0018125D"/>
    <w:rsid w:val="00181C75"/>
    <w:rsid w:val="00190EB5"/>
    <w:rsid w:val="00193C88"/>
    <w:rsid w:val="00194A19"/>
    <w:rsid w:val="001B79A3"/>
    <w:rsid w:val="001C2839"/>
    <w:rsid w:val="001C526B"/>
    <w:rsid w:val="001F1405"/>
    <w:rsid w:val="001F1A2A"/>
    <w:rsid w:val="002152A3"/>
    <w:rsid w:val="00220C1A"/>
    <w:rsid w:val="0022634E"/>
    <w:rsid w:val="00230E87"/>
    <w:rsid w:val="00264F93"/>
    <w:rsid w:val="002812AC"/>
    <w:rsid w:val="002946FD"/>
    <w:rsid w:val="002A4E03"/>
    <w:rsid w:val="002B36A1"/>
    <w:rsid w:val="002C1959"/>
    <w:rsid w:val="002E395D"/>
    <w:rsid w:val="002E3FF0"/>
    <w:rsid w:val="002F5BA1"/>
    <w:rsid w:val="003040D8"/>
    <w:rsid w:val="003131F0"/>
    <w:rsid w:val="00333A80"/>
    <w:rsid w:val="00341117"/>
    <w:rsid w:val="0034274F"/>
    <w:rsid w:val="00364E95"/>
    <w:rsid w:val="00366B01"/>
    <w:rsid w:val="00372875"/>
    <w:rsid w:val="00394CCC"/>
    <w:rsid w:val="003A0947"/>
    <w:rsid w:val="003B1E80"/>
    <w:rsid w:val="003B66E8"/>
    <w:rsid w:val="003C75B5"/>
    <w:rsid w:val="003D60EC"/>
    <w:rsid w:val="003F0D31"/>
    <w:rsid w:val="004033F1"/>
    <w:rsid w:val="0040535D"/>
    <w:rsid w:val="00405B28"/>
    <w:rsid w:val="00410CE0"/>
    <w:rsid w:val="00414B0C"/>
    <w:rsid w:val="00423C21"/>
    <w:rsid w:val="004257AC"/>
    <w:rsid w:val="00427B03"/>
    <w:rsid w:val="0043711B"/>
    <w:rsid w:val="004522BD"/>
    <w:rsid w:val="004807B5"/>
    <w:rsid w:val="004977C9"/>
    <w:rsid w:val="004A442B"/>
    <w:rsid w:val="004B732E"/>
    <w:rsid w:val="004C50FC"/>
    <w:rsid w:val="004D51F4"/>
    <w:rsid w:val="004D64E0"/>
    <w:rsid w:val="004E23A9"/>
    <w:rsid w:val="005120A2"/>
    <w:rsid w:val="0051210D"/>
    <w:rsid w:val="005136D2"/>
    <w:rsid w:val="00517A03"/>
    <w:rsid w:val="005543FE"/>
    <w:rsid w:val="00554789"/>
    <w:rsid w:val="00556D98"/>
    <w:rsid w:val="0059451F"/>
    <w:rsid w:val="005A36E3"/>
    <w:rsid w:val="005A3DD9"/>
    <w:rsid w:val="005B1DFC"/>
    <w:rsid w:val="005C0EC0"/>
    <w:rsid w:val="00601682"/>
    <w:rsid w:val="00625E79"/>
    <w:rsid w:val="006333F7"/>
    <w:rsid w:val="00635BB5"/>
    <w:rsid w:val="006427A1"/>
    <w:rsid w:val="00644741"/>
    <w:rsid w:val="00652EB8"/>
    <w:rsid w:val="00654DD2"/>
    <w:rsid w:val="00663DF3"/>
    <w:rsid w:val="00676AF9"/>
    <w:rsid w:val="00697BC1"/>
    <w:rsid w:val="006A542F"/>
    <w:rsid w:val="006A6FFE"/>
    <w:rsid w:val="006C0B64"/>
    <w:rsid w:val="006C379A"/>
    <w:rsid w:val="006C5A91"/>
    <w:rsid w:val="006D6B27"/>
    <w:rsid w:val="006E40F2"/>
    <w:rsid w:val="006E5062"/>
    <w:rsid w:val="007005AD"/>
    <w:rsid w:val="0071108D"/>
    <w:rsid w:val="00716BBC"/>
    <w:rsid w:val="007321BC"/>
    <w:rsid w:val="00734F7C"/>
    <w:rsid w:val="00760063"/>
    <w:rsid w:val="00762CEA"/>
    <w:rsid w:val="00764767"/>
    <w:rsid w:val="0077145A"/>
    <w:rsid w:val="00775E4B"/>
    <w:rsid w:val="007826DF"/>
    <w:rsid w:val="0079553B"/>
    <w:rsid w:val="00795679"/>
    <w:rsid w:val="007A40FE"/>
    <w:rsid w:val="007E5E9E"/>
    <w:rsid w:val="007F5558"/>
    <w:rsid w:val="007F6B78"/>
    <w:rsid w:val="00810105"/>
    <w:rsid w:val="008157E0"/>
    <w:rsid w:val="00846EDA"/>
    <w:rsid w:val="00851837"/>
    <w:rsid w:val="00851DE3"/>
    <w:rsid w:val="00854E1D"/>
    <w:rsid w:val="008617A1"/>
    <w:rsid w:val="008710F1"/>
    <w:rsid w:val="008743BD"/>
    <w:rsid w:val="00887FA6"/>
    <w:rsid w:val="008C41D0"/>
    <w:rsid w:val="008C4397"/>
    <w:rsid w:val="008C465A"/>
    <w:rsid w:val="008E39FE"/>
    <w:rsid w:val="008E67D6"/>
    <w:rsid w:val="008F2C9B"/>
    <w:rsid w:val="00910714"/>
    <w:rsid w:val="0091324B"/>
    <w:rsid w:val="00915362"/>
    <w:rsid w:val="00923A08"/>
    <w:rsid w:val="00923CD6"/>
    <w:rsid w:val="00935AA8"/>
    <w:rsid w:val="0095614B"/>
    <w:rsid w:val="00971C9A"/>
    <w:rsid w:val="009735EF"/>
    <w:rsid w:val="009B0714"/>
    <w:rsid w:val="009B793E"/>
    <w:rsid w:val="009D51FA"/>
    <w:rsid w:val="009D5349"/>
    <w:rsid w:val="009E3A90"/>
    <w:rsid w:val="009F1E23"/>
    <w:rsid w:val="00A050DA"/>
    <w:rsid w:val="00A15179"/>
    <w:rsid w:val="00A224D8"/>
    <w:rsid w:val="00A421F2"/>
    <w:rsid w:val="00A51537"/>
    <w:rsid w:val="00A5280F"/>
    <w:rsid w:val="00A60FC1"/>
    <w:rsid w:val="00A647BF"/>
    <w:rsid w:val="00A742BF"/>
    <w:rsid w:val="00A87195"/>
    <w:rsid w:val="00A96C87"/>
    <w:rsid w:val="00A97C37"/>
    <w:rsid w:val="00AA0A61"/>
    <w:rsid w:val="00AC37B5"/>
    <w:rsid w:val="00AD752F"/>
    <w:rsid w:val="00AE0A80"/>
    <w:rsid w:val="00AE0B5F"/>
    <w:rsid w:val="00AF08A4"/>
    <w:rsid w:val="00B04A6E"/>
    <w:rsid w:val="00B13258"/>
    <w:rsid w:val="00B27B41"/>
    <w:rsid w:val="00B42659"/>
    <w:rsid w:val="00B4692C"/>
    <w:rsid w:val="00B50E44"/>
    <w:rsid w:val="00B6200E"/>
    <w:rsid w:val="00B62ED1"/>
    <w:rsid w:val="00B77C9E"/>
    <w:rsid w:val="00B8573E"/>
    <w:rsid w:val="00B93996"/>
    <w:rsid w:val="00B972E0"/>
    <w:rsid w:val="00BB24C0"/>
    <w:rsid w:val="00BD6ECF"/>
    <w:rsid w:val="00BE6E0A"/>
    <w:rsid w:val="00C00C14"/>
    <w:rsid w:val="00C131AE"/>
    <w:rsid w:val="00C134B1"/>
    <w:rsid w:val="00C26F2E"/>
    <w:rsid w:val="00C302E3"/>
    <w:rsid w:val="00C438E0"/>
    <w:rsid w:val="00C45376"/>
    <w:rsid w:val="00C46160"/>
    <w:rsid w:val="00C62C62"/>
    <w:rsid w:val="00C641D4"/>
    <w:rsid w:val="00C727B9"/>
    <w:rsid w:val="00C9028F"/>
    <w:rsid w:val="00CA0416"/>
    <w:rsid w:val="00CB1125"/>
    <w:rsid w:val="00CB4C9B"/>
    <w:rsid w:val="00CD042E"/>
    <w:rsid w:val="00CF2560"/>
    <w:rsid w:val="00CF5B46"/>
    <w:rsid w:val="00CF6610"/>
    <w:rsid w:val="00D10242"/>
    <w:rsid w:val="00D37697"/>
    <w:rsid w:val="00D46B68"/>
    <w:rsid w:val="00D542A5"/>
    <w:rsid w:val="00DC3D47"/>
    <w:rsid w:val="00DD2A59"/>
    <w:rsid w:val="00DD77DA"/>
    <w:rsid w:val="00DE7290"/>
    <w:rsid w:val="00E06C61"/>
    <w:rsid w:val="00E07FEC"/>
    <w:rsid w:val="00E13DB3"/>
    <w:rsid w:val="00E21E5F"/>
    <w:rsid w:val="00E2408B"/>
    <w:rsid w:val="00E422D1"/>
    <w:rsid w:val="00E62CEA"/>
    <w:rsid w:val="00E64EC7"/>
    <w:rsid w:val="00E71F25"/>
    <w:rsid w:val="00E72AE1"/>
    <w:rsid w:val="00E742B9"/>
    <w:rsid w:val="00E86B7A"/>
    <w:rsid w:val="00E951F0"/>
    <w:rsid w:val="00EA41D2"/>
    <w:rsid w:val="00EB32D5"/>
    <w:rsid w:val="00EC31FB"/>
    <w:rsid w:val="00ED14D8"/>
    <w:rsid w:val="00ED6A7A"/>
    <w:rsid w:val="00EE4C36"/>
    <w:rsid w:val="00F256B2"/>
    <w:rsid w:val="00F32075"/>
    <w:rsid w:val="00F333CF"/>
    <w:rsid w:val="00F346CE"/>
    <w:rsid w:val="00F34F98"/>
    <w:rsid w:val="00F40540"/>
    <w:rsid w:val="00F6500B"/>
    <w:rsid w:val="00F67402"/>
    <w:rsid w:val="00F766A2"/>
    <w:rsid w:val="00F9451D"/>
    <w:rsid w:val="00FC7A9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BA21217"/>
  <w15:docId w15:val="{603B4A4E-0F1E-488A-9891-0C044D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8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0F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5F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F65FB"/>
    <w:rPr>
      <w:rFonts w:ascii="Calibri" w:hAnsi="Calibri"/>
      <w:lang w:val="en-GB" w:eastAsia="en-US"/>
    </w:rPr>
  </w:style>
  <w:style w:type="paragraph" w:customStyle="1" w:styleId="Rectitle0">
    <w:name w:val="Rec_title"/>
    <w:basedOn w:val="Normal"/>
    <w:next w:val="Normal"/>
    <w:rsid w:val="00A224D8"/>
    <w:pPr>
      <w:keepNext/>
      <w:keepLines/>
      <w:spacing w:before="240"/>
      <w:jc w:val="center"/>
    </w:pPr>
    <w:rPr>
      <w:rFonts w:ascii="Calibri" w:hAnsi="Calibri"/>
      <w:b/>
      <w:sz w:val="28"/>
      <w:lang w:val="en-GB"/>
    </w:rPr>
  </w:style>
  <w:style w:type="paragraph" w:customStyle="1" w:styleId="Headingb0">
    <w:name w:val="Heading_b"/>
    <w:basedOn w:val="Normal"/>
    <w:next w:val="Normal"/>
    <w:qFormat/>
    <w:rsid w:val="00A224D8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224D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846ED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46EDA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1C5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1C2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51F"/>
    <w:rPr>
      <w:rFonts w:asciiTheme="minorHAnsi" w:hAnsiTheme="minorHAns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59451F"/>
    <w:rPr>
      <w:rFonts w:asciiTheme="minorHAnsi" w:hAnsiTheme="minorHAns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5945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451F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C62C62"/>
    <w:rPr>
      <w:rFonts w:asciiTheme="minorHAnsi" w:hAnsiTheme="minorHAnsi"/>
      <w:sz w:val="24"/>
      <w:lang w:val="fr-FR" w:eastAsia="en-US"/>
    </w:rPr>
  </w:style>
  <w:style w:type="paragraph" w:customStyle="1" w:styleId="Annexno">
    <w:name w:val="Annex_no"/>
    <w:basedOn w:val="Annex"/>
    <w:rsid w:val="004522BD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11-R-0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68C7-020E-487D-B693-EEAC990B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</TotalTime>
  <Pages>5</Pages>
  <Words>1230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8443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 Silva, Margaux</dc:creator>
  <dc:description>105F.DOCX  For: _x000d_Document date: _x000d_Saved by ITU51010703 at 16:14:01 on 21/09/2018</dc:description>
  <cp:lastModifiedBy>Jenkins, Lia</cp:lastModifiedBy>
  <cp:revision>6</cp:revision>
  <cp:lastPrinted>2019-12-20T13:44:00Z</cp:lastPrinted>
  <dcterms:created xsi:type="dcterms:W3CDTF">2019-12-20T13:02:00Z</dcterms:created>
  <dcterms:modified xsi:type="dcterms:W3CDTF">2019-12-20T14:20:00Z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