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33DCEBF9" w14:textId="77777777" w:rsidTr="00A529A2">
        <w:trPr>
          <w:trHeight w:val="1276"/>
          <w:jc w:val="center"/>
        </w:trPr>
        <w:tc>
          <w:tcPr>
            <w:tcW w:w="1276" w:type="dxa"/>
            <w:gridSpan w:val="2"/>
            <w:shd w:val="clear" w:color="auto" w:fill="auto"/>
            <w:tcMar>
              <w:left w:w="0" w:type="dxa"/>
              <w:right w:w="0" w:type="dxa"/>
            </w:tcMar>
            <w:vAlign w:val="center"/>
          </w:tcPr>
          <w:p w14:paraId="2B6C18E6" w14:textId="77777777" w:rsidR="00852B82" w:rsidRPr="00D7384A" w:rsidRDefault="00607E07" w:rsidP="002A4977">
            <w:pPr>
              <w:pStyle w:val="Tabletext"/>
              <w:jc w:val="center"/>
            </w:pPr>
            <w:r>
              <w:rPr>
                <w:noProof/>
                <w:lang w:eastAsia="en-GB"/>
              </w:rPr>
              <w:drawing>
                <wp:inline distT="0" distB="0" distL="0" distR="0" wp14:anchorId="10932A84" wp14:editId="78D2B31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040CEA"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4F70534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2337EF1D" w14:textId="77777777" w:rsidR="00852B82" w:rsidRPr="003239C4" w:rsidRDefault="00852B82" w:rsidP="002A4977">
            <w:pPr>
              <w:spacing w:before="0"/>
              <w:jc w:val="right"/>
              <w:rPr>
                <w:rFonts w:ascii="Verdana" w:hAnsi="Verdana"/>
                <w:color w:val="FFFFFF"/>
                <w:sz w:val="26"/>
                <w:szCs w:val="26"/>
              </w:rPr>
            </w:pPr>
          </w:p>
        </w:tc>
      </w:tr>
      <w:tr w:rsidR="00852B82" w:rsidRPr="00D7384A" w14:paraId="15C321BD" w14:textId="77777777" w:rsidTr="001F3BDD">
        <w:trPr>
          <w:trHeight w:val="80"/>
          <w:jc w:val="center"/>
        </w:trPr>
        <w:tc>
          <w:tcPr>
            <w:tcW w:w="4962" w:type="dxa"/>
            <w:gridSpan w:val="3"/>
            <w:vAlign w:val="center"/>
          </w:tcPr>
          <w:p w14:paraId="3D559164" w14:textId="77777777" w:rsidR="00852B82" w:rsidRPr="00D7384A" w:rsidRDefault="00852B82" w:rsidP="001F3BDD">
            <w:pPr>
              <w:pStyle w:val="Tabletext"/>
              <w:spacing w:after="60"/>
              <w:jc w:val="right"/>
            </w:pPr>
          </w:p>
        </w:tc>
        <w:tc>
          <w:tcPr>
            <w:tcW w:w="4819" w:type="dxa"/>
            <w:gridSpan w:val="2"/>
            <w:vAlign w:val="center"/>
          </w:tcPr>
          <w:p w14:paraId="16B76C51" w14:textId="0008AF8F" w:rsidR="00852B82" w:rsidRPr="00D7384A" w:rsidRDefault="00691DAA" w:rsidP="00067FDC">
            <w:pPr>
              <w:pStyle w:val="Tabletext"/>
              <w:spacing w:before="120" w:after="60"/>
            </w:pPr>
            <w:r w:rsidRPr="008F6841">
              <w:t xml:space="preserve">Geneva, </w:t>
            </w:r>
            <w:r w:rsidR="003239C4" w:rsidRPr="008F6841">
              <w:t>6 November 2019</w:t>
            </w:r>
          </w:p>
        </w:tc>
      </w:tr>
      <w:tr w:rsidR="00852B82" w:rsidRPr="00D7384A" w14:paraId="66977FAA" w14:textId="77777777" w:rsidTr="00A529A2">
        <w:trPr>
          <w:trHeight w:val="585"/>
          <w:jc w:val="center"/>
        </w:trPr>
        <w:tc>
          <w:tcPr>
            <w:tcW w:w="1134" w:type="dxa"/>
          </w:tcPr>
          <w:p w14:paraId="79F21FFB" w14:textId="77777777" w:rsidR="00852B82" w:rsidRPr="00D7384A" w:rsidRDefault="00691DAA" w:rsidP="002A4977">
            <w:pPr>
              <w:pStyle w:val="Tabletext"/>
            </w:pPr>
            <w:r w:rsidRPr="00D7384A">
              <w:rPr>
                <w:b/>
              </w:rPr>
              <w:t>Ref:</w:t>
            </w:r>
          </w:p>
        </w:tc>
        <w:tc>
          <w:tcPr>
            <w:tcW w:w="3828" w:type="dxa"/>
            <w:gridSpan w:val="2"/>
          </w:tcPr>
          <w:p w14:paraId="58C1D598" w14:textId="77777777" w:rsidR="00852B82" w:rsidRPr="00D7384A" w:rsidRDefault="00691DAA" w:rsidP="002A4977">
            <w:pPr>
              <w:pStyle w:val="Tabletext"/>
              <w:rPr>
                <w:b/>
                <w:bCs/>
              </w:rPr>
            </w:pPr>
            <w:r w:rsidRPr="00D7384A">
              <w:rPr>
                <w:b/>
                <w:bCs/>
              </w:rPr>
              <w:t xml:space="preserve">TSB Circular </w:t>
            </w:r>
            <w:r w:rsidR="003461CB">
              <w:rPr>
                <w:b/>
                <w:bCs/>
              </w:rPr>
              <w:t>205</w:t>
            </w:r>
          </w:p>
          <w:p w14:paraId="1F2C1A56" w14:textId="5042F833" w:rsidR="00852B82" w:rsidRPr="00D7384A" w:rsidRDefault="00F763C8" w:rsidP="00A529A2">
            <w:pPr>
              <w:pStyle w:val="Tabletext"/>
              <w:spacing w:after="0"/>
            </w:pPr>
            <w:r w:rsidRPr="00D7384A">
              <w:t>SG</w:t>
            </w:r>
            <w:r w:rsidR="00E8536D">
              <w:t>11</w:t>
            </w:r>
            <w:r w:rsidR="00691DAA" w:rsidRPr="00D7384A">
              <w:t>/</w:t>
            </w:r>
            <w:r w:rsidR="00E8536D">
              <w:t>DA</w:t>
            </w:r>
          </w:p>
        </w:tc>
        <w:tc>
          <w:tcPr>
            <w:tcW w:w="4819" w:type="dxa"/>
            <w:gridSpan w:val="2"/>
            <w:vMerge w:val="restart"/>
          </w:tcPr>
          <w:p w14:paraId="79FB2137" w14:textId="77777777" w:rsidR="00852B82" w:rsidRPr="00D7384A" w:rsidRDefault="00691DAA" w:rsidP="002A4977">
            <w:pPr>
              <w:pStyle w:val="Tabletext"/>
            </w:pPr>
            <w:r w:rsidRPr="00D7384A">
              <w:rPr>
                <w:b/>
              </w:rPr>
              <w:t>To:</w:t>
            </w:r>
          </w:p>
          <w:p w14:paraId="3236423A" w14:textId="149B3E84" w:rsidR="00852B82" w:rsidRPr="00D7384A" w:rsidRDefault="00691DAA" w:rsidP="002A4977">
            <w:pPr>
              <w:pStyle w:val="Tabletext"/>
              <w:ind w:left="283" w:hanging="283"/>
            </w:pPr>
            <w:r w:rsidRPr="00D7384A">
              <w:t>-</w:t>
            </w:r>
            <w:r w:rsidRPr="00D7384A">
              <w:tab/>
              <w:t>Administrations of Member States of</w:t>
            </w:r>
            <w:r w:rsidR="003239C4">
              <w:br/>
            </w:r>
            <w:r w:rsidRPr="00D7384A">
              <w:t>the Union</w:t>
            </w:r>
          </w:p>
        </w:tc>
      </w:tr>
      <w:tr w:rsidR="00852B82" w:rsidRPr="00D7384A" w14:paraId="7226AC17" w14:textId="77777777" w:rsidTr="001F3BDD">
        <w:trPr>
          <w:trHeight w:val="221"/>
          <w:jc w:val="center"/>
        </w:trPr>
        <w:tc>
          <w:tcPr>
            <w:tcW w:w="1134" w:type="dxa"/>
          </w:tcPr>
          <w:p w14:paraId="5D09795E" w14:textId="77777777" w:rsidR="00852B82" w:rsidRPr="00D7384A" w:rsidRDefault="00691DAA" w:rsidP="008F6841">
            <w:pPr>
              <w:pStyle w:val="Tabletext"/>
              <w:spacing w:before="20" w:after="20"/>
            </w:pPr>
            <w:r w:rsidRPr="00D7384A">
              <w:rPr>
                <w:b/>
              </w:rPr>
              <w:t>Tel:</w:t>
            </w:r>
          </w:p>
        </w:tc>
        <w:tc>
          <w:tcPr>
            <w:tcW w:w="3828" w:type="dxa"/>
            <w:gridSpan w:val="2"/>
          </w:tcPr>
          <w:p w14:paraId="4F81F878" w14:textId="05E49010" w:rsidR="00852B82" w:rsidRPr="00D7384A" w:rsidRDefault="00691DAA" w:rsidP="008F6841">
            <w:pPr>
              <w:pStyle w:val="Tabletext"/>
              <w:spacing w:before="20" w:after="20"/>
              <w:rPr>
                <w:b/>
              </w:rPr>
            </w:pPr>
            <w:r w:rsidRPr="00D7384A">
              <w:t xml:space="preserve">+41 22 730 </w:t>
            </w:r>
            <w:r w:rsidR="00E8536D">
              <w:t>5780</w:t>
            </w:r>
          </w:p>
        </w:tc>
        <w:tc>
          <w:tcPr>
            <w:tcW w:w="4819" w:type="dxa"/>
            <w:gridSpan w:val="2"/>
            <w:vMerge/>
          </w:tcPr>
          <w:p w14:paraId="4825EDF5" w14:textId="77777777" w:rsidR="00852B82" w:rsidRPr="00D7384A" w:rsidRDefault="00852B82" w:rsidP="002A4977">
            <w:pPr>
              <w:pStyle w:val="Tabletext"/>
              <w:ind w:left="142" w:hanging="142"/>
            </w:pPr>
          </w:p>
        </w:tc>
      </w:tr>
      <w:tr w:rsidR="00852B82" w:rsidRPr="00D7384A" w14:paraId="0E141D1D" w14:textId="77777777" w:rsidTr="001F3BDD">
        <w:trPr>
          <w:trHeight w:val="282"/>
          <w:jc w:val="center"/>
        </w:trPr>
        <w:tc>
          <w:tcPr>
            <w:tcW w:w="1134" w:type="dxa"/>
          </w:tcPr>
          <w:p w14:paraId="50A4D143" w14:textId="77777777" w:rsidR="00852B82" w:rsidRPr="00D7384A" w:rsidRDefault="00691DAA" w:rsidP="008F6841">
            <w:pPr>
              <w:pStyle w:val="Tabletext"/>
              <w:spacing w:before="20" w:after="20"/>
            </w:pPr>
            <w:r w:rsidRPr="00D7384A">
              <w:rPr>
                <w:b/>
              </w:rPr>
              <w:t>Fax:</w:t>
            </w:r>
          </w:p>
        </w:tc>
        <w:tc>
          <w:tcPr>
            <w:tcW w:w="3828" w:type="dxa"/>
            <w:gridSpan w:val="2"/>
          </w:tcPr>
          <w:p w14:paraId="5DFCC830" w14:textId="77777777" w:rsidR="00852B82" w:rsidRPr="00D7384A" w:rsidRDefault="00691DAA" w:rsidP="008F6841">
            <w:pPr>
              <w:pStyle w:val="Tabletext"/>
              <w:spacing w:before="20" w:after="20"/>
              <w:rPr>
                <w:b/>
              </w:rPr>
            </w:pPr>
            <w:r w:rsidRPr="00D7384A">
              <w:t>+41 22 730 5853</w:t>
            </w:r>
          </w:p>
        </w:tc>
        <w:tc>
          <w:tcPr>
            <w:tcW w:w="4819" w:type="dxa"/>
            <w:gridSpan w:val="2"/>
            <w:vMerge/>
          </w:tcPr>
          <w:p w14:paraId="4598B2E7" w14:textId="77777777" w:rsidR="00852B82" w:rsidRPr="00D7384A" w:rsidRDefault="00852B82" w:rsidP="002A4977">
            <w:pPr>
              <w:pStyle w:val="Tabletext"/>
              <w:ind w:left="142" w:hanging="142"/>
            </w:pPr>
          </w:p>
        </w:tc>
      </w:tr>
      <w:tr w:rsidR="00852B82" w:rsidRPr="00D7384A" w14:paraId="421CBDAD" w14:textId="77777777" w:rsidTr="00A529A2">
        <w:trPr>
          <w:trHeight w:val="3100"/>
          <w:jc w:val="center"/>
        </w:trPr>
        <w:tc>
          <w:tcPr>
            <w:tcW w:w="1134" w:type="dxa"/>
          </w:tcPr>
          <w:p w14:paraId="34ADA92B" w14:textId="71C721E2" w:rsidR="00852B82" w:rsidRPr="00D7384A" w:rsidRDefault="00691DAA" w:rsidP="008F6841">
            <w:pPr>
              <w:pStyle w:val="Tabletext"/>
              <w:spacing w:before="20" w:after="20"/>
            </w:pPr>
            <w:r w:rsidRPr="00D7384A">
              <w:rPr>
                <w:b/>
              </w:rPr>
              <w:t>E-mail:</w:t>
            </w:r>
          </w:p>
        </w:tc>
        <w:tc>
          <w:tcPr>
            <w:tcW w:w="3828" w:type="dxa"/>
            <w:gridSpan w:val="2"/>
          </w:tcPr>
          <w:p w14:paraId="053FA2FA" w14:textId="274E7660" w:rsidR="00852B82" w:rsidRPr="00D7384A" w:rsidRDefault="004C7866" w:rsidP="008F6841">
            <w:pPr>
              <w:pStyle w:val="Tabletext"/>
              <w:spacing w:before="20" w:after="20"/>
            </w:pPr>
            <w:hyperlink r:id="rId8" w:history="1">
              <w:r w:rsidR="00E8536D" w:rsidRPr="00E8536D">
                <w:rPr>
                  <w:rStyle w:val="Hyperlink"/>
                </w:rPr>
                <w:t>t</w:t>
              </w:r>
              <w:r w:rsidR="007A0105" w:rsidRPr="00E8536D">
                <w:rPr>
                  <w:rStyle w:val="Hyperlink"/>
                </w:rPr>
                <w:t>sbsg</w:t>
              </w:r>
              <w:r w:rsidR="00E8536D" w:rsidRPr="00E8536D">
                <w:rPr>
                  <w:rStyle w:val="Hyperlink"/>
                </w:rPr>
                <w:t>11</w:t>
              </w:r>
              <w:r w:rsidR="007A0105" w:rsidRPr="00E8536D">
                <w:rPr>
                  <w:rStyle w:val="Hyperlink"/>
                </w:rPr>
                <w:t>@itu.int</w:t>
              </w:r>
            </w:hyperlink>
          </w:p>
        </w:tc>
        <w:tc>
          <w:tcPr>
            <w:tcW w:w="4819" w:type="dxa"/>
            <w:gridSpan w:val="2"/>
          </w:tcPr>
          <w:p w14:paraId="755C07D1" w14:textId="77777777" w:rsidR="00852B82" w:rsidRPr="00D7384A" w:rsidRDefault="00691DAA" w:rsidP="002A4977">
            <w:pPr>
              <w:pStyle w:val="Tabletext"/>
            </w:pPr>
            <w:r w:rsidRPr="00D7384A">
              <w:rPr>
                <w:b/>
              </w:rPr>
              <w:t>Copy to:</w:t>
            </w:r>
          </w:p>
          <w:p w14:paraId="66A4C333" w14:textId="77777777" w:rsidR="0072062B" w:rsidRPr="00D7384A" w:rsidRDefault="00691DAA" w:rsidP="001F3BDD">
            <w:pPr>
              <w:pStyle w:val="Tabletext"/>
              <w:ind w:left="283" w:hanging="283"/>
            </w:pPr>
            <w:r w:rsidRPr="00D7384A">
              <w:t>-</w:t>
            </w:r>
            <w:r w:rsidRPr="00D7384A">
              <w:tab/>
              <w:t>ITU-T Sector Members</w:t>
            </w:r>
            <w:r w:rsidR="0072062B" w:rsidRPr="00D7384A">
              <w:t>;</w:t>
            </w:r>
          </w:p>
          <w:p w14:paraId="59E1797B" w14:textId="77777777"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E8536D">
              <w:t>11</w:t>
            </w:r>
            <w:r w:rsidR="001F3BDD" w:rsidRPr="00D7384A">
              <w:t xml:space="preserve">; </w:t>
            </w:r>
          </w:p>
          <w:p w14:paraId="39FE4A7C" w14:textId="77777777" w:rsidR="00852B82" w:rsidRPr="00D7384A" w:rsidRDefault="001F3BDD" w:rsidP="001F3BDD">
            <w:pPr>
              <w:pStyle w:val="Tabletext"/>
              <w:ind w:left="283" w:hanging="283"/>
            </w:pPr>
            <w:r w:rsidRPr="00D7384A">
              <w:t>-</w:t>
            </w:r>
            <w:r w:rsidRPr="00D7384A">
              <w:tab/>
              <w:t xml:space="preserve">ITU </w:t>
            </w:r>
            <w:r w:rsidR="00691DAA" w:rsidRPr="00D7384A">
              <w:t>Academia;</w:t>
            </w:r>
          </w:p>
          <w:p w14:paraId="6B7C58FA" w14:textId="77777777" w:rsidR="00852B82" w:rsidRPr="00D7384A" w:rsidRDefault="00691DAA" w:rsidP="002A4977">
            <w:pPr>
              <w:pStyle w:val="Tabletext"/>
              <w:ind w:left="283" w:hanging="283"/>
            </w:pPr>
            <w:r w:rsidRPr="00D7384A">
              <w:t>-</w:t>
            </w:r>
            <w:r w:rsidRPr="00D7384A">
              <w:tab/>
              <w:t xml:space="preserve">The Chairman and Vice-Chairmen of ITU-T Study Group </w:t>
            </w:r>
            <w:r w:rsidR="00E8536D">
              <w:t>11</w:t>
            </w:r>
            <w:r w:rsidRPr="00D7384A">
              <w:t>;</w:t>
            </w:r>
          </w:p>
          <w:p w14:paraId="1C6E582C" w14:textId="77777777" w:rsidR="00852B82" w:rsidRPr="00D7384A" w:rsidRDefault="00691DAA" w:rsidP="002A4977">
            <w:pPr>
              <w:pStyle w:val="Tabletext"/>
              <w:ind w:left="283" w:hanging="283"/>
            </w:pPr>
            <w:r w:rsidRPr="00D7384A">
              <w:t>-</w:t>
            </w:r>
            <w:r w:rsidRPr="00D7384A">
              <w:tab/>
              <w:t>The Director of the Telecommunication Development Bureau;</w:t>
            </w:r>
          </w:p>
          <w:p w14:paraId="50395272" w14:textId="77777777" w:rsidR="00852B82" w:rsidRPr="00D7384A" w:rsidRDefault="00691DAA" w:rsidP="002A4977">
            <w:pPr>
              <w:pStyle w:val="Tabletext"/>
              <w:ind w:left="283" w:hanging="283"/>
            </w:pPr>
            <w:r w:rsidRPr="00D7384A">
              <w:t>-</w:t>
            </w:r>
            <w:r w:rsidRPr="00D7384A">
              <w:tab/>
              <w:t>The Director of the Radiocommunication Bureau</w:t>
            </w:r>
          </w:p>
        </w:tc>
      </w:tr>
      <w:tr w:rsidR="00852B82" w:rsidRPr="00D7384A" w14:paraId="10A11DD6" w14:textId="77777777" w:rsidTr="004B50B2">
        <w:trPr>
          <w:trHeight w:val="618"/>
          <w:jc w:val="center"/>
        </w:trPr>
        <w:tc>
          <w:tcPr>
            <w:tcW w:w="1134" w:type="dxa"/>
          </w:tcPr>
          <w:p w14:paraId="63A55CA7" w14:textId="6BAE42EB" w:rsidR="00852B82" w:rsidRPr="00D7384A" w:rsidRDefault="00691DAA" w:rsidP="008F6841">
            <w:pPr>
              <w:pStyle w:val="Tabletext"/>
              <w:spacing w:before="200"/>
            </w:pPr>
            <w:r w:rsidRPr="00D7384A">
              <w:rPr>
                <w:b/>
              </w:rPr>
              <w:t>Subject:</w:t>
            </w:r>
          </w:p>
        </w:tc>
        <w:tc>
          <w:tcPr>
            <w:tcW w:w="8647" w:type="dxa"/>
            <w:gridSpan w:val="4"/>
          </w:tcPr>
          <w:p w14:paraId="59E06575" w14:textId="4010541E" w:rsidR="00852B82" w:rsidRPr="00D7384A" w:rsidRDefault="0072062B" w:rsidP="008F6841">
            <w:pPr>
              <w:pStyle w:val="Tabletext"/>
              <w:spacing w:before="200"/>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draft</w:t>
            </w:r>
            <w:r w:rsidR="008B5032">
              <w:rPr>
                <w:b/>
              </w:rPr>
              <w:t xml:space="preserve"> new Recommendation</w:t>
            </w:r>
            <w:r w:rsidR="00D62CEF" w:rsidRPr="00D7384A">
              <w:rPr>
                <w:b/>
              </w:rPr>
              <w:t xml:space="preserve"> </w:t>
            </w:r>
            <w:r w:rsidR="00860AE1" w:rsidRPr="00D7384A">
              <w:rPr>
                <w:b/>
              </w:rPr>
              <w:t>ITU</w:t>
            </w:r>
            <w:r w:rsidR="00F44DD3">
              <w:rPr>
                <w:b/>
              </w:rPr>
              <w:noBreakHyphen/>
            </w:r>
            <w:r w:rsidR="00860AE1" w:rsidRPr="00D7384A">
              <w:rPr>
                <w:b/>
              </w:rPr>
              <w:t>T</w:t>
            </w:r>
            <w:r w:rsidR="00F44DD3">
              <w:rPr>
                <w:b/>
              </w:rPr>
              <w:t> </w:t>
            </w:r>
            <w:r w:rsidR="00E8536D">
              <w:rPr>
                <w:b/>
              </w:rPr>
              <w:t>Q.5051</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w:t>
            </w:r>
            <w:r w:rsidR="00E8536D">
              <w:rPr>
                <w:b/>
              </w:rPr>
              <w:t xml:space="preserve"> 11</w:t>
            </w:r>
            <w:r w:rsidR="00C007D7" w:rsidRPr="00D7384A">
              <w:rPr>
                <w:b/>
              </w:rPr>
              <w:t>,</w:t>
            </w:r>
            <w:r w:rsidR="00E8536D">
              <w:rPr>
                <w:b/>
              </w:rPr>
              <w:t xml:space="preserve"> Geneva</w:t>
            </w:r>
            <w:r w:rsidR="00C007D7" w:rsidRPr="00D7384A">
              <w:rPr>
                <w:b/>
              </w:rPr>
              <w:t xml:space="preserve">, </w:t>
            </w:r>
            <w:r w:rsidR="00E8536D">
              <w:rPr>
                <w:b/>
              </w:rPr>
              <w:t>4</w:t>
            </w:r>
            <w:r w:rsidR="006B170F">
              <w:rPr>
                <w:b/>
              </w:rPr>
              <w:noBreakHyphen/>
            </w:r>
            <w:r w:rsidR="00E8536D">
              <w:rPr>
                <w:b/>
              </w:rPr>
              <w:t>13 March 2020</w:t>
            </w:r>
          </w:p>
        </w:tc>
      </w:tr>
    </w:tbl>
    <w:p w14:paraId="1002568A" w14:textId="12A857DD" w:rsidR="00852B82" w:rsidRPr="00D7384A" w:rsidRDefault="00691DAA" w:rsidP="008F6841">
      <w:pPr>
        <w:spacing w:before="240"/>
      </w:pPr>
      <w:r w:rsidRPr="00D7384A">
        <w:t>Dear Sir/Madam,</w:t>
      </w:r>
    </w:p>
    <w:p w14:paraId="44BE9DA9" w14:textId="475E7F9B" w:rsidR="00E32F10" w:rsidRPr="00D7384A" w:rsidRDefault="00691DAA" w:rsidP="00733B5C">
      <w:pPr>
        <w:rPr>
          <w:szCs w:val="22"/>
        </w:rPr>
      </w:pPr>
      <w:bookmarkStart w:id="0" w:name="_GoBack"/>
      <w:bookmarkEnd w:id="0"/>
      <w:r w:rsidRPr="00D7384A">
        <w:rPr>
          <w:bCs/>
          <w:szCs w:val="22"/>
        </w:rPr>
        <w:t>1</w:t>
      </w:r>
      <w:r w:rsidRPr="00D7384A">
        <w:rPr>
          <w:szCs w:val="22"/>
        </w:rPr>
        <w:tab/>
      </w:r>
      <w:r w:rsidR="00C007D7" w:rsidRPr="00D7384A">
        <w:rPr>
          <w:szCs w:val="22"/>
        </w:rPr>
        <w:t xml:space="preserve">ITU-T </w:t>
      </w:r>
      <w:r w:rsidR="00C007D7" w:rsidRPr="00D7384A">
        <w:t>Study Group</w:t>
      </w:r>
      <w:r w:rsidR="00E8536D">
        <w:t xml:space="preserve"> 11</w:t>
      </w:r>
      <w:r w:rsidR="00C007D7" w:rsidRPr="00D7384A">
        <w:t xml:space="preserve"> (</w:t>
      </w:r>
      <w:r w:rsidR="00E8536D" w:rsidRPr="00E8536D">
        <w:t>Signalling requirements, protocols, test specifications and combating counterfeit products</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r w:rsidRPr="00D7384A">
        <w:rPr>
          <w:szCs w:val="22"/>
        </w:rPr>
        <w:t>Hamma</w:t>
      </w:r>
      <w:r w:rsidR="00964A6B" w:rsidRPr="00D7384A">
        <w:rPr>
          <w:szCs w:val="22"/>
        </w:rPr>
        <w:t>m</w:t>
      </w:r>
      <w:r w:rsidRPr="00D7384A">
        <w:rPr>
          <w:szCs w:val="22"/>
        </w:rPr>
        <w:t xml:space="preserve">et, 2016) for the approval of the above-mentioned draft </w:t>
      </w:r>
      <w:r w:rsidRPr="00E8536D">
        <w:rPr>
          <w:szCs w:val="22"/>
        </w:rPr>
        <w:t>Recommendation</w:t>
      </w:r>
      <w:r w:rsidR="00C007D7" w:rsidRPr="00E8536D">
        <w:rPr>
          <w:szCs w:val="22"/>
        </w:rPr>
        <w:t xml:space="preserve"> a</w:t>
      </w:r>
      <w:r w:rsidR="00C007D7" w:rsidRPr="00D7384A">
        <w:rPr>
          <w:szCs w:val="22"/>
        </w:rPr>
        <w:t xml:space="preserve">t its next meeting in </w:t>
      </w:r>
      <w:r w:rsidR="00E8536D">
        <w:rPr>
          <w:szCs w:val="22"/>
        </w:rPr>
        <w:t>Geneva</w:t>
      </w:r>
      <w:r w:rsidR="00964A6B" w:rsidRPr="00D7384A">
        <w:t xml:space="preserve">, </w:t>
      </w:r>
      <w:r w:rsidR="00ED2F32">
        <w:t>4-13 March 2020</w:t>
      </w:r>
      <w:r w:rsidR="00733B5C">
        <w:t xml:space="preserve">. </w:t>
      </w:r>
      <w:r w:rsidR="00733B5C" w:rsidRPr="00733B5C">
        <w:t>The agenda and all relevant information concerning the ITU-T Study Group</w:t>
      </w:r>
      <w:r w:rsidR="00ED2F32">
        <w:t xml:space="preserve"> 11</w:t>
      </w:r>
      <w:r w:rsidR="00733B5C" w:rsidRPr="00733B5C">
        <w:t xml:space="preserve"> meeting will be available </w:t>
      </w:r>
      <w:r w:rsidR="00733B5C" w:rsidRPr="00A00023">
        <w:t xml:space="preserve">in Collective letter </w:t>
      </w:r>
      <w:r w:rsidR="00ED2F32" w:rsidRPr="00A00023">
        <w:t>9</w:t>
      </w:r>
      <w:r w:rsidR="00733B5C" w:rsidRPr="00A00023">
        <w:t>/</w:t>
      </w:r>
      <w:r w:rsidR="00ED2F32" w:rsidRPr="00A00023">
        <w:t>11</w:t>
      </w:r>
      <w:r w:rsidR="00733B5C" w:rsidRPr="00A00023">
        <w:t>.</w:t>
      </w:r>
    </w:p>
    <w:p w14:paraId="5FB338B4" w14:textId="13613783" w:rsidR="007C7DA8" w:rsidRPr="00D7384A" w:rsidRDefault="007C7DA8" w:rsidP="00C51F4B">
      <w:pPr>
        <w:rPr>
          <w:szCs w:val="22"/>
        </w:rPr>
      </w:pPr>
      <w:r w:rsidRPr="00ED2F32">
        <w:rPr>
          <w:bCs/>
          <w:szCs w:val="22"/>
        </w:rPr>
        <w:t>2</w:t>
      </w:r>
      <w:r w:rsidRPr="00ED2F32">
        <w:rPr>
          <w:szCs w:val="22"/>
        </w:rPr>
        <w:tab/>
        <w:t>The title, summar</w:t>
      </w:r>
      <w:r w:rsidR="009974BE">
        <w:rPr>
          <w:szCs w:val="22"/>
        </w:rPr>
        <w:t>y</w:t>
      </w:r>
      <w:r w:rsidRPr="00ED2F32">
        <w:rPr>
          <w:szCs w:val="22"/>
        </w:rPr>
        <w:t xml:space="preserve"> and location of the draft ITU-T Recommendation</w:t>
      </w:r>
      <w:r w:rsidRPr="00D7384A">
        <w:rPr>
          <w:szCs w:val="22"/>
        </w:rPr>
        <w:t xml:space="preserve"> proposed for approval </w:t>
      </w:r>
      <w:r w:rsidR="00C51F4B" w:rsidRPr="00D7384A">
        <w:rPr>
          <w:szCs w:val="22"/>
        </w:rPr>
        <w:t>can</w:t>
      </w:r>
      <w:r w:rsidRPr="00D7384A">
        <w:rPr>
          <w:szCs w:val="22"/>
        </w:rPr>
        <w:t xml:space="preserve"> be found in </w:t>
      </w:r>
      <w:r w:rsidRPr="00F44DD3">
        <w:rPr>
          <w:b/>
          <w:szCs w:val="22"/>
        </w:rPr>
        <w:t>Annex 1</w:t>
      </w:r>
      <w:r w:rsidRPr="00D7384A">
        <w:rPr>
          <w:szCs w:val="22"/>
        </w:rPr>
        <w:t>.</w:t>
      </w:r>
    </w:p>
    <w:p w14:paraId="79934933" w14:textId="48D8EC40" w:rsidR="00A43CA0" w:rsidRDefault="007C7DA8" w:rsidP="0072062B">
      <w:r w:rsidRPr="00ED2F32">
        <w:rPr>
          <w:bCs/>
          <w:szCs w:val="22"/>
        </w:rPr>
        <w:t>3</w:t>
      </w:r>
      <w:r w:rsidR="00691DAA" w:rsidRPr="00ED2F32">
        <w:rPr>
          <w:szCs w:val="22"/>
        </w:rPr>
        <w:tab/>
      </w:r>
      <w:r w:rsidR="00E54801" w:rsidRPr="00ED2F32">
        <w:rPr>
          <w:szCs w:val="22"/>
        </w:rPr>
        <w:t xml:space="preserve">This Circular </w:t>
      </w:r>
      <w:r w:rsidR="00860AE1" w:rsidRPr="00ED2F32">
        <w:rPr>
          <w:szCs w:val="22"/>
        </w:rPr>
        <w:t xml:space="preserve">initiates </w:t>
      </w:r>
      <w:r w:rsidR="00E54801" w:rsidRPr="00ED2F32">
        <w:rPr>
          <w:szCs w:val="22"/>
        </w:rPr>
        <w:t xml:space="preserve">the formal consultation </w:t>
      </w:r>
      <w:r w:rsidR="00860AE1" w:rsidRPr="00ED2F32">
        <w:rPr>
          <w:szCs w:val="22"/>
        </w:rPr>
        <w:t xml:space="preserve">with </w:t>
      </w:r>
      <w:r w:rsidR="00E54801" w:rsidRPr="00ED2F32">
        <w:rPr>
          <w:szCs w:val="22"/>
        </w:rPr>
        <w:t xml:space="preserve">ITU Member States on whether </w:t>
      </w:r>
      <w:r w:rsidR="00860AE1" w:rsidRPr="00ED2F32">
        <w:rPr>
          <w:szCs w:val="22"/>
        </w:rPr>
        <w:t>th</w:t>
      </w:r>
      <w:r w:rsidR="00ED2F32" w:rsidRPr="00ED2F32">
        <w:rPr>
          <w:szCs w:val="22"/>
        </w:rPr>
        <w:t>is</w:t>
      </w:r>
      <w:r w:rsidR="00860AE1" w:rsidRPr="00ED2F32">
        <w:rPr>
          <w:szCs w:val="22"/>
        </w:rPr>
        <w:t xml:space="preserve"> text</w:t>
      </w:r>
      <w:r w:rsidR="00860AE1" w:rsidRPr="00D7384A">
        <w:rPr>
          <w:szCs w:val="22"/>
        </w:rPr>
        <w:t xml:space="preserve"> may </w:t>
      </w:r>
      <w:r w:rsidR="00E54801" w:rsidRPr="00D7384A">
        <w:rPr>
          <w:szCs w:val="22"/>
        </w:rPr>
        <w:t xml:space="preserve">be considered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w:t>
      </w:r>
      <w:r w:rsidR="0040522B" w:rsidRPr="00D7384A">
        <w:rPr>
          <w:szCs w:val="22"/>
        </w:rPr>
        <w:t>WTSA Resolution 1 (Rev. Hammamet, 2016)</w:t>
      </w:r>
      <w:r w:rsidR="00E54801" w:rsidRPr="00D7384A">
        <w:rPr>
          <w:szCs w:val="22"/>
        </w:rPr>
        <w:t xml:space="preserve">. Member </w:t>
      </w:r>
      <w:r w:rsidR="00860AE1" w:rsidRPr="00D7384A">
        <w:rPr>
          <w:szCs w:val="22"/>
        </w:rPr>
        <w:t xml:space="preserve">States </w:t>
      </w:r>
      <w:r w:rsidR="00E54801" w:rsidRPr="00D7384A">
        <w:rPr>
          <w:szCs w:val="22"/>
        </w:rPr>
        <w:t>are kindly request</w:t>
      </w:r>
      <w:r w:rsidR="00860AE1" w:rsidRPr="00D7384A">
        <w:rPr>
          <w:szCs w:val="22"/>
        </w:rPr>
        <w:t>ed</w:t>
      </w:r>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F44DD3">
        <w:rPr>
          <w:b/>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on </w:t>
      </w:r>
      <w:r w:rsidR="00ED2F32" w:rsidRPr="00F44DD3">
        <w:rPr>
          <w:b/>
          <w:szCs w:val="22"/>
        </w:rPr>
        <w:t>21 February 2020</w:t>
      </w:r>
      <w:r w:rsidR="00E32F10" w:rsidRPr="00D7384A">
        <w:t>.</w:t>
      </w:r>
    </w:p>
    <w:p w14:paraId="226C1461" w14:textId="39ADBD63" w:rsidR="00D92917" w:rsidRPr="00D7384A" w:rsidRDefault="006A2FAB" w:rsidP="003E07CD">
      <w:pPr>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2756819D" w14:textId="2596FD18" w:rsidR="00852B82" w:rsidRPr="00D7384A" w:rsidRDefault="003776F8" w:rsidP="008F6841">
      <w:r>
        <w:rPr>
          <w:noProof/>
        </w:rPr>
        <w:drawing>
          <wp:anchor distT="0" distB="0" distL="114300" distR="114300" simplePos="0" relativeHeight="251659264" behindDoc="1" locked="0" layoutInCell="1" allowOverlap="1" wp14:anchorId="6A1F3187" wp14:editId="2C785A6F">
            <wp:simplePos x="0" y="0"/>
            <wp:positionH relativeFrom="margin">
              <wp:align>left</wp:align>
            </wp:positionH>
            <wp:positionV relativeFrom="paragraph">
              <wp:posOffset>242842</wp:posOffset>
            </wp:positionV>
            <wp:extent cx="870857" cy="36786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9">
                      <a:extLst>
                        <a:ext uri="{28A0092B-C50C-407E-A947-70E740481C1C}">
                          <a14:useLocalDpi xmlns:a14="http://schemas.microsoft.com/office/drawing/2010/main" val="0"/>
                        </a:ext>
                      </a:extLst>
                    </a:blip>
                    <a:stretch>
                      <a:fillRect/>
                    </a:stretch>
                  </pic:blipFill>
                  <pic:spPr>
                    <a:xfrm>
                      <a:off x="0" y="0"/>
                      <a:ext cx="870857" cy="367862"/>
                    </a:xfrm>
                    <a:prstGeom prst="rect">
                      <a:avLst/>
                    </a:prstGeom>
                  </pic:spPr>
                </pic:pic>
              </a:graphicData>
            </a:graphic>
            <wp14:sizeRelH relativeFrom="margin">
              <wp14:pctWidth>0</wp14:pctWidth>
            </wp14:sizeRelH>
            <wp14:sizeRelV relativeFrom="margin">
              <wp14:pctHeight>0</wp14:pctHeight>
            </wp14:sizeRelV>
          </wp:anchor>
        </w:drawing>
      </w:r>
      <w:r w:rsidR="00691DAA" w:rsidRPr="00D7384A">
        <w:t>Yours faithfully,</w:t>
      </w:r>
    </w:p>
    <w:p w14:paraId="3CB73C9A" w14:textId="4F2A51F5" w:rsidR="00852B82" w:rsidRPr="00D7384A" w:rsidRDefault="00852B82"/>
    <w:p w14:paraId="5C9CAE3E" w14:textId="77777777" w:rsidR="00852B82" w:rsidRPr="00D7384A" w:rsidRDefault="00691DAA">
      <w:r w:rsidRPr="00D7384A">
        <w:t>Chaesub Lee</w:t>
      </w:r>
      <w:r w:rsidRPr="00D7384A">
        <w:br/>
        <w:t>Director of the Telecommunication</w:t>
      </w:r>
      <w:r w:rsidRPr="00D7384A">
        <w:br/>
        <w:t>Standardization Bureau</w:t>
      </w:r>
    </w:p>
    <w:p w14:paraId="01D5799D" w14:textId="77777777" w:rsidR="00852B82" w:rsidRPr="00D7384A" w:rsidRDefault="00691DAA" w:rsidP="00067FDC">
      <w:r w:rsidRPr="00D7384A">
        <w:rPr>
          <w:b/>
        </w:rPr>
        <w:t>Annex</w:t>
      </w:r>
      <w:r w:rsidR="00F96117" w:rsidRPr="00D7384A">
        <w:rPr>
          <w:b/>
        </w:rPr>
        <w:t>es</w:t>
      </w:r>
      <w:r w:rsidRPr="00D7384A">
        <w:rPr>
          <w:b/>
        </w:rPr>
        <w:t xml:space="preserve">: </w:t>
      </w:r>
      <w:r w:rsidR="00F96117" w:rsidRPr="00D7384A">
        <w:rPr>
          <w:b/>
        </w:rPr>
        <w:t>2</w:t>
      </w:r>
      <w:r w:rsidRPr="00D7384A">
        <w:br w:type="page"/>
      </w:r>
    </w:p>
    <w:p w14:paraId="75A71D86" w14:textId="77777777" w:rsidR="00852B82" w:rsidRPr="00D7384A" w:rsidRDefault="00C13D40" w:rsidP="007C7DA8">
      <w:pPr>
        <w:pStyle w:val="Annextitle"/>
      </w:pPr>
      <w:r>
        <w:lastRenderedPageBreak/>
        <w:t>Annex 1</w:t>
      </w:r>
    </w:p>
    <w:p w14:paraId="2724A54E" w14:textId="2E620FFD" w:rsidR="00852B82" w:rsidRPr="00D7384A" w:rsidRDefault="008F0456">
      <w:pPr>
        <w:pStyle w:val="Annextitle"/>
      </w:pPr>
      <w:r>
        <w:t>Title, s</w:t>
      </w:r>
      <w:r w:rsidR="00691DAA" w:rsidRPr="00D7384A">
        <w:t>ummary and location</w:t>
      </w:r>
      <w:r w:rsidR="0006765F" w:rsidRPr="00D7384A">
        <w:t xml:space="preserve"> of Determined draft </w:t>
      </w:r>
      <w:r w:rsidR="0006765F" w:rsidRPr="003D7199">
        <w:t>text</w:t>
      </w:r>
    </w:p>
    <w:p w14:paraId="43E6630C" w14:textId="29006E4A" w:rsidR="00852B82" w:rsidRPr="00FC2E76" w:rsidRDefault="007C7DA8" w:rsidP="007C7DA8">
      <w:pPr>
        <w:pStyle w:val="Heading1"/>
        <w:rPr>
          <w:lang w:val="fr-CH"/>
        </w:rPr>
      </w:pPr>
      <w:r w:rsidRPr="00FC2E76">
        <w:rPr>
          <w:lang w:val="fr-CH"/>
        </w:rPr>
        <w:t>1</w:t>
      </w:r>
      <w:r w:rsidRPr="00FC2E76">
        <w:rPr>
          <w:lang w:val="fr-CH"/>
        </w:rPr>
        <w:tab/>
        <w:t xml:space="preserve">Draft </w:t>
      </w:r>
      <w:r w:rsidR="002A4977" w:rsidRPr="00FC2E76">
        <w:rPr>
          <w:lang w:val="fr-CH"/>
        </w:rPr>
        <w:t>new</w:t>
      </w:r>
      <w:r w:rsidR="00FC2E76" w:rsidRPr="00FC2E76">
        <w:rPr>
          <w:lang w:val="fr-CH"/>
        </w:rPr>
        <w:t xml:space="preserve"> Recommendation</w:t>
      </w:r>
      <w:r w:rsidR="002A4977" w:rsidRPr="00FC2E76">
        <w:rPr>
          <w:lang w:val="fr-CH"/>
        </w:rPr>
        <w:t xml:space="preserve"> </w:t>
      </w:r>
      <w:r w:rsidR="003D7199" w:rsidRPr="00FC2E76">
        <w:rPr>
          <w:lang w:val="fr-CH"/>
        </w:rPr>
        <w:t>ITU-T Q.5051</w:t>
      </w:r>
      <w:r w:rsidR="00FC2E76" w:rsidRPr="00FC2E76">
        <w:rPr>
          <w:lang w:val="fr-CH"/>
        </w:rPr>
        <w:t xml:space="preserve"> (ex </w:t>
      </w:r>
      <w:r w:rsidR="00D60DD9" w:rsidRPr="00D60DD9">
        <w:rPr>
          <w:lang w:val="fr-CH"/>
        </w:rPr>
        <w:t>Q.FW_CSM</w:t>
      </w:r>
      <w:r w:rsidR="00FC2E76" w:rsidRPr="00FC2E76">
        <w:rPr>
          <w:lang w:val="fr-CH"/>
        </w:rPr>
        <w:t>)</w:t>
      </w:r>
      <w:r w:rsidR="00087690" w:rsidRPr="00FC2E76">
        <w:rPr>
          <w:lang w:val="fr-CH"/>
        </w:rPr>
        <w:t xml:space="preserve"> [</w:t>
      </w:r>
      <w:hyperlink r:id="rId10" w:history="1">
        <w:r w:rsidR="00FC2E76">
          <w:rPr>
            <w:rStyle w:val="Hyperlink"/>
            <w:lang w:val="fr-CH"/>
          </w:rPr>
          <w:t>SG11-R</w:t>
        </w:r>
        <w:r w:rsidR="003D7199" w:rsidRPr="00FC2E76">
          <w:rPr>
            <w:rStyle w:val="Hyperlink"/>
            <w:lang w:val="fr-CH"/>
          </w:rPr>
          <w:t>25</w:t>
        </w:r>
      </w:hyperlink>
      <w:r w:rsidR="00087690" w:rsidRPr="00FC2E76">
        <w:rPr>
          <w:lang w:val="fr-CH"/>
        </w:rPr>
        <w:t>]</w:t>
      </w:r>
    </w:p>
    <w:p w14:paraId="7872A8A9" w14:textId="0684C686" w:rsidR="007C7DA8" w:rsidRPr="00FC2E76" w:rsidRDefault="00FC2E76">
      <w:pPr>
        <w:rPr>
          <w:b/>
          <w:highlight w:val="yellow"/>
        </w:rPr>
      </w:pPr>
      <w:r w:rsidRPr="00FC2E76">
        <w:rPr>
          <w:b/>
        </w:rPr>
        <w:t>Framework for Combating the use of Stolen Mobile</w:t>
      </w:r>
      <w:r w:rsidR="00D60DD9">
        <w:rPr>
          <w:b/>
        </w:rPr>
        <w:t xml:space="preserve"> </w:t>
      </w:r>
      <w:r w:rsidRPr="00FC2E76">
        <w:rPr>
          <w:b/>
        </w:rPr>
        <w:t>Devices</w:t>
      </w:r>
    </w:p>
    <w:p w14:paraId="61BD4B69" w14:textId="77777777" w:rsidR="00852B82" w:rsidRPr="00FC2E76" w:rsidRDefault="00691DAA">
      <w:pPr>
        <w:pStyle w:val="Heading2"/>
      </w:pPr>
      <w:r w:rsidRPr="00FC2E76">
        <w:t>Summary</w:t>
      </w:r>
    </w:p>
    <w:p w14:paraId="3602EA44" w14:textId="77777777" w:rsidR="00FC2E76" w:rsidRDefault="00FC2E76" w:rsidP="00FC2E76">
      <w:r>
        <w:t>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28E1F47E" w14:textId="77777777" w:rsidR="00FC2E76" w:rsidRDefault="00FC2E76" w:rsidP="00FC2E76">
      <w:r>
        <w:t>As a response, initiatives are needed to deter the theft and reuse of stolen Mobile Devices and to protect the consumer data stored on these devices against illegal use. Besides,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across borders.</w:t>
      </w:r>
    </w:p>
    <w:p w14:paraId="7F6D4BAE" w14:textId="77777777" w:rsidR="00FC2E76" w:rsidRDefault="00FC2E76" w:rsidP="00FC2E76">
      <w: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1EFD3E1C" w14:textId="77777777" w:rsidR="00FC2E76" w:rsidRDefault="00FC2E76" w:rsidP="00FC2E76">
      <w: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(Hammamet, 2016).</w:t>
      </w:r>
    </w:p>
    <w:p w14:paraId="74448139" w14:textId="77777777" w:rsidR="00852B82" w:rsidRDefault="00FC2E76" w:rsidP="00FC2E76">
      <w:r>
        <w:t xml:space="preserve">For all the above, the present recommendation proposes a framework composed of requirements and a broad range of comprehensive and recommended measures that can be taken and applied to combat the theft and reuse of stolen Mobile </w:t>
      </w:r>
      <w:r w:rsidRPr="00FC2E76">
        <w:t>Devices</w:t>
      </w:r>
      <w:r w:rsidR="00691DAA" w:rsidRPr="00FC2E76">
        <w:t>.</w:t>
      </w:r>
    </w:p>
    <w:p w14:paraId="031E6BBC" w14:textId="77777777" w:rsidR="006C465D" w:rsidRPr="006C465D" w:rsidRDefault="006C465D" w:rsidP="00DD1150">
      <w:pPr>
        <w:spacing w:before="480"/>
      </w:pPr>
      <w:r w:rsidRPr="006C465D">
        <w:t>No ITU-T A.5 justification document has been prepared for this Determined draft text.</w:t>
      </w:r>
    </w:p>
    <w:p w14:paraId="4117C0DF" w14:textId="77777777" w:rsidR="002A4977" w:rsidRPr="00D7384A" w:rsidRDefault="0072062B" w:rsidP="008962CA">
      <w:pPr>
        <w:spacing w:before="600"/>
      </w:pPr>
      <w:r w:rsidRPr="00F44DD3">
        <w:rPr>
          <w:b/>
        </w:rPr>
        <w:t>TSB NOTE</w:t>
      </w:r>
      <w:r w:rsidRPr="00D60DD9">
        <w:t xml:space="preserve"> – As of the date of this Circular, no IPR statement</w:t>
      </w:r>
      <w:r w:rsidR="00985B35" w:rsidRPr="00D60DD9">
        <w:t>s</w:t>
      </w:r>
      <w:r w:rsidRPr="00D60DD9">
        <w:t xml:space="preserve"> had been received by TSB regarding this draft text.</w:t>
      </w:r>
      <w:r w:rsidR="00ED76A0" w:rsidRPr="00D60DD9">
        <w:t xml:space="preserve"> </w:t>
      </w:r>
      <w:r w:rsidR="00985B35" w:rsidRPr="00D60DD9">
        <w:t xml:space="preserve">For </w:t>
      </w:r>
      <w:r w:rsidR="001F4FBE" w:rsidRPr="00D60DD9">
        <w:t xml:space="preserve">up-to-date </w:t>
      </w:r>
      <w:r w:rsidR="00985B35" w:rsidRPr="00D60DD9">
        <w:t xml:space="preserve">information, members are invited to consult the IPR database at </w:t>
      </w:r>
      <w:hyperlink r:id="rId11" w:history="1">
        <w:r w:rsidR="00ED76A0" w:rsidRPr="00D60DD9">
          <w:rPr>
            <w:rStyle w:val="Hyperlink"/>
          </w:rPr>
          <w:t>www.itu.int/ipr/</w:t>
        </w:r>
      </w:hyperlink>
      <w:r w:rsidR="00ED76A0" w:rsidRPr="00D60DD9">
        <w:t>.</w:t>
      </w:r>
    </w:p>
    <w:p w14:paraId="474EFFFC" w14:textId="77777777" w:rsidR="009A1A66" w:rsidRPr="00D7384A" w:rsidRDefault="009A1A66" w:rsidP="00692261">
      <w:pPr>
        <w:pStyle w:val="Annextitle"/>
        <w:spacing w:before="120"/>
      </w:pPr>
      <w:r w:rsidRPr="00D7384A">
        <w:rPr>
          <w:highlight w:val="cyan"/>
        </w:rPr>
        <w:br w:type="page"/>
      </w:r>
      <w:r w:rsidR="00C13D40">
        <w:lastRenderedPageBreak/>
        <w:t>Annex 2</w:t>
      </w:r>
    </w:p>
    <w:p w14:paraId="3CBF3047" w14:textId="77777777" w:rsidR="008F14F3" w:rsidRPr="00D7384A" w:rsidRDefault="008F14F3" w:rsidP="0006765F">
      <w:pPr>
        <w:pStyle w:val="Annextitle"/>
      </w:pPr>
      <w:r w:rsidRPr="00D7384A">
        <w:t xml:space="preserve">Subject: </w:t>
      </w:r>
      <w:r w:rsidR="00692261" w:rsidRPr="00D7384A">
        <w:t>Member State response</w:t>
      </w:r>
      <w:r w:rsidRPr="00D7384A">
        <w:t xml:space="preserve"> to TSB Circular</w:t>
      </w:r>
      <w:r w:rsidR="003461CB">
        <w:t xml:space="preserve"> 205</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8962CA">
        <w:t xml:space="preserve">new Recommendation </w:t>
      </w:r>
      <w:r w:rsidRPr="00D7384A">
        <w:t xml:space="preserve">ITU-T </w:t>
      </w:r>
      <w:r w:rsidR="00D03424" w:rsidRPr="00D03424">
        <w:t>Q.5051</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CD4C80F" w14:textId="77777777" w:rsidTr="00780D16">
        <w:tc>
          <w:tcPr>
            <w:tcW w:w="1005" w:type="dxa"/>
            <w:shd w:val="clear" w:color="auto" w:fill="auto"/>
          </w:tcPr>
          <w:p w14:paraId="0DABE372" w14:textId="77777777" w:rsidR="009A1A66" w:rsidRPr="00D7384A" w:rsidRDefault="009A1A66" w:rsidP="003461CB">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641431D" w14:textId="77777777" w:rsidR="008A779C" w:rsidRPr="00D7384A" w:rsidRDefault="009A1A66" w:rsidP="003461CB">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r w:rsidR="003461CB">
              <w:rPr>
                <w:szCs w:val="24"/>
              </w:rPr>
              <w:br/>
            </w:r>
            <w:r w:rsidR="008A779C" w:rsidRPr="003461CB">
              <w:rPr>
                <w:szCs w:val="24"/>
              </w:rPr>
              <w:t>International Telecommunication Union</w:t>
            </w:r>
            <w:r w:rsidR="003461CB">
              <w:rPr>
                <w:szCs w:val="24"/>
              </w:rPr>
              <w:br/>
            </w:r>
            <w:r w:rsidR="008A779C" w:rsidRPr="003461CB">
              <w:rPr>
                <w:szCs w:val="24"/>
              </w:rPr>
              <w:t>Place des Nations</w:t>
            </w:r>
            <w:r w:rsidR="003461CB" w:rsidRPr="003461CB">
              <w:rPr>
                <w:szCs w:val="24"/>
              </w:rPr>
              <w:br/>
            </w:r>
            <w:r w:rsidR="008A779C" w:rsidRPr="00D7384A">
              <w:rPr>
                <w:szCs w:val="24"/>
              </w:rPr>
              <w:t>CH 1211 Geneva 20, Switzerland</w:t>
            </w:r>
          </w:p>
        </w:tc>
        <w:tc>
          <w:tcPr>
            <w:tcW w:w="992" w:type="dxa"/>
            <w:tcBorders>
              <w:left w:val="single" w:sz="8" w:space="0" w:color="auto"/>
            </w:tcBorders>
            <w:shd w:val="clear" w:color="auto" w:fill="auto"/>
          </w:tcPr>
          <w:p w14:paraId="60B879F0" w14:textId="77777777" w:rsidR="009A1A66" w:rsidRPr="00D7384A" w:rsidRDefault="009A1A66" w:rsidP="003461CB">
            <w:pPr>
              <w:jc w:val="right"/>
              <w:rPr>
                <w:szCs w:val="24"/>
              </w:rPr>
            </w:pPr>
            <w:r w:rsidRPr="00D7384A">
              <w:rPr>
                <w:b/>
                <w:bCs/>
                <w:szCs w:val="24"/>
              </w:rPr>
              <w:t>From</w:t>
            </w:r>
            <w:r w:rsidRPr="00D7384A">
              <w:rPr>
                <w:szCs w:val="24"/>
              </w:rPr>
              <w:t>:</w:t>
            </w:r>
          </w:p>
        </w:tc>
        <w:tc>
          <w:tcPr>
            <w:tcW w:w="3402" w:type="dxa"/>
            <w:shd w:val="clear" w:color="auto" w:fill="auto"/>
          </w:tcPr>
          <w:p w14:paraId="202AD431" w14:textId="77777777" w:rsidR="009A1A66" w:rsidRPr="00D7384A" w:rsidRDefault="008A779C" w:rsidP="003461CB">
            <w:pPr>
              <w:rPr>
                <w:szCs w:val="24"/>
                <w:highlight w:val="green"/>
              </w:rPr>
            </w:pPr>
            <w:r w:rsidRPr="00D7384A">
              <w:rPr>
                <w:szCs w:val="24"/>
                <w:highlight w:val="green"/>
              </w:rPr>
              <w:t>[Name]</w:t>
            </w:r>
          </w:p>
          <w:p w14:paraId="261B13C6" w14:textId="77777777" w:rsidR="008A779C" w:rsidRPr="00D7384A" w:rsidRDefault="008A779C" w:rsidP="003461CB">
            <w:pPr>
              <w:rPr>
                <w:szCs w:val="24"/>
                <w:highlight w:val="green"/>
              </w:rPr>
            </w:pPr>
            <w:r w:rsidRPr="00D7384A">
              <w:rPr>
                <w:szCs w:val="24"/>
                <w:highlight w:val="green"/>
              </w:rPr>
              <w:t>[Official role/title]</w:t>
            </w:r>
          </w:p>
          <w:p w14:paraId="77D260B4" w14:textId="77777777" w:rsidR="008A779C" w:rsidRPr="00D7384A" w:rsidRDefault="008A779C" w:rsidP="003461CB">
            <w:pPr>
              <w:rPr>
                <w:szCs w:val="24"/>
              </w:rPr>
            </w:pPr>
            <w:r w:rsidRPr="00D7384A">
              <w:rPr>
                <w:szCs w:val="24"/>
                <w:highlight w:val="green"/>
              </w:rPr>
              <w:t>[Address]</w:t>
            </w:r>
          </w:p>
        </w:tc>
      </w:tr>
      <w:tr w:rsidR="009A1A66" w:rsidRPr="00D7384A" w14:paraId="7B7D7D3F" w14:textId="77777777" w:rsidTr="00780D16">
        <w:tc>
          <w:tcPr>
            <w:tcW w:w="1005" w:type="dxa"/>
            <w:shd w:val="clear" w:color="auto" w:fill="auto"/>
          </w:tcPr>
          <w:p w14:paraId="6A0BCC3A" w14:textId="77777777" w:rsidR="009A1A66" w:rsidRPr="00D7384A" w:rsidRDefault="008A779C" w:rsidP="003461CB">
            <w:pPr>
              <w:jc w:val="right"/>
              <w:rPr>
                <w:szCs w:val="24"/>
              </w:rPr>
            </w:pPr>
            <w:r w:rsidRPr="00D7384A">
              <w:rPr>
                <w:b/>
                <w:bCs/>
                <w:szCs w:val="24"/>
              </w:rPr>
              <w:t>Fax</w:t>
            </w:r>
            <w:r w:rsidRPr="00D7384A">
              <w:rPr>
                <w:szCs w:val="24"/>
              </w:rPr>
              <w:t>:</w:t>
            </w:r>
          </w:p>
          <w:p w14:paraId="61A6B2AC" w14:textId="77777777" w:rsidR="008A779C" w:rsidRPr="00D7384A" w:rsidRDefault="008A779C" w:rsidP="003461CB">
            <w:pPr>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3215603" w14:textId="77777777" w:rsidR="009A1A66" w:rsidRPr="00D7384A" w:rsidRDefault="008A779C" w:rsidP="003461CB">
            <w:pPr>
              <w:rPr>
                <w:szCs w:val="24"/>
              </w:rPr>
            </w:pPr>
            <w:r w:rsidRPr="00D7384A">
              <w:rPr>
                <w:szCs w:val="24"/>
              </w:rPr>
              <w:t>+41</w:t>
            </w:r>
            <w:r w:rsidR="00085098">
              <w:rPr>
                <w:szCs w:val="24"/>
              </w:rPr>
              <w:t xml:space="preserve"> </w:t>
            </w:r>
            <w:r w:rsidRPr="00D7384A">
              <w:rPr>
                <w:szCs w:val="24"/>
              </w:rPr>
              <w:t>22</w:t>
            </w:r>
            <w:r w:rsidR="00085098">
              <w:rPr>
                <w:szCs w:val="24"/>
              </w:rPr>
              <w:t> </w:t>
            </w:r>
            <w:r w:rsidRPr="00D7384A">
              <w:rPr>
                <w:szCs w:val="24"/>
              </w:rPr>
              <w:t>730</w:t>
            </w:r>
            <w:r w:rsidR="00085098">
              <w:rPr>
                <w:szCs w:val="24"/>
              </w:rPr>
              <w:t xml:space="preserve"> </w:t>
            </w:r>
            <w:r w:rsidRPr="00D7384A">
              <w:rPr>
                <w:szCs w:val="24"/>
              </w:rPr>
              <w:t>5853</w:t>
            </w:r>
          </w:p>
          <w:p w14:paraId="40ED8FA6" w14:textId="77777777" w:rsidR="008A779C" w:rsidRPr="00D7384A" w:rsidRDefault="004C7866" w:rsidP="003461CB">
            <w:pPr>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74ACB5FB" w14:textId="77777777" w:rsidR="009A1A66" w:rsidRPr="00D7384A" w:rsidRDefault="008A779C" w:rsidP="003461CB">
            <w:pPr>
              <w:jc w:val="right"/>
              <w:rPr>
                <w:szCs w:val="24"/>
              </w:rPr>
            </w:pPr>
            <w:r w:rsidRPr="00D7384A">
              <w:rPr>
                <w:b/>
                <w:bCs/>
                <w:szCs w:val="24"/>
              </w:rPr>
              <w:t>Fax</w:t>
            </w:r>
            <w:r w:rsidRPr="00D7384A">
              <w:rPr>
                <w:szCs w:val="24"/>
              </w:rPr>
              <w:t>:</w:t>
            </w:r>
          </w:p>
          <w:p w14:paraId="20CE66DB" w14:textId="77777777" w:rsidR="008A779C" w:rsidRPr="00D7384A" w:rsidRDefault="008A779C" w:rsidP="003461CB">
            <w:pPr>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294C9F06" w14:textId="77777777" w:rsidR="009A1A66" w:rsidRPr="00D7384A" w:rsidRDefault="009A1A66" w:rsidP="003461CB">
            <w:pPr>
              <w:rPr>
                <w:szCs w:val="24"/>
              </w:rPr>
            </w:pPr>
          </w:p>
        </w:tc>
      </w:tr>
      <w:tr w:rsidR="009A1A66" w:rsidRPr="00D7384A" w14:paraId="6BB61D0A" w14:textId="77777777" w:rsidTr="00780D16">
        <w:tc>
          <w:tcPr>
            <w:tcW w:w="1005" w:type="dxa"/>
            <w:shd w:val="clear" w:color="auto" w:fill="auto"/>
          </w:tcPr>
          <w:p w14:paraId="183AD273" w14:textId="77777777" w:rsidR="009A1A66" w:rsidRPr="00D7384A" w:rsidRDefault="009A1A66" w:rsidP="003461CB">
            <w:pPr>
              <w:jc w:val="right"/>
              <w:rPr>
                <w:szCs w:val="24"/>
              </w:rPr>
            </w:pPr>
          </w:p>
        </w:tc>
        <w:tc>
          <w:tcPr>
            <w:tcW w:w="4558" w:type="dxa"/>
            <w:tcBorders>
              <w:right w:val="single" w:sz="8" w:space="0" w:color="auto"/>
            </w:tcBorders>
            <w:shd w:val="clear" w:color="auto" w:fill="auto"/>
          </w:tcPr>
          <w:p w14:paraId="23A8434C" w14:textId="77777777" w:rsidR="009A1A66" w:rsidRPr="00D7384A" w:rsidRDefault="009A1A66" w:rsidP="003461CB">
            <w:pPr>
              <w:rPr>
                <w:szCs w:val="24"/>
              </w:rPr>
            </w:pPr>
          </w:p>
        </w:tc>
        <w:tc>
          <w:tcPr>
            <w:tcW w:w="992" w:type="dxa"/>
            <w:tcBorders>
              <w:left w:val="single" w:sz="8" w:space="0" w:color="auto"/>
            </w:tcBorders>
            <w:shd w:val="clear" w:color="auto" w:fill="auto"/>
          </w:tcPr>
          <w:p w14:paraId="092A72F6" w14:textId="77777777" w:rsidR="009A1A66" w:rsidRPr="00D7384A" w:rsidRDefault="008A779C" w:rsidP="003461CB">
            <w:pPr>
              <w:jc w:val="right"/>
              <w:rPr>
                <w:szCs w:val="24"/>
              </w:rPr>
            </w:pPr>
            <w:r w:rsidRPr="00D7384A">
              <w:rPr>
                <w:b/>
                <w:bCs/>
                <w:szCs w:val="24"/>
              </w:rPr>
              <w:t>Date</w:t>
            </w:r>
            <w:r w:rsidRPr="00D7384A">
              <w:rPr>
                <w:szCs w:val="24"/>
              </w:rPr>
              <w:t>:</w:t>
            </w:r>
          </w:p>
        </w:tc>
        <w:tc>
          <w:tcPr>
            <w:tcW w:w="3402" w:type="dxa"/>
            <w:shd w:val="clear" w:color="auto" w:fill="auto"/>
          </w:tcPr>
          <w:p w14:paraId="3C88EB42" w14:textId="77777777" w:rsidR="009A1A66" w:rsidRPr="00D7384A" w:rsidRDefault="0018632F" w:rsidP="003461CB">
            <w:pPr>
              <w:rPr>
                <w:szCs w:val="24"/>
              </w:rPr>
            </w:pPr>
            <w:r w:rsidRPr="00D7384A">
              <w:rPr>
                <w:szCs w:val="24"/>
                <w:highlight w:val="green"/>
              </w:rPr>
              <w:t xml:space="preserve">[Place,] </w:t>
            </w:r>
            <w:r w:rsidR="008A779C" w:rsidRPr="00D7384A">
              <w:rPr>
                <w:szCs w:val="24"/>
                <w:highlight w:val="green"/>
              </w:rPr>
              <w:t>[Date]</w:t>
            </w:r>
          </w:p>
        </w:tc>
      </w:tr>
    </w:tbl>
    <w:p w14:paraId="4484EF36"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3AD9B7B8" w14:textId="77777777" w:rsidR="00C51F4B" w:rsidRDefault="006D7724" w:rsidP="00D03424">
      <w:pPr>
        <w:spacing w:after="24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D03424">
        <w:rPr>
          <w:szCs w:val="24"/>
        </w:rPr>
        <w:t>text</w:t>
      </w:r>
      <w:r w:rsidRPr="00D7384A">
        <w:rPr>
          <w:szCs w:val="24"/>
        </w:rPr>
        <w:t xml:space="preserve"> listed in </w:t>
      </w:r>
      <w:r w:rsidR="00C51F4B" w:rsidRPr="00D7384A">
        <w:rPr>
          <w:szCs w:val="24"/>
        </w:rPr>
        <w:t>TSB</w:t>
      </w:r>
      <w:r w:rsidR="003461CB">
        <w:rPr>
          <w:szCs w:val="24"/>
        </w:rPr>
        <w:t> </w:t>
      </w:r>
      <w:r w:rsidR="00C51F4B" w:rsidRPr="00D7384A">
        <w:rPr>
          <w:szCs w:val="24"/>
        </w:rPr>
        <w:t>Circular</w:t>
      </w:r>
      <w:r w:rsidR="003461CB">
        <w:rPr>
          <w:szCs w:val="24"/>
        </w:rPr>
        <w:t> 205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55AB376A" w14:textId="77777777" w:rsidTr="00593449">
        <w:trPr>
          <w:tblHeader/>
        </w:trPr>
        <w:tc>
          <w:tcPr>
            <w:tcW w:w="2067" w:type="dxa"/>
            <w:shd w:val="clear" w:color="auto" w:fill="auto"/>
            <w:vAlign w:val="center"/>
          </w:tcPr>
          <w:p w14:paraId="4D69E429"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7262DC52"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0602FEFD" w14:textId="77777777" w:rsidTr="00593449">
        <w:trPr>
          <w:trHeight w:val="748"/>
        </w:trPr>
        <w:tc>
          <w:tcPr>
            <w:tcW w:w="2067" w:type="dxa"/>
            <w:vMerge w:val="restart"/>
            <w:shd w:val="clear" w:color="auto" w:fill="auto"/>
            <w:vAlign w:val="center"/>
          </w:tcPr>
          <w:p w14:paraId="2479C0A4" w14:textId="77777777" w:rsidR="00BC4AC3" w:rsidRPr="00D03424" w:rsidRDefault="00BC4AC3" w:rsidP="00D03424">
            <w:pPr>
              <w:spacing w:before="60" w:after="60"/>
              <w:jc w:val="center"/>
              <w:rPr>
                <w:b/>
                <w:bCs/>
                <w:szCs w:val="24"/>
                <w:lang w:val="fr-CH"/>
              </w:rPr>
            </w:pPr>
            <w:r w:rsidRPr="00085098">
              <w:rPr>
                <w:b/>
                <w:bCs/>
                <w:szCs w:val="24"/>
                <w:lang w:val="fr-CH"/>
              </w:rPr>
              <w:t>Draft new</w:t>
            </w:r>
            <w:r w:rsidR="00D03424" w:rsidRPr="00085098">
              <w:rPr>
                <w:b/>
                <w:bCs/>
                <w:szCs w:val="24"/>
                <w:lang w:val="fr-CH"/>
              </w:rPr>
              <w:t xml:space="preserve"> Recommendation</w:t>
            </w:r>
            <w:r w:rsidR="00D03424" w:rsidRPr="00D03424">
              <w:rPr>
                <w:b/>
                <w:bCs/>
                <w:szCs w:val="24"/>
                <w:lang w:val="fr-CH"/>
              </w:rPr>
              <w:t xml:space="preserve"> ITU-T Q.5051</w:t>
            </w:r>
            <w:r w:rsidR="00D03424" w:rsidRPr="00D03424">
              <w:rPr>
                <w:b/>
                <w:bCs/>
                <w:szCs w:val="24"/>
                <w:lang w:val="fr-CH"/>
              </w:rPr>
              <w:br/>
              <w:t>(ex Q.FW_CSM</w:t>
            </w:r>
            <w:r w:rsidR="00D03424">
              <w:rPr>
                <w:b/>
                <w:bCs/>
                <w:szCs w:val="24"/>
                <w:lang w:val="fr-CH"/>
              </w:rPr>
              <w:t>)</w:t>
            </w:r>
          </w:p>
        </w:tc>
        <w:tc>
          <w:tcPr>
            <w:tcW w:w="7652" w:type="dxa"/>
            <w:shd w:val="clear" w:color="auto" w:fill="auto"/>
            <w:vAlign w:val="center"/>
          </w:tcPr>
          <w:p w14:paraId="6DE012F7" w14:textId="77777777"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4C7866">
              <w:rPr>
                <w:sz w:val="22"/>
                <w:szCs w:val="22"/>
              </w:rPr>
            </w:r>
            <w:r w:rsidR="004C786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085098">
              <w:rPr>
                <w:szCs w:val="24"/>
              </w:rPr>
              <w:t xml:space="preserve"> 11</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8448132"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71D318F"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739488B" w14:textId="77777777" w:rsidTr="00593449">
        <w:trPr>
          <w:trHeight w:val="747"/>
        </w:trPr>
        <w:tc>
          <w:tcPr>
            <w:tcW w:w="2067" w:type="dxa"/>
            <w:vMerge/>
            <w:shd w:val="clear" w:color="auto" w:fill="auto"/>
            <w:vAlign w:val="center"/>
          </w:tcPr>
          <w:p w14:paraId="3BFCE0B0"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6F44A34A" w14:textId="77777777" w:rsidR="00BC4AC3" w:rsidRPr="00BC4AC3" w:rsidRDefault="00BC4AC3" w:rsidP="00085098">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4C7866">
              <w:rPr>
                <w:sz w:val="22"/>
                <w:szCs w:val="22"/>
              </w:rPr>
            </w:r>
            <w:r w:rsidR="004C786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085098">
              <w:rPr>
                <w:szCs w:val="24"/>
              </w:rPr>
              <w:t xml:space="preserve"> 11</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2BA0BD50" w14:textId="77777777" w:rsidR="00C51F4B" w:rsidRPr="00D7384A" w:rsidRDefault="00C51F4B" w:rsidP="009A1A66"/>
    <w:p w14:paraId="508B5E1C" w14:textId="77777777" w:rsidR="008F14F3" w:rsidRPr="00D7384A" w:rsidRDefault="008F14F3" w:rsidP="00692261">
      <w:pPr>
        <w:spacing w:before="0"/>
      </w:pPr>
      <w:r w:rsidRPr="00D7384A">
        <w:t>Yours faithfully,</w:t>
      </w:r>
    </w:p>
    <w:p w14:paraId="0DA62CEB" w14:textId="77777777" w:rsidR="008F14F3" w:rsidRPr="00D7384A" w:rsidRDefault="008F14F3" w:rsidP="008F14F3"/>
    <w:p w14:paraId="3B15F78E" w14:textId="77777777" w:rsidR="00692261" w:rsidRPr="00D7384A" w:rsidRDefault="00692261" w:rsidP="00692261">
      <w:pPr>
        <w:rPr>
          <w:szCs w:val="24"/>
          <w:highlight w:val="green"/>
        </w:rPr>
      </w:pPr>
      <w:r w:rsidRPr="00D7384A">
        <w:rPr>
          <w:szCs w:val="24"/>
          <w:highlight w:val="green"/>
        </w:rPr>
        <w:t>[Name]</w:t>
      </w:r>
    </w:p>
    <w:p w14:paraId="54C6E7AA" w14:textId="77777777" w:rsidR="00692261" w:rsidRPr="00D7384A" w:rsidRDefault="00692261" w:rsidP="00692261">
      <w:pPr>
        <w:rPr>
          <w:szCs w:val="24"/>
        </w:rPr>
      </w:pPr>
      <w:r w:rsidRPr="00D7384A">
        <w:rPr>
          <w:szCs w:val="24"/>
          <w:highlight w:val="green"/>
        </w:rPr>
        <w:t>[Official role/title]</w:t>
      </w:r>
    </w:p>
    <w:p w14:paraId="6DB23FDE"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6A49230E" w14:textId="77777777" w:rsidR="00852B82" w:rsidRPr="00D7384A" w:rsidRDefault="00691DAA" w:rsidP="00DD1150">
      <w:pPr>
        <w:spacing w:before="240" w:after="120"/>
        <w:jc w:val="center"/>
      </w:pPr>
      <w:r w:rsidRPr="00D7384A">
        <w:t>_____</w:t>
      </w:r>
      <w:r w:rsidR="008962CA">
        <w:t>__</w:t>
      </w:r>
      <w:r w:rsidRPr="00D7384A">
        <w:t>______</w:t>
      </w:r>
    </w:p>
    <w:sectPr w:rsidR="00852B82" w:rsidRPr="00D7384A" w:rsidSect="008F6841">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567" w:right="1089" w:bottom="567" w:left="1089" w:header="567" w:footer="288"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6E92" w14:textId="77777777" w:rsidR="009A7A50" w:rsidRDefault="009A7A50">
      <w:r>
        <w:separator/>
      </w:r>
    </w:p>
  </w:endnote>
  <w:endnote w:type="continuationSeparator" w:id="0">
    <w:p w14:paraId="1185B3DA" w14:textId="77777777" w:rsidR="009A7A50" w:rsidRDefault="009A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DAA0" w14:textId="77777777" w:rsidR="008F6841" w:rsidRDefault="008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F646" w14:textId="77777777" w:rsidR="008F6841" w:rsidRDefault="008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0F2E"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DABB" w14:textId="77777777" w:rsidR="009A7A50" w:rsidRDefault="009A7A50">
      <w:r>
        <w:t>____________________</w:t>
      </w:r>
    </w:p>
  </w:footnote>
  <w:footnote w:type="continuationSeparator" w:id="0">
    <w:p w14:paraId="028A3893" w14:textId="77777777" w:rsidR="009A7A50" w:rsidRDefault="009A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9E1" w14:textId="77777777" w:rsidR="008F6841" w:rsidRDefault="008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2FE8" w14:textId="0A0D5BFF" w:rsidR="00115803" w:rsidRDefault="008F14F3" w:rsidP="00115803">
    <w:pPr>
      <w:pStyle w:val="Header"/>
      <w:rPr>
        <w:noProof/>
      </w:rPr>
    </w:pPr>
    <w:r>
      <w:t xml:space="preserve">- </w:t>
    </w:r>
    <w:r>
      <w:fldChar w:fldCharType="begin"/>
    </w:r>
    <w:r>
      <w:instrText xml:space="preserve"> PAGE   \* MERGEFORMAT </w:instrText>
    </w:r>
    <w:r>
      <w:fldChar w:fldCharType="separate"/>
    </w:r>
    <w:r w:rsidR="00DD1150">
      <w:rPr>
        <w:noProof/>
      </w:rPr>
      <w:t>3</w:t>
    </w:r>
    <w:r>
      <w:rPr>
        <w:noProof/>
      </w:rPr>
      <w:fldChar w:fldCharType="end"/>
    </w:r>
    <w:r>
      <w:rPr>
        <w:noProof/>
      </w:rPr>
      <w:t xml:space="preserve"> </w:t>
    </w:r>
    <w:r w:rsidR="00115803">
      <w:rPr>
        <w:noProof/>
      </w:rPr>
      <w:t>-</w:t>
    </w:r>
  </w:p>
  <w:p w14:paraId="3C9DAFC6" w14:textId="77777777" w:rsidR="008F14F3" w:rsidRPr="00115803" w:rsidRDefault="008F14F3" w:rsidP="00115803">
    <w:pPr>
      <w:pStyle w:val="Header"/>
      <w:spacing w:after="240"/>
    </w:pPr>
    <w:r>
      <w:t>TSB Circular</w:t>
    </w:r>
    <w:r w:rsidRPr="00F763C8">
      <w:t xml:space="preserve"> </w:t>
    </w:r>
    <w:r w:rsidR="003461CB">
      <w:t>205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C876" w14:textId="77777777" w:rsidR="008F6841" w:rsidRDefault="008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D3"/>
    <w:rsid w:val="00041231"/>
    <w:rsid w:val="000528FF"/>
    <w:rsid w:val="0006765F"/>
    <w:rsid w:val="00067FDC"/>
    <w:rsid w:val="00076B60"/>
    <w:rsid w:val="00085098"/>
    <w:rsid w:val="00087690"/>
    <w:rsid w:val="000E7066"/>
    <w:rsid w:val="00115803"/>
    <w:rsid w:val="0016049B"/>
    <w:rsid w:val="00164419"/>
    <w:rsid w:val="0018039E"/>
    <w:rsid w:val="0018632F"/>
    <w:rsid w:val="001B1770"/>
    <w:rsid w:val="001E32E7"/>
    <w:rsid w:val="001F3BDD"/>
    <w:rsid w:val="001F4FBE"/>
    <w:rsid w:val="002414F2"/>
    <w:rsid w:val="00290976"/>
    <w:rsid w:val="002A4977"/>
    <w:rsid w:val="002B3E1F"/>
    <w:rsid w:val="002E0E8B"/>
    <w:rsid w:val="003239C4"/>
    <w:rsid w:val="00334A43"/>
    <w:rsid w:val="00343C34"/>
    <w:rsid w:val="003461CB"/>
    <w:rsid w:val="003776F8"/>
    <w:rsid w:val="003C7BEF"/>
    <w:rsid w:val="003D4331"/>
    <w:rsid w:val="003D7199"/>
    <w:rsid w:val="003E07CD"/>
    <w:rsid w:val="0040522B"/>
    <w:rsid w:val="00405512"/>
    <w:rsid w:val="00440CB5"/>
    <w:rsid w:val="00443556"/>
    <w:rsid w:val="0045007E"/>
    <w:rsid w:val="00450779"/>
    <w:rsid w:val="004B1587"/>
    <w:rsid w:val="004B50B2"/>
    <w:rsid w:val="004C7866"/>
    <w:rsid w:val="00520612"/>
    <w:rsid w:val="005D124E"/>
    <w:rsid w:val="005D297E"/>
    <w:rsid w:val="00607E07"/>
    <w:rsid w:val="00626967"/>
    <w:rsid w:val="00630BA3"/>
    <w:rsid w:val="00674B31"/>
    <w:rsid w:val="006812CD"/>
    <w:rsid w:val="00691DAA"/>
    <w:rsid w:val="00692261"/>
    <w:rsid w:val="006A2FAB"/>
    <w:rsid w:val="006B170F"/>
    <w:rsid w:val="006C465D"/>
    <w:rsid w:val="006D7724"/>
    <w:rsid w:val="006E7431"/>
    <w:rsid w:val="0072062B"/>
    <w:rsid w:val="00720A5D"/>
    <w:rsid w:val="00733B5C"/>
    <w:rsid w:val="00763B08"/>
    <w:rsid w:val="00765253"/>
    <w:rsid w:val="00770EF1"/>
    <w:rsid w:val="00780D16"/>
    <w:rsid w:val="007A0105"/>
    <w:rsid w:val="007C7DA8"/>
    <w:rsid w:val="00831BAA"/>
    <w:rsid w:val="00852B82"/>
    <w:rsid w:val="00860AE1"/>
    <w:rsid w:val="008962CA"/>
    <w:rsid w:val="008A540B"/>
    <w:rsid w:val="008A779C"/>
    <w:rsid w:val="008B5032"/>
    <w:rsid w:val="008E5C2F"/>
    <w:rsid w:val="008F0456"/>
    <w:rsid w:val="008F07D7"/>
    <w:rsid w:val="008F14F3"/>
    <w:rsid w:val="008F6841"/>
    <w:rsid w:val="00901734"/>
    <w:rsid w:val="00944A88"/>
    <w:rsid w:val="0094539E"/>
    <w:rsid w:val="00964A6B"/>
    <w:rsid w:val="00985B35"/>
    <w:rsid w:val="009974BE"/>
    <w:rsid w:val="009A1A66"/>
    <w:rsid w:val="009A7A50"/>
    <w:rsid w:val="009B72DB"/>
    <w:rsid w:val="009F7B79"/>
    <w:rsid w:val="00A00023"/>
    <w:rsid w:val="00A30937"/>
    <w:rsid w:val="00A4376F"/>
    <w:rsid w:val="00A43CA0"/>
    <w:rsid w:val="00A529A2"/>
    <w:rsid w:val="00AE0F15"/>
    <w:rsid w:val="00B33034"/>
    <w:rsid w:val="00B45C37"/>
    <w:rsid w:val="00B6629C"/>
    <w:rsid w:val="00B86BF0"/>
    <w:rsid w:val="00B94A59"/>
    <w:rsid w:val="00BA28E3"/>
    <w:rsid w:val="00BC14D3"/>
    <w:rsid w:val="00BC4AC3"/>
    <w:rsid w:val="00C007D7"/>
    <w:rsid w:val="00C13D40"/>
    <w:rsid w:val="00C14847"/>
    <w:rsid w:val="00C23D2B"/>
    <w:rsid w:val="00C50517"/>
    <w:rsid w:val="00C51F4B"/>
    <w:rsid w:val="00C65B9E"/>
    <w:rsid w:val="00CF3418"/>
    <w:rsid w:val="00D02492"/>
    <w:rsid w:val="00D03424"/>
    <w:rsid w:val="00D22D78"/>
    <w:rsid w:val="00D60DD9"/>
    <w:rsid w:val="00D62CEF"/>
    <w:rsid w:val="00D7384A"/>
    <w:rsid w:val="00D92917"/>
    <w:rsid w:val="00DB770A"/>
    <w:rsid w:val="00DD1150"/>
    <w:rsid w:val="00DF1780"/>
    <w:rsid w:val="00DF664C"/>
    <w:rsid w:val="00E32F10"/>
    <w:rsid w:val="00E54801"/>
    <w:rsid w:val="00E55E1F"/>
    <w:rsid w:val="00E72D24"/>
    <w:rsid w:val="00E8536D"/>
    <w:rsid w:val="00ED2F32"/>
    <w:rsid w:val="00ED76A0"/>
    <w:rsid w:val="00F11BC5"/>
    <w:rsid w:val="00F21679"/>
    <w:rsid w:val="00F44DD3"/>
    <w:rsid w:val="00F751B3"/>
    <w:rsid w:val="00F763C8"/>
    <w:rsid w:val="00F96117"/>
    <w:rsid w:val="00FC2E76"/>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65CD9"/>
  <w15:docId w15:val="{6C79CCBC-C28A-4E9F-9B43-FE0FB71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p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T17-SG11-R-0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187</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6546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SG5 Secretariat</dc:creator>
  <cp:keywords/>
  <dc:description>Circular-www-Rec_Q-5051.docx  For: _x000d_Document date: _x000d_Saved by ITU51011599 at 17:06:30 on 28.10.19</dc:description>
  <cp:lastModifiedBy>Jenkins, Lia</cp:lastModifiedBy>
  <cp:revision>26</cp:revision>
  <cp:lastPrinted>2019-11-06T13:26:00Z</cp:lastPrinted>
  <dcterms:created xsi:type="dcterms:W3CDTF">2019-10-28T15:07:00Z</dcterms:created>
  <dcterms:modified xsi:type="dcterms:W3CDTF">2019-11-06T13:29:00Z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Circular-www-Rec_Q-5051.docx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