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8" w:type="dxa"/>
        <w:tblLayout w:type="fixed"/>
        <w:tblCellMar>
          <w:left w:w="0" w:type="dxa"/>
          <w:right w:w="0" w:type="dxa"/>
        </w:tblCellMar>
        <w:tblLook w:val="0000" w:firstRow="0" w:lastRow="0" w:firstColumn="0" w:lastColumn="0" w:noHBand="0" w:noVBand="0"/>
      </w:tblPr>
      <w:tblGrid>
        <w:gridCol w:w="1268"/>
        <w:gridCol w:w="142"/>
        <w:gridCol w:w="3467"/>
        <w:gridCol w:w="5329"/>
      </w:tblGrid>
      <w:tr w:rsidR="007B6316" w14:paraId="6557CE0A" w14:textId="77777777" w:rsidTr="007B6316">
        <w:trPr>
          <w:cantSplit/>
          <w:trHeight w:val="340"/>
        </w:trPr>
        <w:tc>
          <w:tcPr>
            <w:tcW w:w="1410" w:type="dxa"/>
            <w:gridSpan w:val="2"/>
          </w:tcPr>
          <w:p w14:paraId="521B5622" w14:textId="77777777" w:rsidR="007B6316" w:rsidRDefault="007B6316" w:rsidP="00303D62">
            <w:pPr>
              <w:tabs>
                <w:tab w:val="left" w:pos="4111"/>
              </w:tabs>
              <w:spacing w:before="10"/>
              <w:ind w:left="57"/>
              <w:rPr>
                <w:sz w:val="22"/>
              </w:rPr>
            </w:pPr>
            <w:r w:rsidRPr="00F1238A">
              <w:rPr>
                <w:noProof/>
                <w:lang w:val="en-US"/>
              </w:rPr>
              <w:drawing>
                <wp:inline distT="0" distB="0" distL="0" distR="0" wp14:anchorId="15EB2F54" wp14:editId="7A835D83">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7DC440E5"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6CFA9CA1"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3199170C" w14:textId="77777777" w:rsidTr="00304E24">
        <w:trPr>
          <w:cantSplit/>
          <w:trHeight w:val="340"/>
        </w:trPr>
        <w:tc>
          <w:tcPr>
            <w:tcW w:w="1268" w:type="dxa"/>
          </w:tcPr>
          <w:p w14:paraId="748831B8" w14:textId="77777777" w:rsidR="007B6316" w:rsidRPr="00304E24" w:rsidRDefault="007B6316" w:rsidP="00304E24">
            <w:pPr>
              <w:spacing w:after="120"/>
              <w:ind w:left="57"/>
            </w:pPr>
          </w:p>
        </w:tc>
        <w:tc>
          <w:tcPr>
            <w:tcW w:w="3609" w:type="dxa"/>
            <w:gridSpan w:val="2"/>
          </w:tcPr>
          <w:p w14:paraId="27E842C0" w14:textId="77777777" w:rsidR="007B6316" w:rsidRPr="00304E24" w:rsidRDefault="007B6316" w:rsidP="00304E24">
            <w:pPr>
              <w:spacing w:after="120"/>
              <w:ind w:left="57"/>
            </w:pPr>
          </w:p>
        </w:tc>
        <w:tc>
          <w:tcPr>
            <w:tcW w:w="5329" w:type="dxa"/>
          </w:tcPr>
          <w:p w14:paraId="1455909A" w14:textId="2909884B" w:rsidR="007B6316" w:rsidRDefault="00304E24" w:rsidP="00304E24">
            <w:pPr>
              <w:spacing w:after="120"/>
              <w:ind w:left="57"/>
            </w:pPr>
            <w:r w:rsidRPr="00304E24">
              <w:t xml:space="preserve">Ginebra, </w:t>
            </w:r>
            <w:r w:rsidR="009D3827">
              <w:t>9 de noviembre de 2021</w:t>
            </w:r>
          </w:p>
        </w:tc>
      </w:tr>
      <w:tr w:rsidR="007B6316" w14:paraId="346B0CA7" w14:textId="77777777" w:rsidTr="00304E24">
        <w:trPr>
          <w:cantSplit/>
          <w:trHeight w:val="340"/>
        </w:trPr>
        <w:tc>
          <w:tcPr>
            <w:tcW w:w="1268" w:type="dxa"/>
          </w:tcPr>
          <w:p w14:paraId="3B869B38" w14:textId="20F49A51" w:rsidR="007B6316" w:rsidRPr="00304E24" w:rsidRDefault="007B6316" w:rsidP="00BC020F">
            <w:pPr>
              <w:spacing w:before="20" w:after="120"/>
              <w:ind w:left="57"/>
            </w:pPr>
            <w:r w:rsidRPr="00304E24">
              <w:t>Ref.:</w:t>
            </w:r>
          </w:p>
        </w:tc>
        <w:tc>
          <w:tcPr>
            <w:tcW w:w="3609" w:type="dxa"/>
            <w:gridSpan w:val="2"/>
          </w:tcPr>
          <w:p w14:paraId="22B2A575" w14:textId="6DBE6322" w:rsidR="007B6316" w:rsidRPr="00304E24" w:rsidRDefault="007B6316" w:rsidP="00304E24">
            <w:pPr>
              <w:spacing w:before="20" w:after="20"/>
              <w:ind w:left="57"/>
              <w:rPr>
                <w:b/>
                <w:bCs/>
              </w:rPr>
            </w:pPr>
            <w:r w:rsidRPr="00304E24">
              <w:rPr>
                <w:b/>
                <w:bCs/>
              </w:rPr>
              <w:t xml:space="preserve">Circular TSB </w:t>
            </w:r>
            <w:r w:rsidR="009D3827">
              <w:rPr>
                <w:b/>
                <w:bCs/>
              </w:rPr>
              <w:t>203</w:t>
            </w:r>
          </w:p>
        </w:tc>
        <w:tc>
          <w:tcPr>
            <w:tcW w:w="5329" w:type="dxa"/>
            <w:vMerge w:val="restart"/>
          </w:tcPr>
          <w:p w14:paraId="22234DDC" w14:textId="77777777" w:rsidR="00586272" w:rsidRPr="00586272" w:rsidRDefault="00586272" w:rsidP="00304E24">
            <w:pPr>
              <w:tabs>
                <w:tab w:val="clear" w:pos="794"/>
                <w:tab w:val="left" w:pos="362"/>
                <w:tab w:val="left" w:pos="4111"/>
              </w:tabs>
              <w:spacing w:before="20" w:after="20"/>
              <w:ind w:left="362" w:hanging="305"/>
              <w:rPr>
                <w:b/>
                <w:bCs/>
              </w:rPr>
            </w:pPr>
            <w:bookmarkStart w:id="0" w:name="Addressee_S"/>
            <w:bookmarkEnd w:id="0"/>
            <w:r w:rsidRPr="00586272">
              <w:rPr>
                <w:b/>
                <w:bCs/>
              </w:rPr>
              <w:t>A:</w:t>
            </w:r>
          </w:p>
          <w:p w14:paraId="08E11A4F" w14:textId="7E22767C" w:rsidR="00304E24" w:rsidRPr="00304E24" w:rsidRDefault="00304E24" w:rsidP="00304E24">
            <w:pPr>
              <w:tabs>
                <w:tab w:val="clear" w:pos="794"/>
                <w:tab w:val="left" w:pos="362"/>
                <w:tab w:val="left" w:pos="4111"/>
              </w:tabs>
              <w:spacing w:before="20" w:after="20"/>
              <w:ind w:left="362" w:hanging="305"/>
            </w:pPr>
            <w:r w:rsidRPr="00304E24">
              <w:t>–</w:t>
            </w:r>
            <w:r w:rsidRPr="00304E24">
              <w:tab/>
              <w:t>las Administraciones de los Estados Miembros de la Unión;</w:t>
            </w:r>
          </w:p>
          <w:p w14:paraId="3EBAF428" w14:textId="2967352C" w:rsidR="00304E24" w:rsidRPr="00304E24" w:rsidRDefault="00304E24" w:rsidP="00304E24">
            <w:pPr>
              <w:tabs>
                <w:tab w:val="clear" w:pos="794"/>
                <w:tab w:val="left" w:pos="362"/>
                <w:tab w:val="left" w:pos="4111"/>
              </w:tabs>
              <w:spacing w:before="20" w:after="20"/>
              <w:ind w:left="57"/>
            </w:pPr>
            <w:r w:rsidRPr="00304E24">
              <w:t>–</w:t>
            </w:r>
            <w:r w:rsidRPr="00304E24">
              <w:tab/>
              <w:t>los Miembros del Sector UIT-T;</w:t>
            </w:r>
          </w:p>
          <w:p w14:paraId="253589DC" w14:textId="101B5DA2" w:rsidR="00304E24" w:rsidRPr="00304E24" w:rsidRDefault="00304E24" w:rsidP="00304E24">
            <w:pPr>
              <w:tabs>
                <w:tab w:val="clear" w:pos="794"/>
                <w:tab w:val="left" w:pos="362"/>
                <w:tab w:val="left" w:pos="4111"/>
              </w:tabs>
              <w:spacing w:before="20" w:after="20"/>
              <w:ind w:left="57"/>
            </w:pPr>
            <w:r w:rsidRPr="00304E24">
              <w:t>–</w:t>
            </w:r>
            <w:r w:rsidRPr="00304E24">
              <w:tab/>
              <w:t>las Instituciones Académicas de la UIT;</w:t>
            </w:r>
          </w:p>
          <w:p w14:paraId="3908CAC9" w14:textId="329AEA3D" w:rsidR="00304E24" w:rsidRPr="00304E24" w:rsidRDefault="00304E24" w:rsidP="00304E24">
            <w:pPr>
              <w:tabs>
                <w:tab w:val="clear" w:pos="794"/>
                <w:tab w:val="left" w:pos="362"/>
                <w:tab w:val="left" w:pos="4111"/>
              </w:tabs>
              <w:spacing w:before="20" w:after="20"/>
              <w:ind w:left="362" w:hanging="305"/>
            </w:pPr>
            <w:r w:rsidRPr="00304E24">
              <w:t>–</w:t>
            </w:r>
            <w:r w:rsidRPr="00304E24">
              <w:tab/>
              <w:t>las organizaciones regionales de telecomunicaciones;</w:t>
            </w:r>
          </w:p>
          <w:p w14:paraId="215845F5" w14:textId="63C06D16" w:rsidR="00304E24" w:rsidRPr="00304E24" w:rsidRDefault="00304E24" w:rsidP="00304E24">
            <w:pPr>
              <w:tabs>
                <w:tab w:val="clear" w:pos="794"/>
                <w:tab w:val="left" w:pos="362"/>
                <w:tab w:val="left" w:pos="4111"/>
              </w:tabs>
              <w:spacing w:before="20" w:after="20"/>
              <w:ind w:left="362" w:hanging="305"/>
            </w:pPr>
            <w:r w:rsidRPr="00304E24">
              <w:t>–</w:t>
            </w:r>
            <w:r w:rsidRPr="00304E24">
              <w:tab/>
              <w:t>las organizaciones intergubernamentales que explotan sistemas de satélites;</w:t>
            </w:r>
          </w:p>
          <w:p w14:paraId="52807FAD" w14:textId="0F7D905C" w:rsidR="00304E24" w:rsidRPr="00304E24" w:rsidRDefault="00304E24" w:rsidP="00304E24">
            <w:pPr>
              <w:tabs>
                <w:tab w:val="clear" w:pos="794"/>
                <w:tab w:val="left" w:pos="362"/>
                <w:tab w:val="left" w:pos="4111"/>
              </w:tabs>
              <w:spacing w:before="20" w:after="20"/>
              <w:ind w:left="57"/>
            </w:pPr>
            <w:r w:rsidRPr="00304E24">
              <w:t>–</w:t>
            </w:r>
            <w:r w:rsidRPr="00304E24">
              <w:tab/>
              <w:t>las Naciones Unidas;</w:t>
            </w:r>
          </w:p>
          <w:p w14:paraId="3A825105" w14:textId="2E6A2D3F" w:rsidR="007B6316" w:rsidRDefault="00304E24" w:rsidP="00304E24">
            <w:pPr>
              <w:tabs>
                <w:tab w:val="clear" w:pos="794"/>
                <w:tab w:val="left" w:pos="362"/>
                <w:tab w:val="left" w:pos="4111"/>
              </w:tabs>
              <w:spacing w:before="20" w:after="20"/>
              <w:ind w:left="362" w:hanging="305"/>
            </w:pPr>
            <w:r w:rsidRPr="00304E24">
              <w:t>–</w:t>
            </w:r>
            <w:r w:rsidRPr="00304E24">
              <w:tab/>
              <w:t>los organismos especializados de las Naciones Unidas y al Organismo Internacional de Energía Atómica</w:t>
            </w:r>
          </w:p>
        </w:tc>
      </w:tr>
      <w:tr w:rsidR="00304E24" w14:paraId="00060D17" w14:textId="77777777" w:rsidTr="00304E24">
        <w:trPr>
          <w:cantSplit/>
          <w:trHeight w:val="340"/>
        </w:trPr>
        <w:tc>
          <w:tcPr>
            <w:tcW w:w="1268" w:type="dxa"/>
          </w:tcPr>
          <w:p w14:paraId="7D3E967F" w14:textId="73842A15" w:rsidR="00304E24" w:rsidRPr="007B6316" w:rsidRDefault="00304E24" w:rsidP="00304E24">
            <w:pPr>
              <w:spacing w:before="20" w:after="20"/>
              <w:ind w:left="57"/>
            </w:pPr>
            <w:r w:rsidRPr="00304E24">
              <w:t>Contacto:</w:t>
            </w:r>
          </w:p>
        </w:tc>
        <w:tc>
          <w:tcPr>
            <w:tcW w:w="3609" w:type="dxa"/>
            <w:gridSpan w:val="2"/>
          </w:tcPr>
          <w:p w14:paraId="65208C7B" w14:textId="370B4A01" w:rsidR="00304E24" w:rsidRPr="00304E24" w:rsidRDefault="00B65BED" w:rsidP="00304E24">
            <w:pPr>
              <w:spacing w:before="20" w:after="20"/>
              <w:ind w:left="57"/>
            </w:pPr>
            <w:r>
              <w:t>S</w:t>
            </w:r>
            <w:r w:rsidRPr="00B65BED">
              <w:t>r</w:t>
            </w:r>
            <w:r>
              <w:t>.</w:t>
            </w:r>
            <w:r w:rsidRPr="00B65BED">
              <w:t xml:space="preserve"> Bilel Jamoussi</w:t>
            </w:r>
          </w:p>
        </w:tc>
        <w:tc>
          <w:tcPr>
            <w:tcW w:w="5329" w:type="dxa"/>
            <w:vMerge/>
          </w:tcPr>
          <w:p w14:paraId="2CBA3EC0" w14:textId="77777777" w:rsidR="00304E24" w:rsidRPr="00304E24" w:rsidRDefault="00304E24" w:rsidP="00304E24">
            <w:pPr>
              <w:tabs>
                <w:tab w:val="clear" w:pos="794"/>
                <w:tab w:val="left" w:pos="362"/>
                <w:tab w:val="left" w:pos="4111"/>
              </w:tabs>
              <w:spacing w:before="20" w:after="20"/>
              <w:ind w:left="362" w:hanging="305"/>
            </w:pPr>
          </w:p>
        </w:tc>
      </w:tr>
      <w:tr w:rsidR="007B6316" w14:paraId="76A5A35F" w14:textId="77777777" w:rsidTr="00304E24">
        <w:trPr>
          <w:cantSplit/>
        </w:trPr>
        <w:tc>
          <w:tcPr>
            <w:tcW w:w="1268" w:type="dxa"/>
          </w:tcPr>
          <w:p w14:paraId="09D1225C" w14:textId="77777777" w:rsidR="007B6316" w:rsidRPr="00304E24" w:rsidRDefault="007B6316" w:rsidP="00304E24">
            <w:pPr>
              <w:spacing w:before="20" w:after="20"/>
              <w:ind w:left="57"/>
            </w:pPr>
            <w:r w:rsidRPr="00304E24">
              <w:t>Tel.:</w:t>
            </w:r>
          </w:p>
        </w:tc>
        <w:tc>
          <w:tcPr>
            <w:tcW w:w="3609" w:type="dxa"/>
            <w:gridSpan w:val="2"/>
          </w:tcPr>
          <w:p w14:paraId="371FE609" w14:textId="4722EB45" w:rsidR="007B6316" w:rsidRPr="00304E24" w:rsidRDefault="00304E24" w:rsidP="00304E24">
            <w:pPr>
              <w:spacing w:before="20" w:after="20"/>
              <w:ind w:left="57"/>
            </w:pPr>
            <w:r w:rsidRPr="00304E24">
              <w:t xml:space="preserve">+41 22 730 </w:t>
            </w:r>
            <w:r w:rsidR="00B65BED" w:rsidRPr="00B65BED">
              <w:t>6311</w:t>
            </w:r>
          </w:p>
        </w:tc>
        <w:tc>
          <w:tcPr>
            <w:tcW w:w="5329" w:type="dxa"/>
            <w:vMerge/>
          </w:tcPr>
          <w:p w14:paraId="5DC8AD1A" w14:textId="77777777" w:rsidR="007B6316" w:rsidRDefault="007B6316" w:rsidP="00303D62">
            <w:pPr>
              <w:tabs>
                <w:tab w:val="left" w:pos="4111"/>
              </w:tabs>
              <w:spacing w:before="0"/>
              <w:rPr>
                <w:b/>
              </w:rPr>
            </w:pPr>
          </w:p>
        </w:tc>
      </w:tr>
      <w:tr w:rsidR="00A41990" w14:paraId="46D25202" w14:textId="77777777" w:rsidTr="00304E24">
        <w:trPr>
          <w:cantSplit/>
        </w:trPr>
        <w:tc>
          <w:tcPr>
            <w:tcW w:w="1268" w:type="dxa"/>
          </w:tcPr>
          <w:p w14:paraId="0E86339D" w14:textId="34FBC33C" w:rsidR="00A41990" w:rsidRPr="00304E24" w:rsidRDefault="00A41990" w:rsidP="00A41990">
            <w:pPr>
              <w:spacing w:before="20" w:after="20"/>
              <w:ind w:left="57"/>
            </w:pPr>
            <w:r w:rsidRPr="00304E24">
              <w:t>Fax:</w:t>
            </w:r>
          </w:p>
        </w:tc>
        <w:tc>
          <w:tcPr>
            <w:tcW w:w="3609" w:type="dxa"/>
            <w:gridSpan w:val="2"/>
          </w:tcPr>
          <w:p w14:paraId="4D76BA78" w14:textId="3220A292" w:rsidR="00A41990" w:rsidRPr="00304E24" w:rsidRDefault="00A41990" w:rsidP="00A41990">
            <w:pPr>
              <w:spacing w:before="20" w:after="20"/>
              <w:ind w:left="57"/>
            </w:pPr>
            <w:r w:rsidRPr="00304E24">
              <w:t>+41 22 730 5853</w:t>
            </w:r>
          </w:p>
        </w:tc>
        <w:tc>
          <w:tcPr>
            <w:tcW w:w="5329" w:type="dxa"/>
            <w:vMerge/>
          </w:tcPr>
          <w:p w14:paraId="5EDC5C6B" w14:textId="77777777" w:rsidR="00A41990" w:rsidRDefault="00A41990" w:rsidP="00A41990">
            <w:pPr>
              <w:tabs>
                <w:tab w:val="left" w:pos="4111"/>
              </w:tabs>
              <w:spacing w:before="0"/>
              <w:rPr>
                <w:b/>
              </w:rPr>
            </w:pPr>
          </w:p>
        </w:tc>
      </w:tr>
      <w:tr w:rsidR="00A41990" w14:paraId="54F457B0" w14:textId="77777777" w:rsidTr="00304E24">
        <w:trPr>
          <w:cantSplit/>
        </w:trPr>
        <w:tc>
          <w:tcPr>
            <w:tcW w:w="1268" w:type="dxa"/>
          </w:tcPr>
          <w:p w14:paraId="4B79670D" w14:textId="18FC2A21" w:rsidR="00A41990" w:rsidRPr="00304E24" w:rsidRDefault="00A41990" w:rsidP="00A41990">
            <w:pPr>
              <w:spacing w:before="20" w:after="20"/>
              <w:ind w:left="57"/>
            </w:pPr>
            <w:r w:rsidRPr="00304E24">
              <w:t>Correo-e:</w:t>
            </w:r>
          </w:p>
        </w:tc>
        <w:tc>
          <w:tcPr>
            <w:tcW w:w="3609" w:type="dxa"/>
            <w:gridSpan w:val="2"/>
          </w:tcPr>
          <w:p w14:paraId="0B733B29" w14:textId="1CE902E4" w:rsidR="00A41990" w:rsidRPr="00304E24" w:rsidRDefault="00F062FE" w:rsidP="00A41990">
            <w:pPr>
              <w:spacing w:before="20" w:after="20"/>
              <w:ind w:left="57"/>
            </w:pPr>
            <w:hyperlink r:id="rId9" w:history="1">
              <w:r w:rsidR="00A41990" w:rsidRPr="00B65BED">
                <w:rPr>
                  <w:rStyle w:val="Hyperlink"/>
                </w:rPr>
                <w:t>wtsa@itu.int</w:t>
              </w:r>
            </w:hyperlink>
          </w:p>
        </w:tc>
        <w:tc>
          <w:tcPr>
            <w:tcW w:w="5329" w:type="dxa"/>
            <w:vMerge/>
          </w:tcPr>
          <w:p w14:paraId="5EB15AC6" w14:textId="77777777" w:rsidR="00A41990" w:rsidRDefault="00A41990" w:rsidP="00A41990">
            <w:pPr>
              <w:tabs>
                <w:tab w:val="left" w:pos="4111"/>
              </w:tabs>
              <w:spacing w:before="0"/>
              <w:rPr>
                <w:b/>
              </w:rPr>
            </w:pPr>
          </w:p>
        </w:tc>
      </w:tr>
      <w:tr w:rsidR="00A41990" w14:paraId="799448E6" w14:textId="77777777" w:rsidTr="00304E24">
        <w:trPr>
          <w:cantSplit/>
        </w:trPr>
        <w:tc>
          <w:tcPr>
            <w:tcW w:w="1268" w:type="dxa"/>
          </w:tcPr>
          <w:p w14:paraId="3CD4DB25" w14:textId="1DE31EDF" w:rsidR="00A41990" w:rsidRPr="00304E24" w:rsidRDefault="00A41990" w:rsidP="00A41990">
            <w:pPr>
              <w:spacing w:before="20" w:after="20"/>
              <w:ind w:left="57"/>
            </w:pPr>
          </w:p>
        </w:tc>
        <w:tc>
          <w:tcPr>
            <w:tcW w:w="3609" w:type="dxa"/>
            <w:gridSpan w:val="2"/>
          </w:tcPr>
          <w:p w14:paraId="4CE7FCF9" w14:textId="423F9FD2" w:rsidR="00A41990" w:rsidRDefault="00A41990" w:rsidP="00A41990">
            <w:pPr>
              <w:spacing w:before="20" w:after="20"/>
              <w:ind w:left="57"/>
            </w:pPr>
          </w:p>
        </w:tc>
        <w:tc>
          <w:tcPr>
            <w:tcW w:w="5329" w:type="dxa"/>
          </w:tcPr>
          <w:p w14:paraId="7AE0B0D3" w14:textId="77777777" w:rsidR="00A41990" w:rsidRPr="00304E24" w:rsidRDefault="00A41990" w:rsidP="00A41990">
            <w:pPr>
              <w:spacing w:before="20" w:after="20"/>
              <w:ind w:left="57"/>
              <w:rPr>
                <w:b/>
                <w:bCs/>
              </w:rPr>
            </w:pPr>
            <w:r w:rsidRPr="00304E24">
              <w:rPr>
                <w:b/>
                <w:bCs/>
              </w:rPr>
              <w:t>Copia:</w:t>
            </w:r>
          </w:p>
          <w:p w14:paraId="45E7FE96" w14:textId="21A886EB" w:rsidR="00A41990" w:rsidRPr="00304E24" w:rsidRDefault="00A41990" w:rsidP="00A41990">
            <w:pPr>
              <w:tabs>
                <w:tab w:val="clear" w:pos="794"/>
                <w:tab w:val="left" w:pos="362"/>
                <w:tab w:val="left" w:pos="4111"/>
              </w:tabs>
              <w:spacing w:before="20" w:after="20"/>
              <w:ind w:left="362" w:hanging="305"/>
            </w:pPr>
            <w:r w:rsidRPr="00304E24">
              <w:t>–</w:t>
            </w:r>
            <w:r w:rsidRPr="00304E24">
              <w:tab/>
            </w:r>
            <w:r>
              <w:t>a</w:t>
            </w:r>
            <w:r w:rsidRPr="00304E24">
              <w:t xml:space="preserve"> los Presidentes y Vicepresidentes de las Comisiones de Estudio del UIT-T/GANT;</w:t>
            </w:r>
          </w:p>
          <w:p w14:paraId="701E9529" w14:textId="2247A3CA" w:rsidR="00A41990" w:rsidRPr="00304E24" w:rsidRDefault="00A41990" w:rsidP="00A41990">
            <w:pPr>
              <w:tabs>
                <w:tab w:val="clear" w:pos="794"/>
                <w:tab w:val="left" w:pos="362"/>
                <w:tab w:val="left" w:pos="4111"/>
              </w:tabs>
              <w:spacing w:before="20" w:after="20"/>
              <w:ind w:left="362" w:hanging="305"/>
            </w:pPr>
            <w:r w:rsidRPr="00304E24">
              <w:t>–</w:t>
            </w:r>
            <w:r w:rsidRPr="00304E24">
              <w:tab/>
            </w:r>
            <w:r>
              <w:t>a</w:t>
            </w:r>
            <w:r w:rsidR="00BC020F">
              <w:t xml:space="preserve"> </w:t>
            </w:r>
            <w:r w:rsidRPr="00304E24">
              <w:t>l</w:t>
            </w:r>
            <w:r w:rsidR="00BC020F">
              <w:t>a</w:t>
            </w:r>
            <w:r w:rsidRPr="00304E24">
              <w:t xml:space="preserve"> Director</w:t>
            </w:r>
            <w:r w:rsidR="00BC020F">
              <w:t>a</w:t>
            </w:r>
            <w:r w:rsidRPr="00304E24">
              <w:t xml:space="preserve"> de la Oficina de Desarrollo de las Telecomunicaciones;</w:t>
            </w:r>
          </w:p>
          <w:p w14:paraId="7314A1E8" w14:textId="6A822F26" w:rsidR="00A41990" w:rsidRDefault="00A41990" w:rsidP="00A41990">
            <w:pPr>
              <w:tabs>
                <w:tab w:val="clear" w:pos="794"/>
                <w:tab w:val="left" w:pos="362"/>
                <w:tab w:val="left" w:pos="4111"/>
              </w:tabs>
              <w:spacing w:before="20" w:after="20"/>
              <w:ind w:left="57"/>
            </w:pPr>
            <w:r w:rsidRPr="00304E24">
              <w:t>–</w:t>
            </w:r>
            <w:r w:rsidRPr="00304E24">
              <w:tab/>
            </w:r>
            <w:r>
              <w:t>a</w:t>
            </w:r>
            <w:r w:rsidRPr="00304E24">
              <w:t>l Director de la Oficina de Radiocomunicaciones</w:t>
            </w:r>
          </w:p>
        </w:tc>
      </w:tr>
      <w:tr w:rsidR="00A41990" w14:paraId="75821ABF" w14:textId="77777777" w:rsidTr="00304E24">
        <w:trPr>
          <w:cantSplit/>
        </w:trPr>
        <w:tc>
          <w:tcPr>
            <w:tcW w:w="1268" w:type="dxa"/>
          </w:tcPr>
          <w:p w14:paraId="48BD9711" w14:textId="77777777" w:rsidR="00A41990" w:rsidRPr="00304E24" w:rsidRDefault="00A41990" w:rsidP="00A41990">
            <w:pPr>
              <w:spacing w:after="20"/>
              <w:ind w:left="57"/>
              <w:rPr>
                <w:b/>
                <w:bCs/>
              </w:rPr>
            </w:pPr>
            <w:r w:rsidRPr="00304E24">
              <w:rPr>
                <w:b/>
                <w:bCs/>
              </w:rPr>
              <w:t>Asunto:</w:t>
            </w:r>
          </w:p>
        </w:tc>
        <w:tc>
          <w:tcPr>
            <w:tcW w:w="8938" w:type="dxa"/>
            <w:gridSpan w:val="3"/>
          </w:tcPr>
          <w:p w14:paraId="2C59363A" w14:textId="02732ED4" w:rsidR="00A41990" w:rsidRPr="00304E24" w:rsidRDefault="00A41990" w:rsidP="00A41990">
            <w:pPr>
              <w:ind w:left="57"/>
              <w:rPr>
                <w:b/>
                <w:bCs/>
              </w:rPr>
            </w:pPr>
            <w:r w:rsidRPr="00304E24">
              <w:rPr>
                <w:b/>
                <w:bCs/>
              </w:rPr>
              <w:t>Asamblea Mundial de Normalización de las Telecomunicaciones (AMNT-</w:t>
            </w:r>
            <w:r>
              <w:rPr>
                <w:b/>
                <w:bCs/>
              </w:rPr>
              <w:t>20</w:t>
            </w:r>
            <w:r w:rsidRPr="00304E24">
              <w:rPr>
                <w:b/>
                <w:bCs/>
              </w:rPr>
              <w:t>)</w:t>
            </w:r>
            <w:r>
              <w:rPr>
                <w:b/>
                <w:bCs/>
              </w:rPr>
              <w:br/>
              <w:t>Ginebra (Suiza), 1-9 de marzo de 2022</w:t>
            </w:r>
          </w:p>
        </w:tc>
      </w:tr>
    </w:tbl>
    <w:p w14:paraId="1B48FCC3" w14:textId="77777777" w:rsidR="00C34772" w:rsidRDefault="00C34772" w:rsidP="00304E24">
      <w:pPr>
        <w:pStyle w:val="Normalaftertitle0"/>
      </w:pPr>
      <w:bookmarkStart w:id="1" w:name="StartTyping_S"/>
      <w:bookmarkStart w:id="2" w:name="suitetext"/>
      <w:bookmarkStart w:id="3" w:name="text"/>
      <w:bookmarkEnd w:id="1"/>
      <w:bookmarkEnd w:id="2"/>
      <w:bookmarkEnd w:id="3"/>
      <w:r>
        <w:t>Muy Señora mía/Muy Señor mío:</w:t>
      </w:r>
    </w:p>
    <w:p w14:paraId="38AABE26" w14:textId="27378C85" w:rsidR="00304E24" w:rsidRPr="00304E24" w:rsidRDefault="00304E24" w:rsidP="00B65BED">
      <w:r w:rsidRPr="00304E24">
        <w:t xml:space="preserve">El Secretario General de la UIT, mediante las </w:t>
      </w:r>
      <w:hyperlink r:id="rId10" w:history="1">
        <w:r w:rsidR="00B65BED" w:rsidRPr="00B65BED">
          <w:rPr>
            <w:rStyle w:val="Hyperlink"/>
          </w:rPr>
          <w:t>cartas de invitación</w:t>
        </w:r>
      </w:hyperlink>
      <w:r w:rsidRPr="00304E24">
        <w:t xml:space="preserve"> del </w:t>
      </w:r>
      <w:r w:rsidR="00B65BED">
        <w:t>8 de septiembre de 2021</w:t>
      </w:r>
      <w:r w:rsidRPr="00304E24">
        <w:t>, anunció que la Asamblea Mundial de Normalización de las Telecomunicaciones (AMNT-</w:t>
      </w:r>
      <w:r w:rsidR="00B65BED">
        <w:t>20</w:t>
      </w:r>
      <w:r w:rsidRPr="00304E24">
        <w:t xml:space="preserve">) se celebrará en </w:t>
      </w:r>
      <w:r w:rsidR="00B65BED">
        <w:t>Ginebra</w:t>
      </w:r>
      <w:r w:rsidRPr="00304E24">
        <w:t xml:space="preserve"> (</w:t>
      </w:r>
      <w:r w:rsidR="00B65BED">
        <w:t>Suiza</w:t>
      </w:r>
      <w:r w:rsidRPr="00304E24">
        <w:t xml:space="preserve">), del </w:t>
      </w:r>
      <w:r w:rsidR="00B65BED">
        <w:t>1</w:t>
      </w:r>
      <w:r w:rsidRPr="00304E24">
        <w:t xml:space="preserve"> al </w:t>
      </w:r>
      <w:r w:rsidR="00B65BED">
        <w:t>9</w:t>
      </w:r>
      <w:r w:rsidRPr="00304E24">
        <w:t xml:space="preserve"> de </w:t>
      </w:r>
      <w:r w:rsidR="00B65BED">
        <w:t>marzo de 2022</w:t>
      </w:r>
      <w:r w:rsidRPr="00304E24">
        <w:t>, precedida por el Simposio Mundial de Normalización</w:t>
      </w:r>
      <w:r w:rsidR="00B65BED">
        <w:t xml:space="preserve"> </w:t>
      </w:r>
      <w:r w:rsidR="00B65BED" w:rsidRPr="00B65BED">
        <w:rPr>
          <w:lang w:val="en-GB"/>
        </w:rPr>
        <w:t>(</w:t>
      </w:r>
      <w:r w:rsidR="00BC020F">
        <w:rPr>
          <w:lang w:val="en-GB"/>
        </w:rPr>
        <w:t>SMN</w:t>
      </w:r>
      <w:r w:rsidR="00B65BED" w:rsidRPr="00B65BED">
        <w:rPr>
          <w:lang w:val="en-GB"/>
        </w:rPr>
        <w:t>-20)</w:t>
      </w:r>
      <w:r w:rsidRPr="00304E24">
        <w:t xml:space="preserve">, el </w:t>
      </w:r>
      <w:r w:rsidR="00B65BED">
        <w:t>28 de febrero de 2022</w:t>
      </w:r>
      <w:r w:rsidRPr="00304E24">
        <w:t>.</w:t>
      </w:r>
    </w:p>
    <w:p w14:paraId="094D99D1" w14:textId="4DAE4E67" w:rsidR="00304E24" w:rsidRPr="00304E24" w:rsidRDefault="00304E24" w:rsidP="00304E24">
      <w:r w:rsidRPr="00304E24">
        <w:t xml:space="preserve">El </w:t>
      </w:r>
      <w:r w:rsidR="00B65BED">
        <w:t>10 de marzo de 2022</w:t>
      </w:r>
      <w:r w:rsidRPr="00304E24">
        <w:t xml:space="preserve">, también en </w:t>
      </w:r>
      <w:r w:rsidR="00B65BED">
        <w:t>Ginebra (Suiza)</w:t>
      </w:r>
      <w:r w:rsidRPr="00304E24">
        <w:t>, tendrá lugar una reunión con los Presidentes y Vicepresidentes del UIT-T recién elegidos.</w:t>
      </w:r>
    </w:p>
    <w:p w14:paraId="01128A85" w14:textId="77777777" w:rsidR="00304E24" w:rsidRPr="00304E24" w:rsidRDefault="00304E24" w:rsidP="00304E24">
      <w:r w:rsidRPr="00304E24">
        <w:t>Tengo el honor de transmitirle la información pertinente relativa a la Asamblea.</w:t>
      </w:r>
    </w:p>
    <w:p w14:paraId="5098F240" w14:textId="4272B83A" w:rsidR="00304E24" w:rsidRPr="00304E24" w:rsidRDefault="00304E24" w:rsidP="00D96346">
      <w:pPr>
        <w:pStyle w:val="Heading1"/>
      </w:pPr>
      <w:r w:rsidRPr="00304E24">
        <w:t>1</w:t>
      </w:r>
      <w:r w:rsidRPr="00304E24">
        <w:tab/>
        <w:t>Sitio web</w:t>
      </w:r>
    </w:p>
    <w:p w14:paraId="6B3189A0" w14:textId="54CF8246" w:rsidR="00B65BED" w:rsidRDefault="00B65BED" w:rsidP="00B65BED">
      <w:r w:rsidRPr="00B65BED">
        <w:rPr>
          <w:lang w:val="en-GB"/>
        </w:rPr>
        <w:t>El sitio web de la AMNT</w:t>
      </w:r>
      <w:r>
        <w:rPr>
          <w:lang w:val="en-GB"/>
        </w:rPr>
        <w:t>-20</w:t>
      </w:r>
      <w:r w:rsidRPr="00B65BED">
        <w:rPr>
          <w:lang w:val="en-GB"/>
        </w:rPr>
        <w:t xml:space="preserve"> es </w:t>
      </w:r>
      <w:hyperlink r:id="rId11" w:history="1">
        <w:r w:rsidR="00372E2D">
          <w:rPr>
            <w:rStyle w:val="Hyperlink"/>
            <w:lang w:val="en-GB"/>
          </w:rPr>
          <w:t>https://www.itu.int/es/ITU-T/wtsa20</w:t>
        </w:r>
      </w:hyperlink>
      <w:r w:rsidRPr="00B65BED">
        <w:rPr>
          <w:lang w:val="en-GB"/>
        </w:rPr>
        <w:t>.</w:t>
      </w:r>
    </w:p>
    <w:p w14:paraId="0752F7D1" w14:textId="61BEAE4C" w:rsidR="00304E24" w:rsidRPr="00304E24" w:rsidRDefault="00304E24" w:rsidP="009D3827">
      <w:pPr>
        <w:pStyle w:val="Heading1"/>
        <w:tabs>
          <w:tab w:val="clear" w:pos="3261"/>
          <w:tab w:val="center" w:pos="4819"/>
        </w:tabs>
      </w:pPr>
      <w:r w:rsidRPr="00304E24">
        <w:t>2</w:t>
      </w:r>
      <w:r w:rsidRPr="00304E24">
        <w:tab/>
        <w:t>Lugar de celebración</w:t>
      </w:r>
    </w:p>
    <w:p w14:paraId="14F9BEFB" w14:textId="036F1B0A" w:rsidR="00304E24" w:rsidRPr="00586272" w:rsidRDefault="00304E24" w:rsidP="00113694">
      <w:pPr>
        <w:rPr>
          <w:lang w:val="es-ES"/>
        </w:rPr>
      </w:pPr>
      <w:r w:rsidRPr="00586272">
        <w:rPr>
          <w:lang w:val="es-ES"/>
        </w:rPr>
        <w:t xml:space="preserve">La Asamblea se celebrará en el </w:t>
      </w:r>
      <w:hyperlink r:id="rId12" w:history="1">
        <w:r w:rsidR="00113694" w:rsidRPr="00586272">
          <w:rPr>
            <w:rStyle w:val="Hyperlink"/>
            <w:lang w:val="es-ES"/>
          </w:rPr>
          <w:t>Centr</w:t>
        </w:r>
        <w:r w:rsidR="00A41990" w:rsidRPr="00586272">
          <w:rPr>
            <w:rStyle w:val="Hyperlink"/>
            <w:lang w:val="es-ES"/>
          </w:rPr>
          <w:t>o Internacional de Conferencias de Ginebra</w:t>
        </w:r>
        <w:r w:rsidR="00113694" w:rsidRPr="00586272">
          <w:rPr>
            <w:rStyle w:val="Hyperlink"/>
            <w:lang w:val="es-ES"/>
          </w:rPr>
          <w:t xml:space="preserve"> (CICG)</w:t>
        </w:r>
      </w:hyperlink>
      <w:r w:rsidR="00113694" w:rsidRPr="00586272">
        <w:rPr>
          <w:lang w:val="es-ES"/>
        </w:rPr>
        <w:t>, Ginebra (Suiza)</w:t>
      </w:r>
      <w:r w:rsidRPr="00586272">
        <w:rPr>
          <w:lang w:val="es-ES"/>
        </w:rPr>
        <w:t xml:space="preserve">. La sesión de apertura tendrá lugar el martes </w:t>
      </w:r>
      <w:r w:rsidR="00B65BED" w:rsidRPr="00586272">
        <w:rPr>
          <w:lang w:val="es-ES"/>
        </w:rPr>
        <w:t>1 de marzo de 2022</w:t>
      </w:r>
      <w:r w:rsidRPr="00586272">
        <w:rPr>
          <w:lang w:val="es-ES"/>
        </w:rPr>
        <w:t xml:space="preserve"> a las 11.00 horas, precedida por una reunión de los </w:t>
      </w:r>
      <w:r w:rsidR="005F25CE" w:rsidRPr="00586272">
        <w:rPr>
          <w:lang w:val="es-ES"/>
        </w:rPr>
        <w:t>j</w:t>
      </w:r>
      <w:r w:rsidRPr="00586272">
        <w:rPr>
          <w:lang w:val="es-ES"/>
        </w:rPr>
        <w:t xml:space="preserve">efes de </w:t>
      </w:r>
      <w:r w:rsidR="005F25CE" w:rsidRPr="00586272">
        <w:rPr>
          <w:lang w:val="es-ES"/>
        </w:rPr>
        <w:t>d</w:t>
      </w:r>
      <w:r w:rsidRPr="00586272">
        <w:rPr>
          <w:lang w:val="es-ES"/>
        </w:rPr>
        <w:t>elegación, a las 09.30 horas.</w:t>
      </w:r>
    </w:p>
    <w:p w14:paraId="1BD41F0C" w14:textId="3A56963D" w:rsidR="00DE3D11" w:rsidRPr="00586272" w:rsidRDefault="00DE3D11" w:rsidP="00DE3D11">
      <w:pPr>
        <w:rPr>
          <w:lang w:val="es-ES"/>
        </w:rPr>
      </w:pPr>
      <w:r w:rsidRPr="00586272">
        <w:rPr>
          <w:lang w:val="es-ES"/>
        </w:rPr>
        <w:lastRenderedPageBreak/>
        <w:t>Las salas de reunión contarán con instalaciones que permitan la participación interactiva a distancia de los delegados.</w:t>
      </w:r>
    </w:p>
    <w:p w14:paraId="7C9840B8" w14:textId="5AFEF798" w:rsidR="00B65BED" w:rsidRPr="00586272" w:rsidRDefault="00DE3D11" w:rsidP="00DE3D11">
      <w:pPr>
        <w:rPr>
          <w:lang w:val="es-ES"/>
        </w:rPr>
      </w:pPr>
      <w:r w:rsidRPr="00586272">
        <w:rPr>
          <w:lang w:val="es-ES"/>
        </w:rPr>
        <w:t>Los delegados presentes físicamente en la reunión de Ginebra tomarán las decisiones.</w:t>
      </w:r>
    </w:p>
    <w:p w14:paraId="4C20638C" w14:textId="77777777" w:rsidR="00304E24" w:rsidRPr="00304E24" w:rsidRDefault="00304E24" w:rsidP="00D96346">
      <w:pPr>
        <w:pStyle w:val="Heading1"/>
      </w:pPr>
      <w:r w:rsidRPr="00304E24">
        <w:t>3</w:t>
      </w:r>
      <w:r w:rsidRPr="00304E24">
        <w:tab/>
        <w:t>Tareas y funciones de la Asamblea</w:t>
      </w:r>
    </w:p>
    <w:p w14:paraId="1197CCD3" w14:textId="3E019734" w:rsidR="00304E24" w:rsidRPr="00304E24" w:rsidRDefault="00304E24" w:rsidP="00113694">
      <w:r w:rsidRPr="00304E24">
        <w:t>El orden del día de la Asamblea se basará en las tareas y funciones definidas en el Artículo</w:t>
      </w:r>
      <w:r w:rsidR="00170A0A">
        <w:t> </w:t>
      </w:r>
      <w:r w:rsidRPr="00304E24">
        <w:t>18 de la Constitución de la UIT y en el Artículo</w:t>
      </w:r>
      <w:r w:rsidR="00170A0A">
        <w:t> </w:t>
      </w:r>
      <w:r w:rsidRPr="00304E24">
        <w:t>13 del Convenio de la UIT</w:t>
      </w:r>
      <w:r w:rsidR="00113694">
        <w:t xml:space="preserve"> </w:t>
      </w:r>
      <w:hyperlink r:id="rId13" w:history="1">
        <w:r w:rsidR="00113694" w:rsidRPr="00113694">
          <w:rPr>
            <w:rStyle w:val="Hyperlink"/>
            <w:lang w:val="en-GB"/>
          </w:rPr>
          <w:t>https://www.itu.int/council/pd/convention.html</w:t>
        </w:r>
      </w:hyperlink>
      <w:r w:rsidRPr="00304E24">
        <w:t>.</w:t>
      </w:r>
    </w:p>
    <w:p w14:paraId="079981C3" w14:textId="77777777" w:rsidR="00304E24" w:rsidRPr="00304E24" w:rsidRDefault="00304E24" w:rsidP="00D96346">
      <w:pPr>
        <w:pStyle w:val="Heading1"/>
      </w:pPr>
      <w:r w:rsidRPr="00304E24">
        <w:t>4</w:t>
      </w:r>
      <w:r w:rsidRPr="00304E24">
        <w:tab/>
        <w:t>Condiciones de invitación y admisión</w:t>
      </w:r>
    </w:p>
    <w:p w14:paraId="2713D7C7" w14:textId="04C6D11D" w:rsidR="00304E24" w:rsidRPr="00304E24" w:rsidRDefault="00304E24" w:rsidP="00304E24">
      <w:r w:rsidRPr="00304E24">
        <w:t>Las condiciones que rigen la invitación y admisión en la Asamblea se especifican en el Artículo</w:t>
      </w:r>
      <w:r w:rsidR="00170A0A">
        <w:t> </w:t>
      </w:r>
      <w:r w:rsidRPr="00304E24">
        <w:t>25 del Convenio de la UIT.</w:t>
      </w:r>
    </w:p>
    <w:p w14:paraId="3F49C123" w14:textId="77777777" w:rsidR="00304E24" w:rsidRPr="00304E24" w:rsidRDefault="00304E24" w:rsidP="00D96346">
      <w:pPr>
        <w:pStyle w:val="Heading1"/>
      </w:pPr>
      <w:r w:rsidRPr="00304E24">
        <w:t>5</w:t>
      </w:r>
      <w:r w:rsidRPr="00304E24">
        <w:tab/>
        <w:t>Proyecto de estructura de la Asamblea</w:t>
      </w:r>
    </w:p>
    <w:p w14:paraId="0B833F5F" w14:textId="03D17248" w:rsidR="00304E24" w:rsidRPr="00304E24" w:rsidRDefault="00304E24" w:rsidP="00304E24">
      <w:r w:rsidRPr="00304E24">
        <w:t xml:space="preserve">La Asamblea organizará sus </w:t>
      </w:r>
      <w:r w:rsidR="00DE3D11">
        <w:t>trabajos</w:t>
      </w:r>
      <w:r w:rsidRPr="00304E24">
        <w:t xml:space="preserve"> mediante la creación de comisiones, de acuerdo con la Sección 1 de la </w:t>
      </w:r>
      <w:hyperlink r:id="rId14" w:history="1">
        <w:r w:rsidRPr="00304E24">
          <w:rPr>
            <w:rStyle w:val="Hyperlink"/>
          </w:rPr>
          <w:t>Resolución 1</w:t>
        </w:r>
      </w:hyperlink>
      <w:r w:rsidRPr="00304E24">
        <w:t xml:space="preserve"> (Rev. </w:t>
      </w:r>
      <w:r w:rsidR="00113694" w:rsidRPr="00113694">
        <w:t>Hammamet, 2016</w:t>
      </w:r>
      <w:r w:rsidRPr="00304E24">
        <w:t>)</w:t>
      </w:r>
      <w:r w:rsidR="00632A70">
        <w:t xml:space="preserve"> de la AMNT</w:t>
      </w:r>
      <w:r w:rsidRPr="00304E24">
        <w:t xml:space="preserve">. En el </w:t>
      </w:r>
      <w:r w:rsidRPr="008D1A81">
        <w:rPr>
          <w:b/>
          <w:bCs/>
        </w:rPr>
        <w:t xml:space="preserve">Anexo </w:t>
      </w:r>
      <w:r w:rsidR="00113694" w:rsidRPr="008D1A81">
        <w:rPr>
          <w:b/>
          <w:bCs/>
        </w:rPr>
        <w:t>2</w:t>
      </w:r>
      <w:r w:rsidRPr="00304E24">
        <w:t xml:space="preserve"> figura una estructura provisional de las Comisiones, que será examinada en la reunión de los </w:t>
      </w:r>
      <w:r w:rsidR="005F25CE" w:rsidRPr="00304E24">
        <w:t>j</w:t>
      </w:r>
      <w:r w:rsidRPr="00304E24">
        <w:t xml:space="preserve">efes de </w:t>
      </w:r>
      <w:r w:rsidR="005F25CE" w:rsidRPr="00304E24">
        <w:t>d</w:t>
      </w:r>
      <w:r w:rsidRPr="00304E24">
        <w:t>elegación previa a la apertura de la Asamblea.</w:t>
      </w:r>
    </w:p>
    <w:p w14:paraId="4522E951" w14:textId="77777777" w:rsidR="00304E24" w:rsidRPr="00304E24" w:rsidRDefault="00304E24" w:rsidP="00D96346">
      <w:pPr>
        <w:pStyle w:val="Heading1"/>
      </w:pPr>
      <w:r w:rsidRPr="00304E24">
        <w:t>6</w:t>
      </w:r>
      <w:r w:rsidRPr="00304E24">
        <w:tab/>
        <w:t>Asuntos que examinarán la Sesión Plenaria</w:t>
      </w:r>
    </w:p>
    <w:p w14:paraId="675D9F0A" w14:textId="77777777" w:rsidR="00304E24" w:rsidRPr="00304E24" w:rsidRDefault="00304E24" w:rsidP="00304E24">
      <w:r w:rsidRPr="00304E24">
        <w:t>El orden del día de la Sesión Plenaria incluirá los siguientes puntos:</w:t>
      </w:r>
    </w:p>
    <w:p w14:paraId="0DAB41F0" w14:textId="28E5294E" w:rsidR="00304E24" w:rsidRPr="00304E24" w:rsidRDefault="00304E24" w:rsidP="00D96346">
      <w:pPr>
        <w:pStyle w:val="enumlev1"/>
      </w:pPr>
      <w:r w:rsidRPr="00304E24">
        <w:t>–</w:t>
      </w:r>
      <w:r w:rsidRPr="00304E24">
        <w:tab/>
        <w:t>aprobación del programa de trabajo de la AMNT-</w:t>
      </w:r>
      <w:r w:rsidR="00113694">
        <w:t>20</w:t>
      </w:r>
      <w:r w:rsidRPr="00304E24">
        <w:t>;</w:t>
      </w:r>
    </w:p>
    <w:p w14:paraId="7E0D5EF6" w14:textId="77777777" w:rsidR="00304E24" w:rsidRPr="00304E24" w:rsidRDefault="00304E24" w:rsidP="00D96346">
      <w:pPr>
        <w:pStyle w:val="enumlev1"/>
      </w:pPr>
      <w:r w:rsidRPr="00304E24">
        <w:t>–</w:t>
      </w:r>
      <w:r w:rsidRPr="00304E24">
        <w:tab/>
        <w:t>designación del Presidente y de los Vicepresidentes de la Asamblea;</w:t>
      </w:r>
    </w:p>
    <w:p w14:paraId="62010E35" w14:textId="7A6E6F2C" w:rsidR="00304E24" w:rsidRPr="00304E24" w:rsidRDefault="00304E24" w:rsidP="00D96346">
      <w:pPr>
        <w:pStyle w:val="enumlev1"/>
      </w:pPr>
      <w:r w:rsidRPr="00304E24">
        <w:t>–</w:t>
      </w:r>
      <w:r w:rsidRPr="00304E24">
        <w:tab/>
        <w:t>establecimiento de las Comisiones de la AMNT-</w:t>
      </w:r>
      <w:r w:rsidR="00113694">
        <w:t>20</w:t>
      </w:r>
      <w:r w:rsidRPr="00304E24">
        <w:t>;</w:t>
      </w:r>
    </w:p>
    <w:p w14:paraId="5D8AF76C" w14:textId="77777777" w:rsidR="00304E24" w:rsidRPr="00304E24" w:rsidRDefault="00304E24" w:rsidP="00D96346">
      <w:pPr>
        <w:pStyle w:val="enumlev1"/>
      </w:pPr>
      <w:r w:rsidRPr="00304E24">
        <w:t>–</w:t>
      </w:r>
      <w:r w:rsidRPr="00304E24">
        <w:tab/>
        <w:t>designación de los Presidentes y Vicepresidentes de las Comisiones;</w:t>
      </w:r>
    </w:p>
    <w:p w14:paraId="3742C0DA" w14:textId="77777777" w:rsidR="00304E24" w:rsidRPr="00304E24" w:rsidRDefault="00304E24" w:rsidP="00D96346">
      <w:pPr>
        <w:pStyle w:val="enumlev1"/>
      </w:pPr>
      <w:r w:rsidRPr="00304E24">
        <w:t>–</w:t>
      </w:r>
      <w:r w:rsidRPr="00304E24">
        <w:tab/>
        <w:t>atribución de documentos;</w:t>
      </w:r>
    </w:p>
    <w:p w14:paraId="16ED4423" w14:textId="2B7BA988" w:rsidR="00304E24" w:rsidRPr="00304E24" w:rsidRDefault="00304E24" w:rsidP="00D96346">
      <w:pPr>
        <w:pStyle w:val="enumlev1"/>
      </w:pPr>
      <w:r w:rsidRPr="00304E24">
        <w:t>–</w:t>
      </w:r>
      <w:r w:rsidRPr="00304E24">
        <w:tab/>
        <w:t xml:space="preserve">examen de los </w:t>
      </w:r>
      <w:r w:rsidR="00380DA6">
        <w:t>i</w:t>
      </w:r>
      <w:r w:rsidRPr="00304E24">
        <w:t>nformes, incluidas las propuestas presentadas relativas a las actividades de las Comisiones de Estudio;</w:t>
      </w:r>
    </w:p>
    <w:p w14:paraId="275BBD7F" w14:textId="1EEF685D" w:rsidR="00304E24" w:rsidRPr="00304E24" w:rsidRDefault="00304E24" w:rsidP="00D96346">
      <w:pPr>
        <w:pStyle w:val="enumlev1"/>
      </w:pPr>
      <w:r w:rsidRPr="00304E24">
        <w:t>–</w:t>
      </w:r>
      <w:r w:rsidRPr="00304E24">
        <w:tab/>
        <w:t xml:space="preserve">informes de las Comisiones 2 (Comisión de Presupuesto), 3 (Comisión de Métodos de Trabajo del UIT-T) y 4 (Comisión del Programa de </w:t>
      </w:r>
      <w:r w:rsidR="00170A0A">
        <w:t>t</w:t>
      </w:r>
      <w:r w:rsidRPr="00304E24">
        <w:t xml:space="preserve">rabajo y </w:t>
      </w:r>
      <w:r w:rsidR="00170A0A">
        <w:t>o</w:t>
      </w:r>
      <w:r w:rsidRPr="00304E24">
        <w:t>rganización del UIT-T)</w:t>
      </w:r>
      <w:r w:rsidR="00EF4BE0">
        <w:rPr>
          <w:rStyle w:val="FootnoteReference"/>
        </w:rPr>
        <w:footnoteReference w:customMarkFollows="1" w:id="1"/>
        <w:t>*</w:t>
      </w:r>
      <w:r w:rsidRPr="00304E24">
        <w:t>;</w:t>
      </w:r>
    </w:p>
    <w:p w14:paraId="05816F42" w14:textId="380A3794" w:rsidR="00304E24" w:rsidRPr="00304E24" w:rsidRDefault="00304E24" w:rsidP="00D96346">
      <w:pPr>
        <w:pStyle w:val="enumlev1"/>
      </w:pPr>
      <w:r w:rsidRPr="00304E24">
        <w:t>–</w:t>
      </w:r>
      <w:r w:rsidRPr="00304E24">
        <w:tab/>
        <w:t>designación de los Presidentes y Vicepresidentes de las Comisiones de Estudio del UIT-T, del GANT y del SCV (</w:t>
      </w:r>
      <w:r w:rsidR="00113694" w:rsidRPr="00113694">
        <w:t>Comité de normalización del vocabulario</w:t>
      </w:r>
      <w:r w:rsidRPr="00113694">
        <w:t xml:space="preserve">), </w:t>
      </w:r>
      <w:r w:rsidRPr="00304E24">
        <w:t>creado por la AMNT-</w:t>
      </w:r>
      <w:r w:rsidR="00113694">
        <w:t>20</w:t>
      </w:r>
      <w:r w:rsidRPr="00304E24">
        <w:t>;</w:t>
      </w:r>
    </w:p>
    <w:p w14:paraId="5195DA58" w14:textId="77777777" w:rsidR="00304E24" w:rsidRPr="00304E24" w:rsidRDefault="00304E24" w:rsidP="00D96346">
      <w:pPr>
        <w:pStyle w:val="enumlev1"/>
      </w:pPr>
      <w:r w:rsidRPr="00304E24">
        <w:t>–</w:t>
      </w:r>
      <w:r w:rsidRPr="00304E24">
        <w:tab/>
        <w:t>informe de las conclusiones del Simposio Mundial de Normalización.</w:t>
      </w:r>
    </w:p>
    <w:p w14:paraId="7CE6319D" w14:textId="6EE2CDF2" w:rsidR="00304E24" w:rsidRPr="00304E24" w:rsidRDefault="00304E24" w:rsidP="00D96346">
      <w:pPr>
        <w:pStyle w:val="Heading1"/>
      </w:pPr>
      <w:r w:rsidRPr="00304E24">
        <w:lastRenderedPageBreak/>
        <w:t>7</w:t>
      </w:r>
      <w:r w:rsidRPr="00304E24">
        <w:tab/>
        <w:t>Contribuciones</w:t>
      </w:r>
    </w:p>
    <w:p w14:paraId="260A5776" w14:textId="63242BDB" w:rsidR="00304E24" w:rsidRPr="00541BAE" w:rsidRDefault="00304E24" w:rsidP="00380DA6">
      <w:pPr>
        <w:keepNext/>
        <w:keepLines/>
        <w:rPr>
          <w:lang w:val="es-ES"/>
        </w:rPr>
      </w:pPr>
      <w:r w:rsidRPr="00541BAE">
        <w:rPr>
          <w:lang w:val="es-ES"/>
        </w:rPr>
        <w:t>7.1</w:t>
      </w:r>
      <w:r w:rsidRPr="00541BAE">
        <w:rPr>
          <w:lang w:val="es-ES"/>
        </w:rPr>
        <w:tab/>
        <w:t>Se invita a las delegaciones a presentar contribuciones a la AMNT-</w:t>
      </w:r>
      <w:r w:rsidR="00113694" w:rsidRPr="00541BAE">
        <w:rPr>
          <w:lang w:val="es-ES"/>
        </w:rPr>
        <w:t>20</w:t>
      </w:r>
      <w:r w:rsidRPr="00541BAE">
        <w:rPr>
          <w:lang w:val="es-ES"/>
        </w:rPr>
        <w:t xml:space="preserve"> cuatro semanas antes de la apertura de la AMNT-</w:t>
      </w:r>
      <w:r w:rsidR="00113694" w:rsidRPr="00541BAE">
        <w:rPr>
          <w:lang w:val="es-ES"/>
        </w:rPr>
        <w:t>20</w:t>
      </w:r>
      <w:r w:rsidRPr="00541BAE">
        <w:rPr>
          <w:lang w:val="es-ES"/>
        </w:rPr>
        <w:t xml:space="preserve"> (lunes </w:t>
      </w:r>
      <w:r w:rsidR="00113694" w:rsidRPr="00541BAE">
        <w:rPr>
          <w:lang w:val="es-ES"/>
        </w:rPr>
        <w:t>31 de enero de 2022</w:t>
      </w:r>
      <w:r w:rsidRPr="00541BAE">
        <w:rPr>
          <w:lang w:val="es-ES"/>
        </w:rPr>
        <w:t>), habida cuenta de que en la Resolución 165</w:t>
      </w:r>
      <w:r w:rsidR="00113694" w:rsidRPr="00541BAE">
        <w:rPr>
          <w:lang w:val="es-ES"/>
        </w:rPr>
        <w:t xml:space="preserve"> (Dubái, 2018)</w:t>
      </w:r>
      <w:r w:rsidRPr="00541BAE">
        <w:rPr>
          <w:lang w:val="es-ES"/>
        </w:rPr>
        <w:t xml:space="preserve"> de la </w:t>
      </w:r>
      <w:r w:rsidR="009150C5">
        <w:rPr>
          <w:lang w:val="es-ES"/>
        </w:rPr>
        <w:t>Conferencia de Plenipotenciarios</w:t>
      </w:r>
      <w:r w:rsidRPr="00541BAE">
        <w:rPr>
          <w:lang w:val="es-ES"/>
        </w:rPr>
        <w:t xml:space="preserve"> se estipula un plazo estricto de </w:t>
      </w:r>
      <w:r w:rsidR="00113694" w:rsidRPr="00541BAE">
        <w:rPr>
          <w:lang w:val="es-ES"/>
        </w:rPr>
        <w:t>21</w:t>
      </w:r>
      <w:r w:rsidRPr="00541BAE">
        <w:rPr>
          <w:lang w:val="es-ES"/>
        </w:rPr>
        <w:t xml:space="preserve"> días naturales antes de la apertura de la AMNT-</w:t>
      </w:r>
      <w:r w:rsidR="00113694" w:rsidRPr="00541BAE">
        <w:rPr>
          <w:lang w:val="es-ES"/>
        </w:rPr>
        <w:t>20</w:t>
      </w:r>
      <w:r w:rsidRPr="00541BAE">
        <w:rPr>
          <w:lang w:val="es-ES"/>
        </w:rPr>
        <w:t xml:space="preserve"> (lunes </w:t>
      </w:r>
      <w:r w:rsidR="00113694" w:rsidRPr="00541BAE">
        <w:rPr>
          <w:lang w:val="es-ES"/>
        </w:rPr>
        <w:t>7 de febrero de 2022</w:t>
      </w:r>
      <w:r w:rsidRPr="00541BAE">
        <w:rPr>
          <w:lang w:val="es-ES"/>
        </w:rPr>
        <w:t xml:space="preserve"> a las 23.59</w:t>
      </w:r>
      <w:r w:rsidR="0011049F">
        <w:rPr>
          <w:lang w:val="es-ES"/>
        </w:rPr>
        <w:t> </w:t>
      </w:r>
      <w:r w:rsidRPr="00541BAE">
        <w:rPr>
          <w:lang w:val="es-ES"/>
        </w:rPr>
        <w:t>horas de Ginebra)</w:t>
      </w:r>
      <w:r w:rsidR="00541BAE">
        <w:rPr>
          <w:rStyle w:val="FootnoteReference"/>
          <w:lang w:val="es-ES"/>
        </w:rPr>
        <w:footnoteReference w:id="2"/>
      </w:r>
      <w:r w:rsidRPr="00541BAE">
        <w:rPr>
          <w:lang w:val="es-ES"/>
        </w:rPr>
        <w:t>.</w:t>
      </w:r>
    </w:p>
    <w:p w14:paraId="75CA146B" w14:textId="3787AB87" w:rsidR="00304E24" w:rsidRPr="00541BAE" w:rsidRDefault="00304E24" w:rsidP="00113694">
      <w:pPr>
        <w:rPr>
          <w:lang w:val="es-ES"/>
        </w:rPr>
      </w:pPr>
      <w:r w:rsidRPr="00541BAE">
        <w:rPr>
          <w:lang w:val="es-ES"/>
        </w:rPr>
        <w:t>7.2</w:t>
      </w:r>
      <w:r w:rsidRPr="00541BAE">
        <w:rPr>
          <w:lang w:val="es-ES"/>
        </w:rPr>
        <w:tab/>
        <w:t xml:space="preserve">Se ruega a las delegaciones que preparen sus contribuciones utilizando la </w:t>
      </w:r>
      <w:hyperlink r:id="rId15" w:history="1">
        <w:r w:rsidR="00113694" w:rsidRPr="0011049F">
          <w:rPr>
            <w:rStyle w:val="Hyperlink"/>
            <w:lang w:val="es-ES"/>
          </w:rPr>
          <w:t>Interfaz de propuestas para Conferencias</w:t>
        </w:r>
      </w:hyperlink>
      <w:r w:rsidR="00113694" w:rsidRPr="0011049F">
        <w:rPr>
          <w:lang w:val="es-ES"/>
        </w:rPr>
        <w:t xml:space="preserve"> (CPI)</w:t>
      </w:r>
      <w:r w:rsidRPr="00541BAE">
        <w:rPr>
          <w:lang w:val="es-ES"/>
        </w:rPr>
        <w:t xml:space="preserve"> de la UIT y las remitan a </w:t>
      </w:r>
      <w:hyperlink r:id="rId16" w:history="1">
        <w:r w:rsidRPr="00541BAE">
          <w:rPr>
            <w:rStyle w:val="Hyperlink"/>
            <w:lang w:val="es-ES"/>
          </w:rPr>
          <w:t>wtsa-doc@itu.int</w:t>
        </w:r>
      </w:hyperlink>
      <w:r w:rsidRPr="00541BAE">
        <w:rPr>
          <w:lang w:val="es-ES"/>
        </w:rPr>
        <w:t xml:space="preserve">. La interfaz de usuario de la CPI </w:t>
      </w:r>
      <w:r w:rsidR="00C0427F" w:rsidRPr="00541BAE">
        <w:rPr>
          <w:lang w:val="es-ES"/>
        </w:rPr>
        <w:t>es bastante intuitiva</w:t>
      </w:r>
      <w:r w:rsidRPr="00541BAE">
        <w:rPr>
          <w:lang w:val="es-ES"/>
        </w:rPr>
        <w:t xml:space="preserve">; no obstante, existe una </w:t>
      </w:r>
      <w:hyperlink r:id="rId17" w:history="1">
        <w:r w:rsidRPr="00541BAE">
          <w:rPr>
            <w:rStyle w:val="Hyperlink"/>
            <w:lang w:val="es-ES"/>
          </w:rPr>
          <w:t>Guía del usuario</w:t>
        </w:r>
      </w:hyperlink>
      <w:r w:rsidRPr="00541BAE">
        <w:rPr>
          <w:lang w:val="es-ES"/>
        </w:rPr>
        <w:t xml:space="preserve"> en la página principal de la CPI. Las contribuciones y otros documentos se publican en el </w:t>
      </w:r>
      <w:hyperlink r:id="rId18" w:history="1">
        <w:r w:rsidR="00113694" w:rsidRPr="00541BAE">
          <w:rPr>
            <w:rStyle w:val="Hyperlink"/>
            <w:lang w:val="es-ES"/>
          </w:rPr>
          <w:t>Sistema de Gestión de Documentos</w:t>
        </w:r>
      </w:hyperlink>
      <w:r w:rsidRPr="00541BAE">
        <w:rPr>
          <w:lang w:val="es-ES"/>
        </w:rPr>
        <w:t xml:space="preserve"> (DMS) de la UIT.</w:t>
      </w:r>
      <w:r w:rsidR="00113694" w:rsidRPr="00541BAE">
        <w:rPr>
          <w:lang w:val="es-ES"/>
        </w:rPr>
        <w:t xml:space="preserve"> </w:t>
      </w:r>
      <w:r w:rsidR="009F3A21" w:rsidRPr="00541BAE">
        <w:rPr>
          <w:lang w:val="es-ES"/>
        </w:rPr>
        <w:t xml:space="preserve">Las propuestas pueden consultarse antes y durante la Asamblea utilizando el </w:t>
      </w:r>
      <w:hyperlink r:id="rId19" w:history="1">
        <w:r w:rsidR="009F3A21" w:rsidRPr="00541BAE">
          <w:rPr>
            <w:rStyle w:val="Hyperlink"/>
            <w:lang w:val="es-ES"/>
          </w:rPr>
          <w:t>Sistema de Gestión de Propuestas</w:t>
        </w:r>
      </w:hyperlink>
      <w:r w:rsidR="00113694" w:rsidRPr="00541BAE">
        <w:rPr>
          <w:lang w:val="es-ES"/>
        </w:rPr>
        <w:t xml:space="preserve"> (PMS)</w:t>
      </w:r>
      <w:r w:rsidR="00541BAE">
        <w:rPr>
          <w:lang w:val="es-ES"/>
        </w:rPr>
        <w:t>.</w:t>
      </w:r>
    </w:p>
    <w:p w14:paraId="647E42CE" w14:textId="53533A44" w:rsidR="00304E24" w:rsidRPr="00304E24" w:rsidRDefault="00304E24" w:rsidP="00113694">
      <w:r w:rsidRPr="00304E24">
        <w:t>7.3</w:t>
      </w:r>
      <w:r w:rsidRPr="00304E24">
        <w:tab/>
        <w:t xml:space="preserve">La Secretaría de la UIT pondrá inmediatamente a disposición las contribuciones </w:t>
      </w:r>
      <w:hyperlink r:id="rId20" w:history="1">
        <w:r w:rsidRPr="00D05F69">
          <w:rPr>
            <w:rStyle w:val="Hyperlink"/>
            <w:i/>
            <w:iCs/>
          </w:rPr>
          <w:t>tal como se reciban</w:t>
        </w:r>
      </w:hyperlink>
      <w:r w:rsidRPr="00304E24">
        <w:t xml:space="preserve"> (en general, el siguiente día laboral) en el </w:t>
      </w:r>
      <w:hyperlink r:id="rId21" w:history="1">
        <w:r w:rsidR="00D05F69">
          <w:rPr>
            <w:rStyle w:val="Hyperlink"/>
          </w:rPr>
          <w:t>sitio web de documentos de la AMNT-20</w:t>
        </w:r>
      </w:hyperlink>
      <w:r w:rsidRPr="00304E24">
        <w:t xml:space="preserve">. Simultáneamente, la Secretaría verificará las contribuciones y las </w:t>
      </w:r>
      <w:r w:rsidR="009F3A21">
        <w:t>colgará</w:t>
      </w:r>
      <w:r w:rsidRPr="00304E24">
        <w:t xml:space="preserve"> en </w:t>
      </w:r>
      <w:hyperlink r:id="rId22" w:history="1">
        <w:r w:rsidR="00113694" w:rsidRPr="00113694">
          <w:rPr>
            <w:rStyle w:val="Hyperlink"/>
            <w:lang w:val="en-GB"/>
          </w:rPr>
          <w:t>https://www.itu.int/md/T17-WTSA.20-C</w:t>
        </w:r>
      </w:hyperlink>
      <w:r w:rsidRPr="00304E24">
        <w:t>.</w:t>
      </w:r>
    </w:p>
    <w:p w14:paraId="5AD5D571" w14:textId="408CB808" w:rsidR="00304E24" w:rsidRPr="00304E24" w:rsidRDefault="00304E24" w:rsidP="00113694">
      <w:r w:rsidRPr="00304E24">
        <w:t>7.4</w:t>
      </w:r>
      <w:r w:rsidRPr="00304E24">
        <w:tab/>
        <w:t xml:space="preserve">La Conferencia de Plenipotenciarios (Busán, 2014) decidió en su decimoséptima </w:t>
      </w:r>
      <w:r w:rsidR="007208FF" w:rsidRPr="00304E24">
        <w:t xml:space="preserve">Sesión Plenaria </w:t>
      </w:r>
      <w:r w:rsidRPr="00304E24">
        <w:t xml:space="preserve">(véase </w:t>
      </w:r>
      <w:hyperlink r:id="rId23" w:history="1">
        <w:r w:rsidR="00541BAE">
          <w:rPr>
            <w:rStyle w:val="Hyperlink"/>
            <w:lang w:val="en-GB"/>
          </w:rPr>
          <w:t>https://www.itu.int/md/S14-PP-C-0175/es</w:t>
        </w:r>
      </w:hyperlink>
      <w:r w:rsidRPr="00304E24">
        <w:t>) "que, a partir de principios de 2015, [se] ponga</w:t>
      </w:r>
      <w:r w:rsidR="00D05F69">
        <w:t>n</w:t>
      </w:r>
      <w:r w:rsidRPr="00304E24">
        <w:t xml:space="preserve"> a disposición del público en general las contribuciones y los documentos finales de todas las conferencias y asambleas de la Unión, a menos que su divulgación pueda causar a intereses legítimos privados o públicos daños superiores a las ventajas de la accesibilidad". De conformidad con esta decisión, todos los documentos de la AMNT-</w:t>
      </w:r>
      <w:r w:rsidR="00113694">
        <w:t>20</w:t>
      </w:r>
      <w:r w:rsidRPr="00304E24">
        <w:t xml:space="preserve"> se pondrán a disposición pública a menos que el remitente del documento indique a la Secretaría de la UIT lo contrario.</w:t>
      </w:r>
    </w:p>
    <w:p w14:paraId="586A2C83" w14:textId="77777777" w:rsidR="00304E24" w:rsidRPr="00304E24" w:rsidRDefault="00304E24" w:rsidP="00D96346">
      <w:pPr>
        <w:pStyle w:val="Heading1"/>
      </w:pPr>
      <w:r w:rsidRPr="007208FF">
        <w:t>8</w:t>
      </w:r>
      <w:r w:rsidRPr="007208FF">
        <w:tab/>
        <w:t>Distribución de documentos</w:t>
      </w:r>
    </w:p>
    <w:p w14:paraId="7C3A7CF8" w14:textId="2286B77F" w:rsidR="00304E24" w:rsidRPr="00304E24" w:rsidRDefault="00304E24" w:rsidP="00304E24">
      <w:r w:rsidRPr="00304E24">
        <w:t>8.1</w:t>
      </w:r>
      <w:r w:rsidRPr="00304E24">
        <w:tab/>
        <w:t>Se publicarán los siguientes documentos preparatorios para la AMNT-</w:t>
      </w:r>
      <w:r w:rsidR="00113694">
        <w:t>20</w:t>
      </w:r>
      <w:r w:rsidRPr="00304E24">
        <w:t>:</w:t>
      </w:r>
    </w:p>
    <w:p w14:paraId="6AD93F0F" w14:textId="77777777" w:rsidR="00304E24" w:rsidRPr="00304E24" w:rsidRDefault="00304E24" w:rsidP="00D96346">
      <w:pPr>
        <w:pStyle w:val="enumlev1"/>
      </w:pPr>
      <w:r w:rsidRPr="00304E24">
        <w:t>a)</w:t>
      </w:r>
      <w:r w:rsidRPr="00304E24">
        <w:tab/>
        <w:t>informes sobre los trabajos de cada una de las Comisiones de Estudio del UIT-T;</w:t>
      </w:r>
    </w:p>
    <w:p w14:paraId="7C58AFD3" w14:textId="68ABEAE9" w:rsidR="00304E24" w:rsidRPr="00304E24" w:rsidRDefault="00D6032F" w:rsidP="00D96346">
      <w:pPr>
        <w:pStyle w:val="enumlev1"/>
      </w:pPr>
      <w:r>
        <w:t>b</w:t>
      </w:r>
      <w:r w:rsidR="00304E24" w:rsidRPr="00304E24">
        <w:t>)</w:t>
      </w:r>
      <w:r w:rsidR="00304E24" w:rsidRPr="00304E24">
        <w:tab/>
        <w:t>informe sobre las actividades del Grupo Asesor de Normalización de las Telecomunicaciones (GANT);</w:t>
      </w:r>
    </w:p>
    <w:p w14:paraId="715E32AD" w14:textId="265FD03A" w:rsidR="00304E24" w:rsidRPr="00304E24" w:rsidRDefault="00D6032F" w:rsidP="00D96346">
      <w:pPr>
        <w:pStyle w:val="enumlev1"/>
      </w:pPr>
      <w:r>
        <w:t>c</w:t>
      </w:r>
      <w:r w:rsidR="00304E24" w:rsidRPr="00304E24">
        <w:t>)</w:t>
      </w:r>
      <w:r w:rsidR="00304E24" w:rsidRPr="00304E24">
        <w:tab/>
        <w:t>informes del Director de la TSB sobre:</w:t>
      </w:r>
    </w:p>
    <w:p w14:paraId="45CB0EF5" w14:textId="314EC2DD" w:rsidR="00304E24" w:rsidRPr="00304E24" w:rsidRDefault="00304E24" w:rsidP="00D96346">
      <w:pPr>
        <w:pStyle w:val="enumlev2"/>
      </w:pPr>
      <w:r w:rsidRPr="00304E24">
        <w:t>1)</w:t>
      </w:r>
      <w:r w:rsidRPr="00304E24">
        <w:tab/>
        <w:t>las actividades del Sector UIT-T desde la AMNT-</w:t>
      </w:r>
      <w:r w:rsidR="00D6032F">
        <w:t>16</w:t>
      </w:r>
      <w:r w:rsidRPr="00304E24">
        <w:t>, comprendido el Plan de Acción de la</w:t>
      </w:r>
      <w:r w:rsidR="008D1A81">
        <w:t> </w:t>
      </w:r>
      <w:r w:rsidRPr="00304E24">
        <w:t>AMNT;</w:t>
      </w:r>
    </w:p>
    <w:p w14:paraId="1A09AD70" w14:textId="77777777" w:rsidR="00304E24" w:rsidRPr="00304E24" w:rsidRDefault="00304E24" w:rsidP="00D96346">
      <w:pPr>
        <w:pStyle w:val="enumlev2"/>
      </w:pPr>
      <w:r w:rsidRPr="00304E24">
        <w:t>2)</w:t>
      </w:r>
      <w:r w:rsidRPr="00304E24">
        <w:tab/>
        <w:t>la estructura y dotación de personal de la Oficina de Normalización de las Telecomunicaciones (TSB);</w:t>
      </w:r>
    </w:p>
    <w:p w14:paraId="004F72C4" w14:textId="2ED6B605" w:rsidR="00304E24" w:rsidRPr="00304E24" w:rsidRDefault="00304E24" w:rsidP="00D96346">
      <w:pPr>
        <w:pStyle w:val="enumlev2"/>
      </w:pPr>
      <w:r w:rsidRPr="00304E24">
        <w:t>3)</w:t>
      </w:r>
      <w:r w:rsidRPr="00304E24">
        <w:tab/>
        <w:t xml:space="preserve">los gastos del UIT-T durante el periodo de estudios </w:t>
      </w:r>
      <w:r w:rsidR="00D6032F">
        <w:t>2017-2021</w:t>
      </w:r>
      <w:r w:rsidRPr="00304E24">
        <w:t>;</w:t>
      </w:r>
    </w:p>
    <w:p w14:paraId="02F26ADA" w14:textId="7E11B661" w:rsidR="00304E24" w:rsidRPr="00304E24" w:rsidRDefault="00304E24" w:rsidP="00D96346">
      <w:pPr>
        <w:pStyle w:val="enumlev2"/>
      </w:pPr>
      <w:r w:rsidRPr="00304E24">
        <w:t>4)</w:t>
      </w:r>
      <w:r w:rsidRPr="00304E24">
        <w:tab/>
        <w:t>las necesidades financieras estimadas del UIT-T hasta la AMNT</w:t>
      </w:r>
      <w:r w:rsidRPr="00304E24">
        <w:noBreakHyphen/>
      </w:r>
      <w:r w:rsidR="00D6032F">
        <w:t>24</w:t>
      </w:r>
      <w:r w:rsidRPr="00304E24">
        <w:t>;</w:t>
      </w:r>
    </w:p>
    <w:p w14:paraId="28F9CFAA" w14:textId="088E9BE8" w:rsidR="00304E24" w:rsidRPr="00304E24" w:rsidRDefault="00D6032F" w:rsidP="00D96346">
      <w:pPr>
        <w:pStyle w:val="enumlev1"/>
      </w:pPr>
      <w:r>
        <w:lastRenderedPageBreak/>
        <w:t>d</w:t>
      </w:r>
      <w:r w:rsidR="00304E24" w:rsidRPr="00304E24">
        <w:t>)</w:t>
      </w:r>
      <w:r w:rsidR="00304E24" w:rsidRPr="00304E24">
        <w:tab/>
        <w:t>informes sobre cualesquiera otros asuntos considerados necesarios de acuerdo con la Constitución y el Convenio de la UIT y los acuerdos del Consejo;</w:t>
      </w:r>
    </w:p>
    <w:p w14:paraId="12A083E4" w14:textId="2B6A9E4E" w:rsidR="00304E24" w:rsidRPr="00304E24" w:rsidRDefault="00D6032F" w:rsidP="00D96346">
      <w:pPr>
        <w:pStyle w:val="enumlev1"/>
      </w:pPr>
      <w:r>
        <w:t>e</w:t>
      </w:r>
      <w:r w:rsidR="00304E24" w:rsidRPr="00304E24">
        <w:t>)</w:t>
      </w:r>
      <w:r w:rsidR="00304E24" w:rsidRPr="00304E24">
        <w:tab/>
        <w:t>las Recomendaciones que las Comisiones de Estudio del UIT-T y el GANT someten a la aprobación de la AMNT-</w:t>
      </w:r>
      <w:r>
        <w:t>20</w:t>
      </w:r>
      <w:r w:rsidR="00304E24" w:rsidRPr="00304E24">
        <w:t>.</w:t>
      </w:r>
    </w:p>
    <w:p w14:paraId="32F07EEF" w14:textId="20F7BA4E" w:rsidR="00304E24" w:rsidRPr="00304E24" w:rsidRDefault="00304E24" w:rsidP="00A53852">
      <w:r w:rsidRPr="00304E24">
        <w:t>8.2</w:t>
      </w:r>
      <w:r w:rsidRPr="00304E24">
        <w:tab/>
        <w:t>Los documentos mencionados se publicarán en el sitio web de la AMNT-</w:t>
      </w:r>
      <w:r w:rsidR="00A53852">
        <w:t>20</w:t>
      </w:r>
      <w:r w:rsidRPr="00304E24">
        <w:t xml:space="preserve"> en cuanto estén disponibles. Existe además un servicio de notificación electrónica que mantendrá informados a los Miembros a medida que se publiquen nuevos documentos en el sitio web, disponible</w:t>
      </w:r>
      <w:r w:rsidR="00770A85">
        <w:t xml:space="preserve"> en este</w:t>
      </w:r>
      <w:r w:rsidRPr="00304E24">
        <w:t xml:space="preserve"> </w:t>
      </w:r>
      <w:hyperlink r:id="rId24" w:history="1">
        <w:r w:rsidR="00A53852" w:rsidRPr="00A53852">
          <w:rPr>
            <w:rStyle w:val="Hyperlink"/>
            <w:lang w:val="en-GB"/>
          </w:rPr>
          <w:t>e</w:t>
        </w:r>
        <w:r w:rsidR="00770A85">
          <w:rPr>
            <w:rStyle w:val="Hyperlink"/>
            <w:lang w:val="en-GB"/>
          </w:rPr>
          <w:t>nlac</w:t>
        </w:r>
        <w:r w:rsidR="00A53852" w:rsidRPr="00A53852">
          <w:rPr>
            <w:rStyle w:val="Hyperlink"/>
            <w:lang w:val="en-GB"/>
          </w:rPr>
          <w:t>e</w:t>
        </w:r>
      </w:hyperlink>
      <w:r w:rsidRPr="00304E24">
        <w:t>.</w:t>
      </w:r>
    </w:p>
    <w:p w14:paraId="4F426264" w14:textId="387682AC" w:rsidR="00304E24" w:rsidRPr="00304E24" w:rsidRDefault="00304E24" w:rsidP="00304E24">
      <w:r w:rsidRPr="00304E24">
        <w:t>8.3</w:t>
      </w:r>
      <w:r w:rsidRPr="00304E24">
        <w:tab/>
        <w:t>La AMNT-</w:t>
      </w:r>
      <w:r w:rsidR="00A53852">
        <w:t>20</w:t>
      </w:r>
      <w:r w:rsidRPr="00304E24">
        <w:t xml:space="preserve"> y el SMN-</w:t>
      </w:r>
      <w:r w:rsidR="00A53852">
        <w:t>20</w:t>
      </w:r>
      <w:r w:rsidRPr="00304E24">
        <w:t xml:space="preserve"> se celebrarán sin papel. Se efectuarán excepciones a petición de personas con discapacidad (véase la siguiente sección).</w:t>
      </w:r>
    </w:p>
    <w:p w14:paraId="40C56411" w14:textId="4ABB9217" w:rsidR="00304E24" w:rsidRPr="00304E24" w:rsidRDefault="00304E24" w:rsidP="00304E24">
      <w:r w:rsidRPr="00304E24">
        <w:t>8.4</w:t>
      </w:r>
      <w:r w:rsidRPr="00304E24">
        <w:tab/>
      </w:r>
      <w:r w:rsidR="00770A85">
        <w:t>Se invita a los delegados con n</w:t>
      </w:r>
      <w:r w:rsidRPr="00304E24">
        <w:t>ecesidades de accesibilidad</w:t>
      </w:r>
      <w:r w:rsidR="00770A85">
        <w:t xml:space="preserve"> a que </w:t>
      </w:r>
      <w:r w:rsidRPr="00304E24">
        <w:t>comunique</w:t>
      </w:r>
      <w:r w:rsidR="00770A85">
        <w:t>n</w:t>
      </w:r>
      <w:r w:rsidRPr="00304E24">
        <w:t xml:space="preserve"> cuanto antes, por correo electrónico, toda necesidad razonable de asistencia especial a la siguiente dirección: </w:t>
      </w:r>
      <w:hyperlink r:id="rId25" w:history="1">
        <w:r w:rsidRPr="00304E24">
          <w:rPr>
            <w:rStyle w:val="Hyperlink"/>
          </w:rPr>
          <w:t>wtsa-reg@itu.int</w:t>
        </w:r>
      </w:hyperlink>
      <w:r w:rsidRPr="00304E24">
        <w:t>. La Secretaría de la UIT tratará en la medida de lo posible de atender dichas necesidades, con sujeción a la disponibilidad de recursos.</w:t>
      </w:r>
    </w:p>
    <w:p w14:paraId="6F9CB824" w14:textId="4BFCDD71" w:rsidR="00304E24" w:rsidRPr="00304E24" w:rsidRDefault="00304E24" w:rsidP="00A53852">
      <w:r w:rsidRPr="00304E24">
        <w:t>8.5</w:t>
      </w:r>
      <w:r w:rsidRPr="00304E24">
        <w:tab/>
        <w:t xml:space="preserve">Se dispondrá de una red de área local (LAN) inalámbrica </w:t>
      </w:r>
      <w:r w:rsidR="009C1AF3" w:rsidRPr="009C1AF3">
        <w:rPr>
          <w:i/>
          <w:iCs/>
        </w:rPr>
        <w:t>in situ</w:t>
      </w:r>
      <w:r w:rsidRPr="00304E24">
        <w:t xml:space="preserve"> durante la </w:t>
      </w:r>
      <w:r w:rsidR="009C1AF3">
        <w:t>AMNT-20 y el SMN-20</w:t>
      </w:r>
      <w:r w:rsidRPr="00304E24">
        <w:t xml:space="preserve">. Para disponer de acceso electrónico a los documentos de la Asamblea y beneficiarse también del servicio de notificación electrónica, </w:t>
      </w:r>
      <w:r w:rsidR="009C1AF3">
        <w:t xml:space="preserve">resulta indispensable para los delegados </w:t>
      </w:r>
      <w:r w:rsidRPr="00304E24">
        <w:t xml:space="preserve">tener una cuenta </w:t>
      </w:r>
      <w:r w:rsidR="009C1AF3">
        <w:t xml:space="preserve">de la UIT valida con acceso </w:t>
      </w:r>
      <w:r w:rsidRPr="00304E24">
        <w:t xml:space="preserve">TIES. </w:t>
      </w:r>
      <w:r w:rsidR="009C1AF3">
        <w:t>V</w:t>
      </w:r>
      <w:r w:rsidRPr="00304E24">
        <w:t xml:space="preserve">éase </w:t>
      </w:r>
      <w:hyperlink r:id="rId26" w:history="1">
        <w:r w:rsidR="00A53852" w:rsidRPr="00A53852">
          <w:rPr>
            <w:rStyle w:val="Hyperlink"/>
            <w:lang w:val="en-GB"/>
          </w:rPr>
          <w:t>https://www.itu.int/ties/</w:t>
        </w:r>
      </w:hyperlink>
      <w:r w:rsidRPr="00304E24">
        <w:t>.</w:t>
      </w:r>
    </w:p>
    <w:p w14:paraId="6A51205B" w14:textId="04F01371" w:rsidR="00304E24" w:rsidRPr="00304E24" w:rsidRDefault="00304E24" w:rsidP="00D96346">
      <w:pPr>
        <w:pStyle w:val="Heading1"/>
      </w:pPr>
      <w:r w:rsidRPr="0078512E">
        <w:t>9</w:t>
      </w:r>
      <w:r w:rsidRPr="0078512E">
        <w:tab/>
        <w:t>Actas de la AMNT-</w:t>
      </w:r>
      <w:r w:rsidR="00A53852" w:rsidRPr="0078512E">
        <w:t>20</w:t>
      </w:r>
    </w:p>
    <w:p w14:paraId="455336D3" w14:textId="0E4F7792" w:rsidR="00304E24" w:rsidRPr="00304E24" w:rsidRDefault="00304E24" w:rsidP="00304E24">
      <w:r w:rsidRPr="00304E24">
        <w:t>9.1</w:t>
      </w:r>
      <w:r w:rsidRPr="00304E24">
        <w:tab/>
        <w:t>Unas horas después de la clausura de la AMNT-</w:t>
      </w:r>
      <w:r w:rsidR="00A53852">
        <w:t>20</w:t>
      </w:r>
      <w:r w:rsidRPr="00304E24">
        <w:t xml:space="preserve"> el </w:t>
      </w:r>
      <w:r w:rsidR="00A53852">
        <w:t>miércoles 9 de marzo de 2022</w:t>
      </w:r>
      <w:r w:rsidRPr="00304E24">
        <w:t>, la Secretaría de la UIT publicará las "Actas provisionales de la AMNT-</w:t>
      </w:r>
      <w:r w:rsidR="00A53852">
        <w:t>20</w:t>
      </w:r>
      <w:r w:rsidRPr="00304E24">
        <w:t>", que contendrá el nuevo conjunto de Resoluciones de la AMNT, Opiniones y Recomendaciones UIT-T de la serie A.</w:t>
      </w:r>
    </w:p>
    <w:p w14:paraId="246B087B" w14:textId="0772FD95" w:rsidR="00304E24" w:rsidRPr="00541BAE" w:rsidRDefault="00304E24" w:rsidP="00A53852">
      <w:pPr>
        <w:rPr>
          <w:lang w:val="es-ES"/>
        </w:rPr>
      </w:pPr>
      <w:r w:rsidRPr="00541BAE">
        <w:rPr>
          <w:lang w:val="es-ES"/>
        </w:rPr>
        <w:t>9.2</w:t>
      </w:r>
      <w:r w:rsidRPr="00541BAE">
        <w:rPr>
          <w:lang w:val="es-ES"/>
        </w:rPr>
        <w:tab/>
        <w:t>Las Actas provisionales y finales de la AMNT-</w:t>
      </w:r>
      <w:r w:rsidR="00A53852" w:rsidRPr="00541BAE">
        <w:rPr>
          <w:lang w:val="es-ES"/>
        </w:rPr>
        <w:t>20</w:t>
      </w:r>
      <w:r w:rsidRPr="00541BAE">
        <w:rPr>
          <w:lang w:val="es-ES"/>
        </w:rPr>
        <w:t xml:space="preserve"> también se publicarán en línea con acceso público y gratuito en seis idiomas</w:t>
      </w:r>
      <w:r w:rsidR="00A53852" w:rsidRPr="00541BAE">
        <w:rPr>
          <w:rFonts w:eastAsia="SimSun" w:cstheme="minorHAnsi"/>
          <w:sz w:val="22"/>
          <w:szCs w:val="22"/>
          <w:lang w:val="es-ES"/>
        </w:rPr>
        <w:t xml:space="preserve"> </w:t>
      </w:r>
      <w:r w:rsidR="00541BAE" w:rsidRPr="00541BAE">
        <w:rPr>
          <w:lang w:val="es-ES"/>
        </w:rPr>
        <w:t>de la</w:t>
      </w:r>
      <w:r w:rsidR="00A53852" w:rsidRPr="00541BAE">
        <w:rPr>
          <w:lang w:val="es-ES"/>
        </w:rPr>
        <w:t xml:space="preserve"> Uni</w:t>
      </w:r>
      <w:r w:rsidR="00541BAE" w:rsidRPr="00541BAE">
        <w:rPr>
          <w:lang w:val="es-ES"/>
        </w:rPr>
        <w:t>ó</w:t>
      </w:r>
      <w:r w:rsidR="00A53852" w:rsidRPr="00541BAE">
        <w:rPr>
          <w:lang w:val="es-ES"/>
        </w:rPr>
        <w:t>n (</w:t>
      </w:r>
      <w:r w:rsidR="009C1AF3" w:rsidRPr="00541BAE">
        <w:rPr>
          <w:lang w:val="es-ES"/>
        </w:rPr>
        <w:t>árabe</w:t>
      </w:r>
      <w:r w:rsidR="00A53852" w:rsidRPr="00541BAE">
        <w:rPr>
          <w:lang w:val="es-ES"/>
        </w:rPr>
        <w:t xml:space="preserve">, </w:t>
      </w:r>
      <w:r w:rsidR="009C1AF3" w:rsidRPr="00541BAE">
        <w:rPr>
          <w:lang w:val="es-ES"/>
        </w:rPr>
        <w:t>c</w:t>
      </w:r>
      <w:r w:rsidR="00A53852" w:rsidRPr="00541BAE">
        <w:rPr>
          <w:lang w:val="es-ES"/>
        </w:rPr>
        <w:t>hin</w:t>
      </w:r>
      <w:r w:rsidR="009C1AF3" w:rsidRPr="00541BAE">
        <w:rPr>
          <w:lang w:val="es-ES"/>
        </w:rPr>
        <w:t>o</w:t>
      </w:r>
      <w:r w:rsidR="00A53852" w:rsidRPr="00541BAE">
        <w:rPr>
          <w:lang w:val="es-ES"/>
        </w:rPr>
        <w:t xml:space="preserve">, </w:t>
      </w:r>
      <w:r w:rsidR="009C1AF3" w:rsidRPr="00541BAE">
        <w:rPr>
          <w:lang w:val="es-ES"/>
        </w:rPr>
        <w:t>español</w:t>
      </w:r>
      <w:r w:rsidR="00A53852" w:rsidRPr="00541BAE">
        <w:rPr>
          <w:lang w:val="es-ES"/>
        </w:rPr>
        <w:t xml:space="preserve">, </w:t>
      </w:r>
      <w:r w:rsidR="009C1AF3" w:rsidRPr="00541BAE">
        <w:rPr>
          <w:lang w:val="es-ES"/>
        </w:rPr>
        <w:t>francés</w:t>
      </w:r>
      <w:r w:rsidR="00A53852" w:rsidRPr="00541BAE">
        <w:rPr>
          <w:lang w:val="es-ES"/>
        </w:rPr>
        <w:t xml:space="preserve">, </w:t>
      </w:r>
      <w:r w:rsidR="009C1AF3" w:rsidRPr="00541BAE">
        <w:rPr>
          <w:lang w:val="es-ES"/>
        </w:rPr>
        <w:t>inglés y ruso</w:t>
      </w:r>
      <w:r w:rsidR="00A53852" w:rsidRPr="00541BAE">
        <w:rPr>
          <w:lang w:val="es-ES"/>
        </w:rPr>
        <w:t>)</w:t>
      </w:r>
      <w:r w:rsidRPr="00541BAE">
        <w:rPr>
          <w:lang w:val="es-ES"/>
        </w:rPr>
        <w:t>.</w:t>
      </w:r>
    </w:p>
    <w:p w14:paraId="393129A1" w14:textId="77777777" w:rsidR="00304E24" w:rsidRPr="00304E24" w:rsidRDefault="00304E24" w:rsidP="00D96346">
      <w:pPr>
        <w:pStyle w:val="Heading1"/>
      </w:pPr>
      <w:r w:rsidRPr="0078512E">
        <w:t>10</w:t>
      </w:r>
      <w:r w:rsidRPr="0078512E">
        <w:tab/>
        <w:t>Homenaje a antiguos colaboradores en las actividades del UIT-T</w:t>
      </w:r>
    </w:p>
    <w:p w14:paraId="2E16E240" w14:textId="2C664B8F" w:rsidR="00304E24" w:rsidRPr="00304E24" w:rsidRDefault="00304E24" w:rsidP="00304E24">
      <w:r w:rsidRPr="00304E24">
        <w:t>10.1</w:t>
      </w:r>
      <w:r w:rsidRPr="00304E24">
        <w:tab/>
        <w:t>Siguiendo la tradición, en la AMNT-</w:t>
      </w:r>
      <w:r w:rsidR="00A53852">
        <w:t>20</w:t>
      </w:r>
      <w:r w:rsidRPr="00304E24">
        <w:t xml:space="preserve"> se rendirá homenaje a los colaboradores del UIT-T fallecidos desde la AMNT-</w:t>
      </w:r>
      <w:r w:rsidR="00A53852">
        <w:t>16</w:t>
      </w:r>
      <w:r w:rsidRPr="00304E24">
        <w:t>. Del mismo modo, se harán votos para que los colaboradores del</w:t>
      </w:r>
      <w:r w:rsidR="00541BAE">
        <w:t> </w:t>
      </w:r>
      <w:r w:rsidRPr="00304E24">
        <w:t>UIT</w:t>
      </w:r>
      <w:r w:rsidRPr="00304E24">
        <w:noBreakHyphen/>
        <w:t>T que se han jubilado desde la AMNT-</w:t>
      </w:r>
      <w:r w:rsidR="00A53852">
        <w:t>16</w:t>
      </w:r>
      <w:r w:rsidRPr="00304E24">
        <w:t xml:space="preserve"> disfruten de un largo y feliz descanso.</w:t>
      </w:r>
    </w:p>
    <w:p w14:paraId="3EF28625" w14:textId="3D919CA1" w:rsidR="00304E24" w:rsidRPr="00304E24" w:rsidRDefault="00304E24" w:rsidP="00304E24">
      <w:r w:rsidRPr="00304E24">
        <w:t>10.2</w:t>
      </w:r>
      <w:r w:rsidRPr="00304E24">
        <w:tab/>
        <w:t xml:space="preserve">A fin de mantener esta tradición, le agradecería que me comunicara, antes del </w:t>
      </w:r>
      <w:r w:rsidR="00A53852">
        <w:t>1 de febrero de 2022</w:t>
      </w:r>
      <w:r w:rsidRPr="00304E24">
        <w:t>, los nombres, cargos y funciones de los ciudadanos de su país que desee sean mencionados en uno de los dos homenajes.</w:t>
      </w:r>
    </w:p>
    <w:p w14:paraId="79110B8F" w14:textId="77777777" w:rsidR="00304E24" w:rsidRPr="00304E24" w:rsidRDefault="00304E24" w:rsidP="00D96346">
      <w:pPr>
        <w:pStyle w:val="Heading1"/>
      </w:pPr>
      <w:r w:rsidRPr="002B0187">
        <w:t>11</w:t>
      </w:r>
      <w:r w:rsidRPr="002B0187">
        <w:tab/>
        <w:t>Simposio Mundial de Normalización</w:t>
      </w:r>
    </w:p>
    <w:p w14:paraId="1DF57027" w14:textId="18755AC5" w:rsidR="00304E24" w:rsidRPr="00304E24" w:rsidRDefault="00304E24" w:rsidP="00412531">
      <w:r w:rsidRPr="00304E24">
        <w:t>Inmediatamente antes de la AMNT-</w:t>
      </w:r>
      <w:r w:rsidR="00412531">
        <w:t>20</w:t>
      </w:r>
      <w:r w:rsidRPr="00304E24">
        <w:t xml:space="preserve">, el lunes </w:t>
      </w:r>
      <w:r w:rsidR="00412531">
        <w:t>28 de febrero de 2022</w:t>
      </w:r>
      <w:r w:rsidRPr="00304E24">
        <w:t xml:space="preserve">, el UIT-T organiza el </w:t>
      </w:r>
      <w:hyperlink r:id="rId27" w:history="1">
        <w:r w:rsidR="00412531" w:rsidRPr="00412531">
          <w:rPr>
            <w:rStyle w:val="Hyperlink"/>
          </w:rPr>
          <w:t>Simposio Mundial de Normalización (SMN-20)</w:t>
        </w:r>
      </w:hyperlink>
      <w:r w:rsidRPr="00304E24">
        <w:t>, encuentro cuya duración será de un día. Aunque se comunicará a su debido tiempo información detallada sobre este evento por medio de otra Circular, deseo invitar ya a todos los delegados a participar en este importante encuentro, organizado de conformidad con la Resolución 122 (Rev. Guadalajara, 2010) de la Conferencia de Plenipotenciarios.</w:t>
      </w:r>
    </w:p>
    <w:p w14:paraId="6BDC3DBD" w14:textId="77777777" w:rsidR="00304E24" w:rsidRPr="00304E24" w:rsidRDefault="00304E24" w:rsidP="00D96346">
      <w:pPr>
        <w:pStyle w:val="Heading1"/>
      </w:pPr>
      <w:r w:rsidRPr="002B0187">
        <w:lastRenderedPageBreak/>
        <w:t>12</w:t>
      </w:r>
      <w:r w:rsidRPr="002B0187">
        <w:tab/>
        <w:t>Hoteles e información práctica</w:t>
      </w:r>
    </w:p>
    <w:p w14:paraId="7B3976FD" w14:textId="4E27F29B" w:rsidR="00304E24" w:rsidRPr="00304E24" w:rsidRDefault="00412531" w:rsidP="00412531">
      <w:r>
        <w:rPr>
          <w:lang w:val="es-ES"/>
        </w:rPr>
        <w:t>V</w:t>
      </w:r>
      <w:r w:rsidRPr="00412531">
        <w:rPr>
          <w:lang w:val="es-ES"/>
        </w:rPr>
        <w:t xml:space="preserve">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28" w:history="1">
        <w:r w:rsidRPr="00412531">
          <w:rPr>
            <w:rStyle w:val="Hyperlink"/>
            <w:lang w:val="es-ES"/>
          </w:rPr>
          <w:t>http://www.itu.int/travel/</w:t>
        </w:r>
      </w:hyperlink>
      <w:r w:rsidRPr="00412531">
        <w:rPr>
          <w:lang w:val="es-ES"/>
        </w:rPr>
        <w:t>.</w:t>
      </w:r>
    </w:p>
    <w:p w14:paraId="6696C783" w14:textId="3B9724B1" w:rsidR="00304E24" w:rsidRPr="00304E24" w:rsidRDefault="00304E24" w:rsidP="00D96346">
      <w:pPr>
        <w:pStyle w:val="Heading1"/>
      </w:pPr>
      <w:r w:rsidRPr="00406008">
        <w:t>13</w:t>
      </w:r>
      <w:r w:rsidRPr="00406008">
        <w:tab/>
        <w:t>Inscripción de los participantes para la AMNT-</w:t>
      </w:r>
      <w:r w:rsidR="00412531" w:rsidRPr="00406008">
        <w:t>20</w:t>
      </w:r>
      <w:r w:rsidRPr="00406008">
        <w:t xml:space="preserve"> y el SMN-</w:t>
      </w:r>
      <w:r w:rsidR="00412531" w:rsidRPr="00406008">
        <w:t>20</w:t>
      </w:r>
    </w:p>
    <w:p w14:paraId="4170D351" w14:textId="7703A2CE" w:rsidR="00304E24" w:rsidRPr="00304E24" w:rsidRDefault="00304E24" w:rsidP="00304E24">
      <w:r w:rsidRPr="00304E24">
        <w:t>13.1</w:t>
      </w:r>
      <w:r w:rsidRPr="00304E24">
        <w:tab/>
        <w:t xml:space="preserve">La inscripción de participantes </w:t>
      </w:r>
      <w:r w:rsidR="00273F39">
        <w:t xml:space="preserve">para la AMNT-20 </w:t>
      </w:r>
      <w:r w:rsidRPr="00304E24">
        <w:t>se efectuará exclusivamente en línea, en el sitio web de la AMNT-</w:t>
      </w:r>
      <w:r w:rsidR="00412531">
        <w:t>20</w:t>
      </w:r>
      <w:r w:rsidRPr="00304E24">
        <w:t xml:space="preserve"> (</w:t>
      </w:r>
      <w:hyperlink r:id="rId29" w:history="1">
        <w:r w:rsidR="002B0187">
          <w:rPr>
            <w:rStyle w:val="Hyperlink"/>
          </w:rPr>
          <w:t>https://www.itu.int/es/ITU-T/wtsa20</w:t>
        </w:r>
      </w:hyperlink>
      <w:r w:rsidRPr="00304E24">
        <w:t>).</w:t>
      </w:r>
      <w:r w:rsidR="00273F39">
        <w:t xml:space="preserve"> </w:t>
      </w:r>
      <w:r w:rsidR="00273F39" w:rsidRPr="00273F39">
        <w:t>La inscripción es obligatoria para todos los participantes de la AMNT-20 y del S</w:t>
      </w:r>
      <w:r w:rsidR="00406008">
        <w:t>MN</w:t>
      </w:r>
      <w:r w:rsidR="00273F39" w:rsidRPr="00273F39">
        <w:t xml:space="preserve">-20 (ya sea </w:t>
      </w:r>
      <w:r w:rsidR="00273F39">
        <w:t xml:space="preserve">para la participación presencial </w:t>
      </w:r>
      <w:r w:rsidR="00273F39" w:rsidRPr="00273F39">
        <w:t xml:space="preserve">o a distancia). También es </w:t>
      </w:r>
      <w:r w:rsidR="00273F39">
        <w:t>obligatoria</w:t>
      </w:r>
      <w:r w:rsidR="00273F39" w:rsidRPr="00273F39">
        <w:t xml:space="preserve"> para los representantes de las Misiones Permanentes locales, </w:t>
      </w:r>
      <w:r w:rsidR="000C35F1">
        <w:t xml:space="preserve">pues </w:t>
      </w:r>
      <w:r w:rsidR="00273F39" w:rsidRPr="00273F39">
        <w:t xml:space="preserve">las tarjetas de identificación de las Misiones Permanentes no </w:t>
      </w:r>
      <w:r w:rsidR="000C35F1">
        <w:t xml:space="preserve">permitirán acceder </w:t>
      </w:r>
      <w:r w:rsidR="00273F39" w:rsidRPr="00273F39">
        <w:t>al CICG.</w:t>
      </w:r>
    </w:p>
    <w:p w14:paraId="14E68EAC" w14:textId="5F96FC29" w:rsidR="00A63362" w:rsidRPr="00541BAE" w:rsidRDefault="00A63362" w:rsidP="00A63362">
      <w:pPr>
        <w:rPr>
          <w:lang w:val="es-ES"/>
        </w:rPr>
      </w:pPr>
      <w:r w:rsidRPr="009304C4">
        <w:rPr>
          <w:lang w:val="es-ES"/>
        </w:rPr>
        <w:t>13.2</w:t>
      </w:r>
      <w:r w:rsidRPr="00541BAE">
        <w:rPr>
          <w:lang w:val="es-ES"/>
        </w:rPr>
        <w:tab/>
      </w:r>
      <w:r w:rsidR="000C35F1" w:rsidRPr="00541BAE">
        <w:rPr>
          <w:lang w:val="es-ES"/>
        </w:rPr>
        <w:t>La inscripción se efectuará exclusivamente en línea por cada participante</w:t>
      </w:r>
      <w:r w:rsidRPr="00541BAE">
        <w:rPr>
          <w:lang w:val="es-ES"/>
        </w:rPr>
        <w:t xml:space="preserve">. Los participantes que deseen participar a distancia pueden seleccionar dicha opción </w:t>
      </w:r>
      <w:r w:rsidR="005A7A1B" w:rsidRPr="00541BAE">
        <w:rPr>
          <w:lang w:val="es-ES"/>
        </w:rPr>
        <w:t xml:space="preserve">durante </w:t>
      </w:r>
      <w:r w:rsidRPr="00541BAE">
        <w:rPr>
          <w:lang w:val="es-ES"/>
        </w:rPr>
        <w:t>la inscripción en línea.</w:t>
      </w:r>
    </w:p>
    <w:p w14:paraId="6BFC1E7E" w14:textId="0BDD985B" w:rsidR="00A63362" w:rsidRPr="00541BAE" w:rsidRDefault="000C35F1" w:rsidP="00A63362">
      <w:pPr>
        <w:rPr>
          <w:lang w:val="es-ES"/>
        </w:rPr>
      </w:pPr>
      <w:r w:rsidRPr="00541BAE">
        <w:rPr>
          <w:lang w:val="es-ES"/>
        </w:rPr>
        <w:t>Los participantes deben rellenar un formulario de solicitud de inscripción en línea que se enviará para su aprobación al coordinador designado (DFP</w:t>
      </w:r>
      <w:r w:rsidR="00A63362" w:rsidRPr="00541BAE">
        <w:rPr>
          <w:lang w:val="es-ES"/>
        </w:rPr>
        <w:t xml:space="preserve">). </w:t>
      </w:r>
      <w:r w:rsidRPr="00541BAE">
        <w:rPr>
          <w:lang w:val="es-ES"/>
        </w:rPr>
        <w:t>A tal efecto, los DFP recibirán una notificación por correo electrónico para aprobar o rechazar cada solicitud de inscripción</w:t>
      </w:r>
      <w:r w:rsidR="00A63362" w:rsidRPr="00541BAE">
        <w:rPr>
          <w:lang w:val="es-ES"/>
        </w:rPr>
        <w:t>.</w:t>
      </w:r>
    </w:p>
    <w:p w14:paraId="422AC8F3" w14:textId="42921194" w:rsidR="00A63362" w:rsidRPr="00541BAE" w:rsidRDefault="00A63362" w:rsidP="00A63362">
      <w:pPr>
        <w:rPr>
          <w:lang w:val="es-ES"/>
        </w:rPr>
      </w:pPr>
      <w:r w:rsidRPr="009304C4">
        <w:rPr>
          <w:lang w:val="es-ES"/>
        </w:rPr>
        <w:t>13.3</w:t>
      </w:r>
      <w:r w:rsidRPr="00541BAE">
        <w:rPr>
          <w:lang w:val="es-ES"/>
        </w:rPr>
        <w:tab/>
      </w:r>
      <w:r w:rsidR="000C35F1" w:rsidRPr="00541BAE">
        <w:rPr>
          <w:lang w:val="es-ES"/>
        </w:rPr>
        <w:t>Se enviará un correo electrónico de confirmación de la inscripción a los participantes en cuanto sus coordinadores para la inscripción hayan aprobado las solicitudes de inscripción</w:t>
      </w:r>
      <w:r w:rsidRPr="00541BAE">
        <w:rPr>
          <w:lang w:val="es-ES"/>
        </w:rPr>
        <w:t>.</w:t>
      </w:r>
    </w:p>
    <w:p w14:paraId="7E6BF1CF" w14:textId="0D399D3A" w:rsidR="00A63362" w:rsidRPr="00541BAE" w:rsidRDefault="000C35F1" w:rsidP="00A63362">
      <w:pPr>
        <w:rPr>
          <w:lang w:val="es-ES"/>
        </w:rPr>
      </w:pPr>
      <w:r w:rsidRPr="00541BAE">
        <w:rPr>
          <w:lang w:val="es-ES"/>
        </w:rPr>
        <w:t>Tanto los participantes como los DFP deberán disponer de una cuenta de usuario de la UIT con acceso a TIES para acceder al sistema de inscripción en línea</w:t>
      </w:r>
      <w:r w:rsidR="00A63362" w:rsidRPr="00541BAE">
        <w:rPr>
          <w:lang w:val="es-ES"/>
        </w:rPr>
        <w:t>.</w:t>
      </w:r>
    </w:p>
    <w:p w14:paraId="0E2882BF" w14:textId="7333424A" w:rsidR="00A63362" w:rsidRPr="00541BAE" w:rsidRDefault="00A63362" w:rsidP="00A63362">
      <w:pPr>
        <w:rPr>
          <w:lang w:val="es-ES"/>
        </w:rPr>
      </w:pPr>
      <w:r w:rsidRPr="009304C4">
        <w:rPr>
          <w:lang w:val="es-ES"/>
        </w:rPr>
        <w:t>13.4</w:t>
      </w:r>
      <w:r w:rsidRPr="00541BAE">
        <w:rPr>
          <w:lang w:val="es-ES"/>
        </w:rPr>
        <w:tab/>
      </w:r>
      <w:r w:rsidR="00A5290C" w:rsidRPr="00541BAE">
        <w:rPr>
          <w:lang w:val="es-ES"/>
        </w:rPr>
        <w:t xml:space="preserve">La validación de las solicitudes de inscripción se realizará a través de los siguientes DFP. Consulte la lista de coordinadores disponible en </w:t>
      </w:r>
      <w:hyperlink r:id="rId30" w:history="1">
        <w:r w:rsidRPr="00541BAE">
          <w:rPr>
            <w:rStyle w:val="Hyperlink"/>
            <w:lang w:val="es-ES"/>
          </w:rPr>
          <w:t>https://www.itu.int/online/mm/scripts/s/gensel77</w:t>
        </w:r>
      </w:hyperlink>
      <w:r w:rsidRPr="00541BAE">
        <w:rPr>
          <w:lang w:val="es-ES"/>
        </w:rPr>
        <w:t>.</w:t>
      </w:r>
    </w:p>
    <w:p w14:paraId="432C8645" w14:textId="71093F68" w:rsidR="00A63362" w:rsidRPr="00541BAE" w:rsidRDefault="00A5290C" w:rsidP="00A63362">
      <w:pPr>
        <w:rPr>
          <w:lang w:val="es-ES"/>
        </w:rPr>
      </w:pPr>
      <w:r w:rsidRPr="00541BAE">
        <w:rPr>
          <w:lang w:val="es-ES"/>
        </w:rPr>
        <w:t xml:space="preserve">Toda Administración o entidad que desee modificar los datos de contacto de un coordinador, deberá comunicar los datos actualizados a </w:t>
      </w:r>
      <w:hyperlink r:id="rId31" w:history="1">
        <w:r w:rsidR="00A63362" w:rsidRPr="00541BAE">
          <w:rPr>
            <w:rStyle w:val="Hyperlink"/>
            <w:lang w:val="es-ES"/>
          </w:rPr>
          <w:t>wtsa-reg@itu.int</w:t>
        </w:r>
      </w:hyperlink>
      <w:r w:rsidR="00A63362" w:rsidRPr="00541BAE">
        <w:rPr>
          <w:lang w:val="es-ES"/>
        </w:rPr>
        <w:t>.</w:t>
      </w:r>
    </w:p>
    <w:p w14:paraId="1E27D757" w14:textId="3F7EEFB6" w:rsidR="00A63362" w:rsidRDefault="00A63362" w:rsidP="00A63362">
      <w:r>
        <w:t>13.5</w:t>
      </w:r>
      <w:r>
        <w:tab/>
        <w:t>Las tarjetas para la AMNT</w:t>
      </w:r>
      <w:r w:rsidRPr="00A63362">
        <w:t xml:space="preserve">-20 </w:t>
      </w:r>
      <w:r>
        <w:t>y</w:t>
      </w:r>
      <w:r w:rsidRPr="00A63362">
        <w:t xml:space="preserve"> </w:t>
      </w:r>
      <w:r>
        <w:t xml:space="preserve">el </w:t>
      </w:r>
      <w:r w:rsidRPr="00304E24">
        <w:t>SMN</w:t>
      </w:r>
      <w:r w:rsidRPr="00A63362">
        <w:t xml:space="preserve">-20 </w:t>
      </w:r>
      <w:r w:rsidR="00A5290C">
        <w:t xml:space="preserve">llevarán </w:t>
      </w:r>
      <w:r>
        <w:t>fotografía y pueden recogerse en el Centro de Conferencias de Varembé (CCV), cruzando la calle, frente al CICG.</w:t>
      </w:r>
    </w:p>
    <w:p w14:paraId="797CE903" w14:textId="5A80A62F" w:rsidR="00A63362" w:rsidRDefault="00A63362" w:rsidP="00A63362">
      <w:r>
        <w:t>13.6</w:t>
      </w:r>
      <w:r>
        <w:tab/>
      </w:r>
      <w:r w:rsidR="003C5116">
        <w:t xml:space="preserve">Los miembros de la UIT podrán solicitar </w:t>
      </w:r>
      <w:r>
        <w:t>asistencia para la obtención de visados. La solicitud de asistencia para la obtención de visados debe realizarse en el momento de la inscripción en línea</w:t>
      </w:r>
      <w:r w:rsidR="003C5116">
        <w:t xml:space="preserve"> seleccionando la casilla correspondiente en el formulario de inscripción</w:t>
      </w:r>
      <w:r>
        <w:t>.</w:t>
      </w:r>
    </w:p>
    <w:p w14:paraId="48041213" w14:textId="00D0922D" w:rsidR="00A63362" w:rsidRPr="00831C74" w:rsidRDefault="00A63362" w:rsidP="00A63362">
      <w:pPr>
        <w:rPr>
          <w:lang w:val="es-ES"/>
        </w:rPr>
      </w:pPr>
      <w:r w:rsidRPr="00831C74">
        <w:rPr>
          <w:lang w:val="es-ES"/>
        </w:rPr>
        <w:t>13.7</w:t>
      </w:r>
      <w:r w:rsidRPr="00831C74">
        <w:rPr>
          <w:lang w:val="es-ES"/>
        </w:rPr>
        <w:tab/>
      </w:r>
      <w:r w:rsidR="003C5116" w:rsidRPr="00831C74">
        <w:rPr>
          <w:lang w:val="es-ES"/>
        </w:rPr>
        <w:t>Le rogamos tenga en cuenta al inscribirse para el evento</w:t>
      </w:r>
      <w:r w:rsidRPr="00831C74">
        <w:rPr>
          <w:lang w:val="es-ES"/>
        </w:rPr>
        <w:t xml:space="preserve"> la información relacionada con las medidas sanitarias y las condiciones para la entrada en Suiza</w:t>
      </w:r>
      <w:r w:rsidRPr="00831C74">
        <w:rPr>
          <w:rFonts w:cstheme="minorHAnsi"/>
          <w:sz w:val="22"/>
          <w:szCs w:val="22"/>
          <w:lang w:val="es-ES"/>
        </w:rPr>
        <w:t xml:space="preserve">, </w:t>
      </w:r>
      <w:r w:rsidR="003C5116" w:rsidRPr="00831C74">
        <w:rPr>
          <w:lang w:val="es-ES"/>
        </w:rPr>
        <w:t xml:space="preserve">que figura en el </w:t>
      </w:r>
      <w:r w:rsidRPr="00831C74">
        <w:rPr>
          <w:b/>
          <w:bCs/>
          <w:lang w:val="es-ES"/>
        </w:rPr>
        <w:t>Anex</w:t>
      </w:r>
      <w:r w:rsidR="003C5116" w:rsidRPr="00831C74">
        <w:rPr>
          <w:b/>
          <w:bCs/>
          <w:lang w:val="es-ES"/>
        </w:rPr>
        <w:t>o</w:t>
      </w:r>
      <w:r w:rsidRPr="00831C74">
        <w:rPr>
          <w:b/>
          <w:bCs/>
          <w:lang w:val="es-ES"/>
        </w:rPr>
        <w:t xml:space="preserve"> 1</w:t>
      </w:r>
      <w:r w:rsidRPr="00831C74">
        <w:rPr>
          <w:lang w:val="es-ES"/>
        </w:rPr>
        <w:t>.</w:t>
      </w:r>
    </w:p>
    <w:p w14:paraId="13B9844A" w14:textId="71EC8CC1" w:rsidR="00A63362" w:rsidRDefault="00A63362" w:rsidP="00A63362">
      <w:r>
        <w:t>13.8</w:t>
      </w:r>
      <w:r>
        <w:tab/>
        <w:t xml:space="preserve">La información para la </w:t>
      </w:r>
      <w:r w:rsidR="002549E3">
        <w:t>recogida</w:t>
      </w:r>
      <w:r w:rsidR="003C5116">
        <w:t xml:space="preserve"> </w:t>
      </w:r>
      <w:r>
        <w:t xml:space="preserve">de las tarjetas y el horario de apertura de los mostradores de recogida estará disponible en el sitio web de </w:t>
      </w:r>
      <w:r w:rsidRPr="00A63362">
        <w:t>la AMNT-20</w:t>
      </w:r>
      <w:r>
        <w:t>.</w:t>
      </w:r>
    </w:p>
    <w:p w14:paraId="2226E38E" w14:textId="74B1C4A8" w:rsidR="00304E24" w:rsidRPr="00304E24" w:rsidRDefault="00304E24" w:rsidP="00D96346">
      <w:pPr>
        <w:pStyle w:val="Heading1"/>
      </w:pPr>
      <w:r w:rsidRPr="00DE52A4">
        <w:lastRenderedPageBreak/>
        <w:t>14</w:t>
      </w:r>
      <w:r w:rsidRPr="00DE52A4">
        <w:tab/>
        <w:t>Becas</w:t>
      </w:r>
    </w:p>
    <w:p w14:paraId="5EFF8253" w14:textId="2D22A279" w:rsidR="00A63362" w:rsidRPr="00541BAE" w:rsidRDefault="00A63362" w:rsidP="00DE52A4">
      <w:pPr>
        <w:keepNext/>
        <w:keepLines/>
        <w:rPr>
          <w:lang w:val="es-ES"/>
        </w:rPr>
      </w:pPr>
      <w:r w:rsidRPr="00541BAE">
        <w:rPr>
          <w:lang w:val="es-ES"/>
        </w:rPr>
        <w:t>14.1</w:t>
      </w:r>
      <w:r w:rsidRPr="00541BAE">
        <w:rPr>
          <w:lang w:val="es-ES"/>
        </w:rPr>
        <w:tab/>
      </w:r>
      <w:bookmarkStart w:id="4" w:name="_Hlk87946877"/>
      <w:r w:rsidR="002549E3" w:rsidRPr="00541BAE">
        <w:rPr>
          <w:lang w:val="es-ES"/>
        </w:rPr>
        <w:t>A fin de foment</w:t>
      </w:r>
      <w:r w:rsidR="00831C74">
        <w:rPr>
          <w:lang w:val="es-ES"/>
        </w:rPr>
        <w:t>a</w:t>
      </w:r>
      <w:r w:rsidR="002549E3" w:rsidRPr="00541BAE">
        <w:rPr>
          <w:lang w:val="es-ES"/>
        </w:rPr>
        <w:t xml:space="preserve">r la participación de los </w:t>
      </w:r>
      <w:hyperlink r:id="rId32" w:history="1">
        <w:r w:rsidR="002549E3" w:rsidRPr="00541BAE">
          <w:rPr>
            <w:rStyle w:val="Hyperlink"/>
            <w:lang w:val="es-ES"/>
          </w:rPr>
          <w:t>países en desarrollo</w:t>
        </w:r>
      </w:hyperlink>
      <w:r w:rsidRPr="00541BAE">
        <w:rPr>
          <w:lang w:val="es-ES"/>
        </w:rPr>
        <w:t xml:space="preserve"> </w:t>
      </w:r>
      <w:r w:rsidR="002549E3" w:rsidRPr="00541BAE">
        <w:rPr>
          <w:lang w:val="es-ES"/>
        </w:rPr>
        <w:t>se concederá una beca completa o dos parciales por Estado Miembro que reúna las condiciones requeridas, en función de la financiació</w:t>
      </w:r>
      <w:r w:rsidR="00831C74">
        <w:rPr>
          <w:lang w:val="es-ES"/>
        </w:rPr>
        <w:t>n</w:t>
      </w:r>
      <w:r w:rsidR="002549E3" w:rsidRPr="00541BAE">
        <w:rPr>
          <w:lang w:val="es-ES"/>
        </w:rPr>
        <w:t xml:space="preserve"> disponible</w:t>
      </w:r>
      <w:r w:rsidRPr="00541BAE">
        <w:rPr>
          <w:lang w:val="es-ES"/>
        </w:rPr>
        <w:t xml:space="preserve">. </w:t>
      </w:r>
      <w:r w:rsidR="002549E3" w:rsidRPr="00541BAE">
        <w:rPr>
          <w:lang w:val="es-ES"/>
        </w:rPr>
        <w:t xml:space="preserve">La beca completa comprende un </w:t>
      </w:r>
      <w:r w:rsidR="002549E3" w:rsidRPr="00541BAE">
        <w:rPr>
          <w:b/>
          <w:bCs/>
          <w:lang w:val="es-ES"/>
        </w:rPr>
        <w:t>billete de avión</w:t>
      </w:r>
      <w:r w:rsidR="002549E3" w:rsidRPr="00541BAE">
        <w:rPr>
          <w:lang w:val="es-ES"/>
        </w:rPr>
        <w:t xml:space="preserve"> (de ida y vuelta en clase económica por la ruta más directa y menos costosa del país de origen al lugar de celebración de la </w:t>
      </w:r>
      <w:r w:rsidR="00831C74" w:rsidRPr="00541BAE">
        <w:rPr>
          <w:lang w:val="es-ES"/>
        </w:rPr>
        <w:t>reunión</w:t>
      </w:r>
      <w:r w:rsidR="008E60B2" w:rsidRPr="00541BAE">
        <w:rPr>
          <w:lang w:val="es-ES"/>
        </w:rPr>
        <w:t>)</w:t>
      </w:r>
      <w:r w:rsidR="002549E3" w:rsidRPr="00541BAE">
        <w:rPr>
          <w:lang w:val="es-ES"/>
        </w:rPr>
        <w:t xml:space="preserve"> así como </w:t>
      </w:r>
      <w:r w:rsidR="002549E3" w:rsidRPr="00541BAE">
        <w:rPr>
          <w:b/>
          <w:bCs/>
          <w:lang w:val="es-ES"/>
        </w:rPr>
        <w:t>dietas</w:t>
      </w:r>
      <w:r w:rsidR="002549E3" w:rsidRPr="00541BAE">
        <w:rPr>
          <w:lang w:val="es-ES"/>
        </w:rPr>
        <w:t xml:space="preserve"> </w:t>
      </w:r>
      <w:r w:rsidR="008E60B2" w:rsidRPr="00541BAE">
        <w:rPr>
          <w:lang w:val="es-ES"/>
        </w:rPr>
        <w:t>(</w:t>
      </w:r>
      <w:r w:rsidR="002549E3" w:rsidRPr="00541BAE">
        <w:rPr>
          <w:lang w:val="es-ES"/>
        </w:rPr>
        <w:t>para sufragar los gastos de alojamiento, comidas y otros gastos</w:t>
      </w:r>
      <w:r w:rsidR="008E60B2" w:rsidRPr="00541BAE">
        <w:rPr>
          <w:lang w:val="es-ES"/>
        </w:rPr>
        <w:t>)</w:t>
      </w:r>
      <w:r w:rsidRPr="00541BAE">
        <w:rPr>
          <w:lang w:val="es-ES"/>
        </w:rPr>
        <w:t xml:space="preserve">. </w:t>
      </w:r>
      <w:bookmarkEnd w:id="4"/>
      <w:r w:rsidR="008E60B2" w:rsidRPr="00541BAE">
        <w:rPr>
          <w:lang w:val="es-ES"/>
        </w:rPr>
        <w:t xml:space="preserve">En caso de dos becas parciales, al menos una deberá consistir en el billete de avión. Los Estados </w:t>
      </w:r>
      <w:r w:rsidR="00DE52A4" w:rsidRPr="00541BAE">
        <w:rPr>
          <w:lang w:val="es-ES"/>
        </w:rPr>
        <w:t xml:space="preserve">Miembros </w:t>
      </w:r>
      <w:r w:rsidR="008E60B2" w:rsidRPr="00541BAE">
        <w:rPr>
          <w:lang w:val="es-ES"/>
        </w:rPr>
        <w:t>asumirán el resto del coste de la participación</w:t>
      </w:r>
      <w:r w:rsidRPr="00541BAE">
        <w:rPr>
          <w:lang w:val="es-ES"/>
        </w:rPr>
        <w:t>.</w:t>
      </w:r>
    </w:p>
    <w:p w14:paraId="4D6A4FDC" w14:textId="730D11EF" w:rsidR="00A63362" w:rsidRPr="00541BAE" w:rsidRDefault="00A63362" w:rsidP="00A63362">
      <w:pPr>
        <w:rPr>
          <w:lang w:val="es-ES"/>
        </w:rPr>
      </w:pPr>
      <w:r w:rsidRPr="00DE52A4">
        <w:rPr>
          <w:lang w:val="es-ES"/>
        </w:rPr>
        <w:t>14.2</w:t>
      </w:r>
      <w:r w:rsidRPr="00541BAE">
        <w:rPr>
          <w:lang w:val="es-ES"/>
        </w:rPr>
        <w:tab/>
      </w:r>
      <w:r w:rsidR="008E60B2" w:rsidRPr="00541BAE">
        <w:rPr>
          <w:lang w:val="es-ES"/>
        </w:rPr>
        <w:t>A tal efecto, se deberá rellenar el formulario de solicitud de beca (</w:t>
      </w:r>
      <w:r w:rsidR="008E60B2" w:rsidRPr="00541BAE">
        <w:rPr>
          <w:b/>
          <w:bCs/>
          <w:lang w:val="es-ES"/>
        </w:rPr>
        <w:t>Anexo 3</w:t>
      </w:r>
      <w:r w:rsidR="008E60B2" w:rsidRPr="00541BAE">
        <w:rPr>
          <w:lang w:val="es-ES"/>
        </w:rPr>
        <w:t xml:space="preserve">) y remitirlo al </w:t>
      </w:r>
      <w:r w:rsidR="00DE52A4" w:rsidRPr="00DE52A4">
        <w:rPr>
          <w:lang w:val="es-ES"/>
        </w:rPr>
        <w:t>servicio de becas</w:t>
      </w:r>
      <w:r w:rsidR="008E60B2" w:rsidRPr="00A31CE2">
        <w:rPr>
          <w:lang w:val="es-ES"/>
        </w:rPr>
        <w:t xml:space="preserve"> de la UIT</w:t>
      </w:r>
      <w:r w:rsidR="008E60B2" w:rsidRPr="00541BAE">
        <w:rPr>
          <w:lang w:val="es-ES"/>
        </w:rPr>
        <w:t xml:space="preserve"> por correo electrónico a </w:t>
      </w:r>
      <w:hyperlink r:id="rId33">
        <w:r w:rsidRPr="00541BAE">
          <w:rPr>
            <w:rStyle w:val="Hyperlink"/>
            <w:lang w:val="es-ES"/>
          </w:rPr>
          <w:t>fellowships@itu.int</w:t>
        </w:r>
      </w:hyperlink>
      <w:r w:rsidRPr="00541BAE">
        <w:rPr>
          <w:lang w:val="es-ES"/>
        </w:rPr>
        <w:t xml:space="preserve"> o </w:t>
      </w:r>
      <w:r w:rsidR="00FC0A45" w:rsidRPr="00541BAE">
        <w:rPr>
          <w:lang w:val="es-ES"/>
        </w:rPr>
        <w:t>por fax</w:t>
      </w:r>
      <w:r w:rsidRPr="00541BAE">
        <w:rPr>
          <w:lang w:val="es-ES"/>
        </w:rPr>
        <w:t xml:space="preserve">: + 41 22 730 57 78, </w:t>
      </w:r>
      <w:r w:rsidR="00FC0A45" w:rsidRPr="00541BAE">
        <w:rPr>
          <w:b/>
          <w:bCs/>
          <w:lang w:val="es-ES"/>
        </w:rPr>
        <w:t xml:space="preserve">a más tardar el </w:t>
      </w:r>
      <w:r w:rsidRPr="00541BAE">
        <w:rPr>
          <w:b/>
          <w:bCs/>
          <w:lang w:val="es-ES"/>
        </w:rPr>
        <w:t xml:space="preserve">17 </w:t>
      </w:r>
      <w:r w:rsidR="00FC0A45" w:rsidRPr="00541BAE">
        <w:rPr>
          <w:b/>
          <w:bCs/>
          <w:lang w:val="es-ES"/>
        </w:rPr>
        <w:t xml:space="preserve">de enero de </w:t>
      </w:r>
      <w:r w:rsidRPr="00541BAE">
        <w:rPr>
          <w:b/>
          <w:bCs/>
          <w:lang w:val="es-ES"/>
        </w:rPr>
        <w:t>2022</w:t>
      </w:r>
      <w:r w:rsidRPr="00831C74">
        <w:rPr>
          <w:lang w:val="es-ES"/>
        </w:rPr>
        <w:t xml:space="preserve">. </w:t>
      </w:r>
      <w:r w:rsidR="00FC0A45" w:rsidRPr="00541BAE">
        <w:rPr>
          <w:lang w:val="es-ES"/>
        </w:rPr>
        <w:t>Es obligatorio inscribirse en la reunión antes de presentar la solicitud de beca</w:t>
      </w:r>
      <w:r w:rsidRPr="00541BAE">
        <w:rPr>
          <w:lang w:val="es-ES"/>
        </w:rPr>
        <w:t xml:space="preserve">, </w:t>
      </w:r>
      <w:r w:rsidR="00FC0A45" w:rsidRPr="00541BAE">
        <w:rPr>
          <w:lang w:val="es-ES"/>
        </w:rPr>
        <w:t xml:space="preserve">véase </w:t>
      </w:r>
      <w:r w:rsidR="00831C74">
        <w:rPr>
          <w:lang w:val="es-ES"/>
        </w:rPr>
        <w:t xml:space="preserve">el </w:t>
      </w:r>
      <w:r w:rsidRPr="00541BAE">
        <w:rPr>
          <w:lang w:val="es-ES"/>
        </w:rPr>
        <w:t>§</w:t>
      </w:r>
      <w:r w:rsidR="00DE52A4">
        <w:rPr>
          <w:lang w:val="es-ES"/>
        </w:rPr>
        <w:t> </w:t>
      </w:r>
      <w:r w:rsidRPr="00541BAE">
        <w:rPr>
          <w:lang w:val="es-ES"/>
        </w:rPr>
        <w:t>13.</w:t>
      </w:r>
    </w:p>
    <w:p w14:paraId="17FC77F8" w14:textId="0997A861" w:rsidR="00A63362" w:rsidRPr="00831C74" w:rsidRDefault="00A63362" w:rsidP="009E3874">
      <w:pPr>
        <w:rPr>
          <w:lang w:val="es-ES"/>
        </w:rPr>
      </w:pPr>
      <w:r w:rsidRPr="00831C74">
        <w:rPr>
          <w:lang w:val="es-ES"/>
        </w:rPr>
        <w:t>14.3</w:t>
      </w:r>
      <w:r w:rsidRPr="00831C74">
        <w:rPr>
          <w:lang w:val="es-ES"/>
        </w:rPr>
        <w:tab/>
      </w:r>
      <w:r w:rsidR="00FC0A45" w:rsidRPr="00831C74">
        <w:rPr>
          <w:lang w:val="es-ES"/>
        </w:rPr>
        <w:t>Tenga en cuenta que los criterios para conceder una beca son, entre otros: el presupuesto disponible de la UIT; la participación activa; la distribución equitativa entre países y regiones; y el equilibrio de género</w:t>
      </w:r>
      <w:r w:rsidRPr="00831C74">
        <w:rPr>
          <w:lang w:val="es-ES"/>
        </w:rPr>
        <w:t>.</w:t>
      </w:r>
      <w:r w:rsidR="009E3874" w:rsidRPr="00831C74">
        <w:rPr>
          <w:rFonts w:ascii="Calibri" w:eastAsia="SimSun" w:hAnsi="Calibri" w:cs="Traditional Arabic"/>
          <w:sz w:val="22"/>
          <w:szCs w:val="30"/>
          <w:lang w:val="es-ES"/>
        </w:rPr>
        <w:t xml:space="preserve"> </w:t>
      </w:r>
      <w:r w:rsidR="009E3874" w:rsidRPr="00831C74">
        <w:rPr>
          <w:lang w:val="es-ES"/>
        </w:rPr>
        <w:t xml:space="preserve">Se alienta a los Estados Miembros a que, durante el proceso de selección de los candidatos, consideren promover el equilibrio </w:t>
      </w:r>
      <w:r w:rsidR="00FC0A45" w:rsidRPr="00831C74">
        <w:rPr>
          <w:lang w:val="es-ES"/>
        </w:rPr>
        <w:t>de género</w:t>
      </w:r>
      <w:r w:rsidR="009E3874" w:rsidRPr="00831C74">
        <w:rPr>
          <w:lang w:val="es-ES"/>
        </w:rPr>
        <w:t xml:space="preserve"> y la inclusión de las personas con discapacidad y con necesidades específicas.</w:t>
      </w:r>
    </w:p>
    <w:p w14:paraId="08B39ABF" w14:textId="493733D0" w:rsidR="00A63362" w:rsidRPr="00831C74" w:rsidRDefault="00A63362" w:rsidP="00A63362">
      <w:pPr>
        <w:rPr>
          <w:lang w:val="es-ES"/>
        </w:rPr>
      </w:pPr>
      <w:r w:rsidRPr="00831C74">
        <w:rPr>
          <w:lang w:val="es-ES"/>
        </w:rPr>
        <w:t>14.4</w:t>
      </w:r>
      <w:r w:rsidRPr="00831C74">
        <w:rPr>
          <w:lang w:val="es-ES"/>
        </w:rPr>
        <w:tab/>
      </w:r>
      <w:r w:rsidR="00FC0A45" w:rsidRPr="00831C74">
        <w:rPr>
          <w:lang w:val="es-ES"/>
        </w:rPr>
        <w:t xml:space="preserve">En vista de las posibles restricciones de viaje, los Estados Miembros pueden solicitar becas de participación, conocidas como </w:t>
      </w:r>
      <w:r w:rsidR="00FC0A45" w:rsidRPr="00831C74">
        <w:rPr>
          <w:b/>
          <w:bCs/>
          <w:lang w:val="es-ES"/>
        </w:rPr>
        <w:t>becas electrónicas</w:t>
      </w:r>
      <w:r w:rsidR="00FC0A45" w:rsidRPr="00831C74">
        <w:rPr>
          <w:lang w:val="es-ES"/>
        </w:rPr>
        <w:t>. El formulario de solicitud debidamente validado (</w:t>
      </w:r>
      <w:r w:rsidR="00FC0A45" w:rsidRPr="00831C74">
        <w:rPr>
          <w:b/>
          <w:bCs/>
          <w:lang w:val="es-ES"/>
        </w:rPr>
        <w:t>Anexo 4</w:t>
      </w:r>
      <w:r w:rsidR="00FC0A45" w:rsidRPr="00831C74">
        <w:rPr>
          <w:lang w:val="es-ES"/>
        </w:rPr>
        <w:t xml:space="preserve">) y sus anexos deben </w:t>
      </w:r>
      <w:r w:rsidR="00045BAC" w:rsidRPr="00831C74">
        <w:rPr>
          <w:lang w:val="es-ES"/>
        </w:rPr>
        <w:t xml:space="preserve">remitirse </w:t>
      </w:r>
      <w:r w:rsidR="00FC0A45" w:rsidRPr="00831C74">
        <w:rPr>
          <w:lang w:val="es-ES"/>
        </w:rPr>
        <w:t xml:space="preserve">al </w:t>
      </w:r>
      <w:r w:rsidR="00045BAC" w:rsidRPr="00831C74">
        <w:rPr>
          <w:lang w:val="es-ES"/>
        </w:rPr>
        <w:t>s</w:t>
      </w:r>
      <w:r w:rsidR="00FC0A45" w:rsidRPr="00831C74">
        <w:rPr>
          <w:lang w:val="es-ES"/>
        </w:rPr>
        <w:t xml:space="preserve">ervicio de </w:t>
      </w:r>
      <w:r w:rsidR="00045BAC" w:rsidRPr="00831C74">
        <w:rPr>
          <w:lang w:val="es-ES"/>
        </w:rPr>
        <w:t>b</w:t>
      </w:r>
      <w:r w:rsidR="00FC0A45" w:rsidRPr="00831C74">
        <w:rPr>
          <w:lang w:val="es-ES"/>
        </w:rPr>
        <w:t xml:space="preserve">ecas de la UIT </w:t>
      </w:r>
      <w:r w:rsidR="00FC0A45" w:rsidRPr="00831C74">
        <w:rPr>
          <w:b/>
          <w:bCs/>
          <w:lang w:val="es-ES"/>
        </w:rPr>
        <w:t>a más tardar el</w:t>
      </w:r>
      <w:r w:rsidR="00C11B28">
        <w:rPr>
          <w:lang w:val="es-ES"/>
        </w:rPr>
        <w:t> </w:t>
      </w:r>
      <w:r w:rsidR="00FC0A45" w:rsidRPr="00831C74">
        <w:rPr>
          <w:b/>
          <w:bCs/>
          <w:lang w:val="es-ES"/>
        </w:rPr>
        <w:t>17</w:t>
      </w:r>
      <w:r w:rsidR="00C11B28">
        <w:rPr>
          <w:b/>
          <w:bCs/>
          <w:lang w:val="es-ES"/>
        </w:rPr>
        <w:t> </w:t>
      </w:r>
      <w:r w:rsidR="00FC0A45" w:rsidRPr="00831C74">
        <w:rPr>
          <w:b/>
          <w:bCs/>
          <w:lang w:val="es-ES"/>
        </w:rPr>
        <w:t>de enero de 2022</w:t>
      </w:r>
      <w:r w:rsidRPr="00831C74">
        <w:rPr>
          <w:lang w:val="es-ES"/>
        </w:rPr>
        <w:t>.</w:t>
      </w:r>
    </w:p>
    <w:p w14:paraId="64AE405C" w14:textId="17CC0013" w:rsidR="00A63362" w:rsidRDefault="007A6038" w:rsidP="00A63362">
      <w:r w:rsidRPr="007A6038">
        <w:t xml:space="preserve">La información general para los participantes relacionada con los visados, los viajes y las medidas de seguridad y protección en vigor a fecha de 20 de septiembre de 2021 están disponibles en el </w:t>
      </w:r>
      <w:r w:rsidRPr="007A6038">
        <w:rPr>
          <w:b/>
          <w:bCs/>
        </w:rPr>
        <w:t>Anexo 1</w:t>
      </w:r>
      <w:r w:rsidRPr="007A6038">
        <w:t>. Se invita a los participantes a que</w:t>
      </w:r>
      <w:r w:rsidR="00045BAC" w:rsidRPr="007A6038">
        <w:t xml:space="preserve">, antes de organizar </w:t>
      </w:r>
      <w:r w:rsidR="00045BAC">
        <w:t xml:space="preserve">su </w:t>
      </w:r>
      <w:r w:rsidR="00045BAC" w:rsidRPr="007A6038">
        <w:t>viaje para asistir al evento</w:t>
      </w:r>
      <w:r w:rsidR="00045BAC">
        <w:t>,</w:t>
      </w:r>
      <w:r w:rsidRPr="007A6038">
        <w:t xml:space="preserve"> consulten la información </w:t>
      </w:r>
      <w:r w:rsidR="00045BAC">
        <w:t>relativa a la</w:t>
      </w:r>
      <w:r w:rsidRPr="007A6038">
        <w:t xml:space="preserve"> seguridad y protección (en la </w:t>
      </w:r>
      <w:hyperlink r:id="rId34" w:history="1">
        <w:r w:rsidRPr="00A31CE2">
          <w:rPr>
            <w:rStyle w:val="Hyperlink"/>
          </w:rPr>
          <w:t xml:space="preserve">página de </w:t>
        </w:r>
        <w:r w:rsidR="00045BAC" w:rsidRPr="00A31CE2">
          <w:rPr>
            <w:rStyle w:val="Hyperlink"/>
          </w:rPr>
          <w:t>medidas de seguridad de la UIT contra</w:t>
        </w:r>
        <w:r w:rsidRPr="00A31CE2">
          <w:rPr>
            <w:rStyle w:val="Hyperlink"/>
          </w:rPr>
          <w:t xml:space="preserve"> la COVID</w:t>
        </w:r>
      </w:hyperlink>
      <w:r w:rsidRPr="007A6038">
        <w:t xml:space="preserve">) donde se </w:t>
      </w:r>
      <w:r w:rsidR="00045BAC">
        <w:t xml:space="preserve">irá publicando </w:t>
      </w:r>
      <w:r w:rsidRPr="007A6038">
        <w:t>información actualizada.</w:t>
      </w:r>
    </w:p>
    <w:p w14:paraId="0A0EE504" w14:textId="40AB51F3" w:rsidR="00304E24" w:rsidRPr="00304E24" w:rsidRDefault="00304E24" w:rsidP="00304E24">
      <w:r w:rsidRPr="00304E24">
        <w:t xml:space="preserve">Espero poder contar con su presencia en </w:t>
      </w:r>
      <w:r w:rsidR="007A6038">
        <w:t>Ginebra (Suiza)</w:t>
      </w:r>
      <w:r w:rsidRPr="00304E24">
        <w:t>.</w:t>
      </w:r>
    </w:p>
    <w:p w14:paraId="78746DD1" w14:textId="77777777" w:rsidR="00304E24" w:rsidRPr="00304E24" w:rsidRDefault="00304E24" w:rsidP="00304E24">
      <w:r w:rsidRPr="00304E24">
        <w:t>Atentamente,</w:t>
      </w:r>
    </w:p>
    <w:p w14:paraId="4411DB99" w14:textId="77777777" w:rsidR="007B6316" w:rsidRPr="00304E24" w:rsidRDefault="007B6316" w:rsidP="00304E24">
      <w:pPr>
        <w:spacing w:before="480" w:after="480"/>
        <w:rPr>
          <w:i/>
          <w:iCs/>
          <w:sz w:val="28"/>
          <w:szCs w:val="22"/>
        </w:rPr>
      </w:pPr>
      <w:r w:rsidRPr="00304E24">
        <w:rPr>
          <w:i/>
          <w:iCs/>
        </w:rPr>
        <w:t>(firmado)</w:t>
      </w:r>
    </w:p>
    <w:p w14:paraId="7C22512C" w14:textId="77777777" w:rsidR="007B6316" w:rsidRPr="00081FE5" w:rsidRDefault="007B6316" w:rsidP="00304E24">
      <w:r w:rsidRPr="00081FE5">
        <w:t>Chaesub Lee</w:t>
      </w:r>
      <w:r w:rsidRPr="00081FE5">
        <w:br/>
        <w:t xml:space="preserve">Director de la Oficina de </w:t>
      </w:r>
      <w:r w:rsidRPr="00081FE5">
        <w:br/>
        <w:t>Normalización de las Telecomunicaciones</w:t>
      </w:r>
    </w:p>
    <w:p w14:paraId="4B9107F5" w14:textId="5241527E" w:rsidR="00401C20" w:rsidRDefault="00304E24" w:rsidP="00D96346">
      <w:pPr>
        <w:spacing w:before="840"/>
        <w:rPr>
          <w:lang w:val="es"/>
        </w:rPr>
      </w:pPr>
      <w:r w:rsidRPr="00304E24">
        <w:rPr>
          <w:b/>
          <w:bCs/>
          <w:lang w:val="es"/>
        </w:rPr>
        <w:t>Anexos</w:t>
      </w:r>
      <w:r w:rsidRPr="00304E24">
        <w:rPr>
          <w:lang w:val="es"/>
        </w:rPr>
        <w:t xml:space="preserve">: </w:t>
      </w:r>
      <w:r w:rsidR="00045BAC">
        <w:rPr>
          <w:lang w:val="es"/>
        </w:rPr>
        <w:t>4</w:t>
      </w:r>
    </w:p>
    <w:p w14:paraId="7D096197" w14:textId="6BF1E8B2" w:rsidR="00304E24" w:rsidRDefault="00304E24" w:rsidP="00304E24">
      <w:pPr>
        <w:rPr>
          <w:lang w:val="es-ES"/>
        </w:rPr>
      </w:pPr>
      <w:r>
        <w:rPr>
          <w:lang w:val="es-ES"/>
        </w:rPr>
        <w:br w:type="page"/>
      </w:r>
    </w:p>
    <w:p w14:paraId="146821D3" w14:textId="77D787B8" w:rsidR="00304E24" w:rsidRPr="00304E24" w:rsidRDefault="00304E24" w:rsidP="00D96346">
      <w:pPr>
        <w:pStyle w:val="Annex"/>
      </w:pPr>
      <w:r w:rsidRPr="00304E24">
        <w:lastRenderedPageBreak/>
        <w:t>ANEXO 1</w:t>
      </w:r>
      <w:r w:rsidRPr="00304E24">
        <w:br/>
        <w:t>(</w:t>
      </w:r>
      <w:r w:rsidR="006319FF" w:rsidRPr="00304E24">
        <w:rPr>
          <w:caps w:val="0"/>
        </w:rPr>
        <w:t xml:space="preserve">a la Circular </w:t>
      </w:r>
      <w:r w:rsidRPr="00304E24">
        <w:t xml:space="preserve">TSB </w:t>
      </w:r>
      <w:r w:rsidR="009E3874">
        <w:t>203</w:t>
      </w:r>
      <w:r w:rsidRPr="00304E24">
        <w:t>)</w:t>
      </w:r>
    </w:p>
    <w:p w14:paraId="2E38D6E8" w14:textId="0E87C3D0" w:rsidR="009E3874" w:rsidRDefault="009E3874" w:rsidP="009E3874">
      <w:pPr>
        <w:pStyle w:val="AnnexTitle"/>
      </w:pPr>
      <w:r>
        <w:t xml:space="preserve">Información para los participantes sobre </w:t>
      </w:r>
      <w:r>
        <w:br/>
        <w:t>visados, viajes y medidas en vigor en Ginebra y el CICG</w:t>
      </w:r>
    </w:p>
    <w:p w14:paraId="539B385F" w14:textId="3F5B74FF" w:rsidR="009E3874" w:rsidRPr="0024763C" w:rsidRDefault="009E3874" w:rsidP="009E3874">
      <w:pPr>
        <w:pStyle w:val="Heading2"/>
      </w:pPr>
      <w:bookmarkStart w:id="5" w:name="_Hlk84250087"/>
      <w:r w:rsidRPr="0024763C">
        <w:t>1</w:t>
      </w:r>
      <w:r>
        <w:t>.1</w:t>
      </w:r>
      <w:r w:rsidRPr="0024763C">
        <w:tab/>
        <w:t>Solicitud de visado</w:t>
      </w:r>
    </w:p>
    <w:p w14:paraId="04CE795E" w14:textId="77777777" w:rsidR="009E3874" w:rsidRPr="0024763C" w:rsidRDefault="009E3874" w:rsidP="009E3874">
      <w:pPr>
        <w:pStyle w:val="enumlev1"/>
      </w:pPr>
      <w:bookmarkStart w:id="6" w:name="lt_pId113"/>
      <w:r w:rsidRPr="0024763C">
        <w:t>•</w:t>
      </w:r>
      <w:r w:rsidRPr="0024763C">
        <w:tab/>
        <w:t>Los delegados son responsables de solicitar su propio visado.</w:t>
      </w:r>
      <w:bookmarkEnd w:id="6"/>
      <w:r w:rsidRPr="0024763C">
        <w:t xml:space="preserve"> </w:t>
      </w:r>
      <w:bookmarkStart w:id="7" w:name="lt_pId114"/>
      <w:r w:rsidRPr="0024763C">
        <w:t>La UIT puede proporcionar apoyo a los miembros de la UIT únicamente.</w:t>
      </w:r>
      <w:bookmarkEnd w:id="7"/>
    </w:p>
    <w:p w14:paraId="0012D15C" w14:textId="58D552DB" w:rsidR="009E3874" w:rsidRPr="0024763C" w:rsidRDefault="009E3874" w:rsidP="009E3874">
      <w:pPr>
        <w:pStyle w:val="enumlev1"/>
      </w:pPr>
      <w:bookmarkStart w:id="8" w:name="lt_pId115"/>
      <w:r w:rsidRPr="0024763C">
        <w:t>•</w:t>
      </w:r>
      <w:r w:rsidRPr="0024763C">
        <w:tab/>
        <w:t>En función de su nacionalidad, los participantes que asistan a conferencias en Suiza pueden necesitar un visado o salvoconducto para entrar en el país.</w:t>
      </w:r>
      <w:bookmarkEnd w:id="8"/>
      <w:r w:rsidRPr="0024763C">
        <w:t xml:space="preserve"> </w:t>
      </w:r>
      <w:bookmarkStart w:id="9" w:name="lt_pId117"/>
      <w:r w:rsidRPr="0024763C">
        <w:t xml:space="preserve">Los requisitos de visado deben cumplirse antes de la llegada. La lista de nacionalidades sujetas a visado puede encontrarse consultando </w:t>
      </w:r>
      <w:hyperlink r:id="rId35" w:history="1">
        <w:r w:rsidR="00E82B71" w:rsidRPr="00376B65">
          <w:rPr>
            <w:rStyle w:val="Hyperlink"/>
          </w:rPr>
          <w:t>https://www.sem.admin.ch/sem/en/home/publiservice/weisungen-kreisschreiben/visa/liste1_staatsangehoerigkeit.html</w:t>
        </w:r>
      </w:hyperlink>
      <w:r w:rsidRPr="0024763C">
        <w:t>.</w:t>
      </w:r>
      <w:bookmarkEnd w:id="9"/>
    </w:p>
    <w:p w14:paraId="6CF67177" w14:textId="4249AF0D" w:rsidR="009E3874" w:rsidRPr="0024763C" w:rsidRDefault="009E3874" w:rsidP="009E3874">
      <w:pPr>
        <w:pStyle w:val="enumlev1"/>
      </w:pPr>
      <w:r w:rsidRPr="0024763C">
        <w:t>•</w:t>
      </w:r>
      <w:r w:rsidRPr="0024763C">
        <w:tab/>
        <w:t xml:space="preserve">Los visados de entrada en Suiza son expedidos principalmente por la Embajada/Consulado de Suiza responsable del país de residencia del solicitante y, en algunos casos, proveedores de servicios externos registran la solicitud de visado en nombre de las autoridades suizas. La información sobre la Embajada o el Consulado de Suiza más cercano responsable del lugar de residencia del participante puede encontrarse consultando el </w:t>
      </w:r>
      <w:hyperlink r:id="rId36" w:anchor="/i210-select-country" w:history="1">
        <w:r w:rsidRPr="003D224B">
          <w:rPr>
            <w:rStyle w:val="Hyperlink"/>
          </w:rPr>
          <w:t>sistema de visado en línea de Suiza</w:t>
        </w:r>
      </w:hyperlink>
      <w:r w:rsidRPr="0024763C">
        <w:t>.</w:t>
      </w:r>
    </w:p>
    <w:p w14:paraId="456BC12A" w14:textId="77777777" w:rsidR="009E3874" w:rsidRPr="0024763C" w:rsidRDefault="009E3874" w:rsidP="009E3874">
      <w:pPr>
        <w:pStyle w:val="enumlev1"/>
      </w:pPr>
      <w:r w:rsidRPr="0024763C">
        <w:t>•</w:t>
      </w:r>
      <w:r w:rsidRPr="0024763C">
        <w:tab/>
        <w:t>A la luz de las restricciones de viaje adoptadas en respuesta al coronavirus, las personas exentas de visado deben informarse acerca de los requisitos de embarque. En caso de que sea necesario, la representación suiza responsable para el lugar de residencia de la persona en el extranjero (</w:t>
      </w:r>
      <w:hyperlink r:id="rId37" w:history="1">
        <w:r w:rsidRPr="0024763C">
          <w:rPr>
            <w:rStyle w:val="Hyperlink"/>
          </w:rPr>
          <w:t>https://www.swiss-visa.ch/ivis2/#/i210-select-country</w:t>
        </w:r>
      </w:hyperlink>
      <w:r w:rsidRPr="0024763C">
        <w:t>) podrá expedir un salvoconducto que confirme que la persona cumple los requisitos para cruzar la frontera suiza de acuerdo con las condiciones establecidas en la Ordenanza 3 COVID-19 (</w:t>
      </w:r>
      <w:hyperlink r:id="rId38" w:history="1">
        <w:r w:rsidRPr="0024763C">
          <w:rPr>
            <w:rStyle w:val="Hyperlink"/>
          </w:rPr>
          <w:t>https://www.fedlex.admin.ch/eli/cc/2020/438/fr</w:t>
        </w:r>
      </w:hyperlink>
      <w:r w:rsidRPr="0024763C">
        <w:t>).</w:t>
      </w:r>
    </w:p>
    <w:p w14:paraId="51DE5521" w14:textId="0E539F48" w:rsidR="009E3874" w:rsidRPr="0024763C" w:rsidRDefault="009E3874" w:rsidP="00A52184">
      <w:bookmarkStart w:id="10" w:name="lt_pId122"/>
      <w:r w:rsidRPr="0024763C">
        <w:t xml:space="preserve">Para una información adicional, véase las notas informativas de la </w:t>
      </w:r>
      <w:hyperlink r:id="rId39" w:history="1">
        <w:r w:rsidRPr="0024763C">
          <w:rPr>
            <w:rStyle w:val="Hyperlink"/>
          </w:rPr>
          <w:t>Misión de Suiza</w:t>
        </w:r>
      </w:hyperlink>
      <w:r w:rsidRPr="0024763C">
        <w:t>:</w:t>
      </w:r>
      <w:bookmarkEnd w:id="10"/>
    </w:p>
    <w:p w14:paraId="5974A9E7" w14:textId="3912558A" w:rsidR="009E3874" w:rsidRPr="0024763C" w:rsidRDefault="00A52184" w:rsidP="009E3874">
      <w:pPr>
        <w:pStyle w:val="enumlev1"/>
      </w:pPr>
      <w:bookmarkStart w:id="11" w:name="lt_pId123"/>
      <w:r>
        <w:t>•</w:t>
      </w:r>
      <w:r w:rsidR="009E3874" w:rsidRPr="0024763C">
        <w:tab/>
        <w:t xml:space="preserve">Nota informativa COVID-19 sobre las reglas de entrada en Suiza para las personas a las que las organizaciones internacionales y las misiones permanentes esperan con carácter oficial en </w:t>
      </w:r>
      <w:hyperlink r:id="rId40" w:history="1">
        <w:r w:rsidR="009E3874" w:rsidRPr="0024763C">
          <w:rPr>
            <w:rStyle w:val="Hyperlink"/>
          </w:rPr>
          <w:t>COVID-19-Information-for-people-travelling-to-Switzerland_EN.pdf (admin.ch)</w:t>
        </w:r>
      </w:hyperlink>
      <w:bookmarkEnd w:id="11"/>
      <w:r w:rsidR="009E3874" w:rsidRPr="0024763C">
        <w:t>.</w:t>
      </w:r>
    </w:p>
    <w:p w14:paraId="6BA6F7BB" w14:textId="6155CF85" w:rsidR="009E3874" w:rsidRPr="009A50B0" w:rsidRDefault="00A52184" w:rsidP="009E3874">
      <w:pPr>
        <w:pStyle w:val="enumlev1"/>
      </w:pPr>
      <w:bookmarkStart w:id="12" w:name="lt_pId124"/>
      <w:r>
        <w:t>•</w:t>
      </w:r>
      <w:r w:rsidR="009E3874" w:rsidRPr="0024763C">
        <w:tab/>
        <w:t xml:space="preserve">Nota informativa sobre las medidas sanitarias y los controles fronterizos para las personas a las que las organizaciones internacionales y las misiones permanentes esperan con carácter oficial en </w:t>
      </w:r>
      <w:hyperlink r:id="rId41" w:history="1">
        <w:r w:rsidR="009E3874" w:rsidRPr="0024763C">
          <w:rPr>
            <w:rStyle w:val="Hyperlink"/>
          </w:rPr>
          <w:t>COVID-19-Information-Sheet-on-health-measures-and-border-controls_EN.pdf (admin.ch)</w:t>
        </w:r>
      </w:hyperlink>
      <w:bookmarkEnd w:id="5"/>
      <w:bookmarkEnd w:id="12"/>
      <w:r w:rsidR="009E3874" w:rsidRPr="0024763C">
        <w:t>.</w:t>
      </w:r>
    </w:p>
    <w:p w14:paraId="289620CD" w14:textId="7531790A" w:rsidR="009E3874" w:rsidRPr="00586272" w:rsidRDefault="009E3874" w:rsidP="009E3874">
      <w:pPr>
        <w:pStyle w:val="Heading2"/>
        <w:rPr>
          <w:lang w:val="es-ES"/>
        </w:rPr>
      </w:pPr>
      <w:r w:rsidRPr="00586272">
        <w:rPr>
          <w:lang w:val="es-ES"/>
        </w:rPr>
        <w:t>1.2</w:t>
      </w:r>
      <w:r w:rsidRPr="00586272">
        <w:rPr>
          <w:lang w:val="es-ES"/>
        </w:rPr>
        <w:tab/>
      </w:r>
      <w:r w:rsidR="00045BAC" w:rsidRPr="00586272">
        <w:rPr>
          <w:lang w:val="es-ES"/>
        </w:rPr>
        <w:t xml:space="preserve">Información actualizada sobre las medidas de seguridad contra la </w:t>
      </w:r>
      <w:r w:rsidRPr="00586272">
        <w:rPr>
          <w:lang w:val="es-ES"/>
        </w:rPr>
        <w:t xml:space="preserve">COVID </w:t>
      </w:r>
      <w:r w:rsidR="00045BAC" w:rsidRPr="00586272">
        <w:rPr>
          <w:lang w:val="es-ES"/>
        </w:rPr>
        <w:t>para la AMNT</w:t>
      </w:r>
      <w:r w:rsidR="003D224B">
        <w:rPr>
          <w:lang w:val="es-ES"/>
        </w:rPr>
        <w:noBreakHyphen/>
      </w:r>
      <w:r w:rsidRPr="00586272">
        <w:rPr>
          <w:lang w:val="es-ES"/>
        </w:rPr>
        <w:t xml:space="preserve">20 </w:t>
      </w:r>
      <w:r w:rsidR="00045BAC" w:rsidRPr="00586272">
        <w:rPr>
          <w:lang w:val="es-ES"/>
        </w:rPr>
        <w:t>y el SMN</w:t>
      </w:r>
      <w:r w:rsidRPr="00586272">
        <w:rPr>
          <w:lang w:val="es-ES"/>
        </w:rPr>
        <w:t xml:space="preserve">-20 </w:t>
      </w:r>
      <w:r w:rsidR="00045BAC" w:rsidRPr="00586272">
        <w:rPr>
          <w:lang w:val="es-ES"/>
        </w:rPr>
        <w:t>en Suiza</w:t>
      </w:r>
    </w:p>
    <w:p w14:paraId="2275225B" w14:textId="1A53150C" w:rsidR="009E3874" w:rsidRPr="00586272" w:rsidRDefault="00045BAC" w:rsidP="009E3874">
      <w:pPr>
        <w:rPr>
          <w:lang w:val="es-ES"/>
        </w:rPr>
      </w:pPr>
      <w:r w:rsidRPr="00586272">
        <w:rPr>
          <w:lang w:val="es-ES"/>
        </w:rPr>
        <w:t xml:space="preserve">Sírvase consultar el sitio web sobre medidas de seguridad de la UIT, donde encontrará información actualizada: </w:t>
      </w:r>
      <w:hyperlink r:id="rId42" w:history="1">
        <w:r w:rsidR="009E3874" w:rsidRPr="00586272">
          <w:rPr>
            <w:rStyle w:val="Hyperlink"/>
            <w:lang w:val="es-ES"/>
          </w:rPr>
          <w:t>https://www.itu.int/security/covid19</w:t>
        </w:r>
      </w:hyperlink>
      <w:r w:rsidR="00586272" w:rsidRPr="00586272">
        <w:rPr>
          <w:lang w:val="es-ES"/>
        </w:rPr>
        <w:t>.</w:t>
      </w:r>
    </w:p>
    <w:p w14:paraId="096FCCAC" w14:textId="15E81113" w:rsidR="009E3874" w:rsidRPr="00586272" w:rsidRDefault="009E3874" w:rsidP="009E3874">
      <w:pPr>
        <w:rPr>
          <w:lang w:val="es-ES"/>
        </w:rPr>
      </w:pPr>
      <w:r w:rsidRPr="00586272">
        <w:rPr>
          <w:lang w:val="es-ES"/>
        </w:rPr>
        <w:br w:type="page"/>
      </w:r>
    </w:p>
    <w:p w14:paraId="02E3C2E6" w14:textId="505E7F9F" w:rsidR="009E3874" w:rsidRPr="009E3874" w:rsidRDefault="009E3874" w:rsidP="00831C74">
      <w:pPr>
        <w:pStyle w:val="Annex"/>
      </w:pPr>
      <w:r>
        <w:lastRenderedPageBreak/>
        <w:t>ANEXO 2</w:t>
      </w:r>
      <w:r>
        <w:br/>
      </w:r>
      <w:r w:rsidRPr="009E3874">
        <w:t>(</w:t>
      </w:r>
      <w:r w:rsidR="006319FF" w:rsidRPr="009E3874">
        <w:rPr>
          <w:caps w:val="0"/>
        </w:rPr>
        <w:t xml:space="preserve">a la Circular </w:t>
      </w:r>
      <w:r w:rsidRPr="009E3874">
        <w:t>TSB 203)</w:t>
      </w:r>
    </w:p>
    <w:p w14:paraId="79E64F46" w14:textId="6D5F0590" w:rsidR="00304E24" w:rsidRPr="00304E24" w:rsidRDefault="00304E24" w:rsidP="009E3874">
      <w:pPr>
        <w:pStyle w:val="AnnexTitle"/>
      </w:pPr>
      <w:r w:rsidRPr="00304E24">
        <w:t>Proyecto de estructura de la Asamblea</w:t>
      </w:r>
      <w:r w:rsidRPr="00304E24">
        <w:br/>
        <w:t>(extractos de la Resolución 1</w:t>
      </w:r>
      <w:r w:rsidR="009E3874">
        <w:t xml:space="preserve"> </w:t>
      </w:r>
      <w:r w:rsidR="009E3874" w:rsidRPr="009E3874">
        <w:rPr>
          <w:lang w:val="en-GB"/>
        </w:rPr>
        <w:t>(Rev. Hammamet 2016)</w:t>
      </w:r>
      <w:r w:rsidRPr="00304E24">
        <w:t xml:space="preserve"> de la AMNT)</w:t>
      </w:r>
    </w:p>
    <w:p w14:paraId="137C3668" w14:textId="5E6D1B5D" w:rsidR="00304E24" w:rsidRPr="00304E24" w:rsidRDefault="009E3874" w:rsidP="00D96346">
      <w:pPr>
        <w:pStyle w:val="Normalaftertitle"/>
        <w:rPr>
          <w:bCs/>
        </w:rPr>
      </w:pPr>
      <w:r>
        <w:rPr>
          <w:b/>
          <w:bCs/>
          <w:lang w:val="es"/>
        </w:rPr>
        <w:t>2</w:t>
      </w:r>
      <w:r w:rsidR="00304E24" w:rsidRPr="00304E24">
        <w:rPr>
          <w:b/>
          <w:bCs/>
          <w:lang w:val="es"/>
        </w:rPr>
        <w:t>.1</w:t>
      </w:r>
      <w:r w:rsidR="00304E24" w:rsidRPr="00304E24">
        <w:rPr>
          <w:lang w:val="es"/>
        </w:rPr>
        <w:tab/>
        <w:t xml:space="preserve">Al asumir las funciones que tiene asignadas en virtud del Artículo 18 de la Constitución de la UIT, el Artículo 13 del Convenio de la UIT y el Reglamento General de las </w:t>
      </w:r>
      <w:r w:rsidR="009A50B0">
        <w:rPr>
          <w:lang w:val="es"/>
        </w:rPr>
        <w:t>c</w:t>
      </w:r>
      <w:r w:rsidR="00304E24" w:rsidRPr="00304E24">
        <w:rPr>
          <w:lang w:val="es"/>
        </w:rPr>
        <w:t xml:space="preserve">onferencias, </w:t>
      </w:r>
      <w:r w:rsidR="009A50B0">
        <w:rPr>
          <w:lang w:val="es"/>
        </w:rPr>
        <w:t>a</w:t>
      </w:r>
      <w:r w:rsidR="00304E24" w:rsidRPr="00304E24">
        <w:rPr>
          <w:lang w:val="es"/>
        </w:rPr>
        <w:t xml:space="preserve">sambleas y </w:t>
      </w:r>
      <w:r w:rsidR="009A50B0">
        <w:rPr>
          <w:lang w:val="es"/>
        </w:rPr>
        <w:t>r</w:t>
      </w:r>
      <w:r w:rsidR="00304E24" w:rsidRPr="00304E24">
        <w:rPr>
          <w:lang w:val="es"/>
        </w:rPr>
        <w:t>euniones de la Unión, la Asamblea Mundial de Normalización de las Telecomunicaciones (AMNT) llevará a cabo la labor de cada asamblea mediante la creación de Comisiones y de uno o varios grupos que se encargarán de la organización, el programa de trabajo, el control del presupuesto, las cuestiones de redacción, así como de examinar, en su caso, otros asuntos específicos.</w:t>
      </w:r>
    </w:p>
    <w:p w14:paraId="1F3FDE91" w14:textId="11481F6A" w:rsidR="00304E24" w:rsidRPr="00304E24" w:rsidRDefault="009E3874" w:rsidP="00304E24">
      <w:pPr>
        <w:rPr>
          <w:bCs/>
        </w:rPr>
      </w:pPr>
      <w:r>
        <w:rPr>
          <w:b/>
          <w:bCs/>
          <w:lang w:val="es"/>
        </w:rPr>
        <w:t>2</w:t>
      </w:r>
      <w:r w:rsidR="00304E24" w:rsidRPr="00304E24">
        <w:rPr>
          <w:b/>
          <w:bCs/>
          <w:lang w:val="es"/>
        </w:rPr>
        <w:t>.2</w:t>
      </w:r>
      <w:r w:rsidR="00304E24" w:rsidRPr="00304E24">
        <w:rPr>
          <w:lang w:val="es"/>
        </w:rPr>
        <w:tab/>
        <w:t>Creará una Comisión de Dirección, presidida por el Presidente de la Asamblea, que estará integrada por los Vicepresidentes de la Asamblea y los Presidentes y Vicepresidentes de las Comisiones y de los grupos creados por la Asamblea.</w:t>
      </w:r>
    </w:p>
    <w:p w14:paraId="704A2FA6" w14:textId="16E9CECC" w:rsidR="00304E24" w:rsidRPr="00304E24" w:rsidRDefault="009E3874" w:rsidP="00304E24">
      <w:pPr>
        <w:rPr>
          <w:bCs/>
        </w:rPr>
      </w:pPr>
      <w:r>
        <w:rPr>
          <w:b/>
          <w:bCs/>
          <w:lang w:val="es"/>
        </w:rPr>
        <w:t>2</w:t>
      </w:r>
      <w:r w:rsidR="00304E24" w:rsidRPr="00304E24">
        <w:rPr>
          <w:b/>
          <w:bCs/>
          <w:lang w:val="es"/>
        </w:rPr>
        <w:t>.3</w:t>
      </w:r>
      <w:r w:rsidR="00304E24" w:rsidRPr="00304E24">
        <w:rPr>
          <w:lang w:val="es"/>
        </w:rPr>
        <w:tab/>
        <w:t>La AMNT elaborará Resoluciones que definan los métodos de trabajo e identifiquen los temas prioritarios. Antes del proceso de elaboración y durante el mismo debe tenerse en cuenta lo siguiente:</w:t>
      </w:r>
    </w:p>
    <w:p w14:paraId="6912DE60" w14:textId="77777777" w:rsidR="00304E24" w:rsidRPr="00304E24" w:rsidRDefault="00304E24" w:rsidP="00D96346">
      <w:pPr>
        <w:pStyle w:val="enumlev1"/>
      </w:pPr>
      <w:r w:rsidRPr="00304E24">
        <w:rPr>
          <w:lang w:val="es"/>
        </w:rPr>
        <w:t>a)</w:t>
      </w:r>
      <w:r w:rsidRPr="00304E24">
        <w:rPr>
          <w:lang w:val="es"/>
        </w:rPr>
        <w:tab/>
        <w:t>si una Resolución de la Conferencia de Plenipotenciarios existente identifica un tema prioritario, debe cuestionarse la necesidad de una Resolución de la AMNT similar;</w:t>
      </w:r>
    </w:p>
    <w:p w14:paraId="13E9F872" w14:textId="77777777" w:rsidR="00304E24" w:rsidRPr="00304E24" w:rsidRDefault="00304E24" w:rsidP="00D96346">
      <w:pPr>
        <w:pStyle w:val="enumlev1"/>
      </w:pPr>
      <w:r w:rsidRPr="00304E24">
        <w:rPr>
          <w:lang w:val="es"/>
        </w:rPr>
        <w:t>b)</w:t>
      </w:r>
      <w:r w:rsidRPr="00304E24">
        <w:rPr>
          <w:lang w:val="es"/>
        </w:rPr>
        <w:tab/>
        <w:t>si una Resolución existente identifica un tema prioritario, debe cuestionarse la necesidad de reciclar esta Resolución en varias Conferencias o Asambleas;</w:t>
      </w:r>
    </w:p>
    <w:p w14:paraId="18132633" w14:textId="7B638033" w:rsidR="009E3874" w:rsidRDefault="00304E24" w:rsidP="00D96346">
      <w:pPr>
        <w:pStyle w:val="enumlev1"/>
        <w:rPr>
          <w:lang w:val="es"/>
        </w:rPr>
      </w:pPr>
      <w:r w:rsidRPr="00304E24">
        <w:rPr>
          <w:lang w:val="es"/>
        </w:rPr>
        <w:t>c)</w:t>
      </w:r>
      <w:r w:rsidRPr="00304E24">
        <w:rPr>
          <w:lang w:val="es"/>
        </w:rPr>
        <w:tab/>
        <w:t>si en una Resolución de la AMNT sólo son necesarias actualizaciones formales, debe cuestionarse la necesidad de elaborar una versión revisada</w:t>
      </w:r>
      <w:r w:rsidR="009E3874">
        <w:rPr>
          <w:lang w:val="es"/>
        </w:rPr>
        <w:t>;</w:t>
      </w:r>
    </w:p>
    <w:p w14:paraId="11ECF2A7" w14:textId="48BFF8BA" w:rsidR="00304E24" w:rsidRPr="00A41990" w:rsidRDefault="009E3874" w:rsidP="00D80CC0">
      <w:pPr>
        <w:pStyle w:val="enumlev1"/>
        <w:rPr>
          <w:lang w:val="es"/>
        </w:rPr>
      </w:pPr>
      <w:r>
        <w:rPr>
          <w:lang w:val="es"/>
        </w:rPr>
        <w:t>d)</w:t>
      </w:r>
      <w:r>
        <w:rPr>
          <w:lang w:val="es"/>
        </w:rPr>
        <w:tab/>
      </w:r>
      <w:r w:rsidR="00D80CC0">
        <w:rPr>
          <w:lang w:val="es"/>
        </w:rPr>
        <w:t>s</w:t>
      </w:r>
      <w:r w:rsidR="00D80CC0" w:rsidRPr="00D80CC0">
        <w:rPr>
          <w:lang w:val="es"/>
        </w:rPr>
        <w:t>i las acciones propuestas se han llevado a buen término, la Resolución debe considerarse cumplida y debe cuestionarse su necesidad</w:t>
      </w:r>
      <w:r w:rsidR="00304E24" w:rsidRPr="00304E24">
        <w:rPr>
          <w:lang w:val="es"/>
        </w:rPr>
        <w:t>.</w:t>
      </w:r>
    </w:p>
    <w:p w14:paraId="4A259DD9" w14:textId="1D08D4D6" w:rsidR="00304E24" w:rsidRPr="00304E24" w:rsidRDefault="00D80CC0" w:rsidP="00304E24">
      <w:pPr>
        <w:rPr>
          <w:bCs/>
        </w:rPr>
      </w:pPr>
      <w:r>
        <w:rPr>
          <w:b/>
          <w:bCs/>
          <w:lang w:val="es"/>
        </w:rPr>
        <w:t>2</w:t>
      </w:r>
      <w:r w:rsidR="00304E24" w:rsidRPr="00304E24">
        <w:rPr>
          <w:b/>
          <w:bCs/>
          <w:lang w:val="es"/>
        </w:rPr>
        <w:t>.4</w:t>
      </w:r>
      <w:r w:rsidR="00304E24" w:rsidRPr="00304E24">
        <w:rPr>
          <w:lang w:val="es"/>
        </w:rPr>
        <w:tab/>
        <w:t xml:space="preserve">La AMNT establecerá una Comisión de Control del Presupuesto y una Comisión de Redacción, cuyas tareas y responsabilidades se estipulan en el Reglamento General de las </w:t>
      </w:r>
      <w:r w:rsidR="009A50B0">
        <w:rPr>
          <w:lang w:val="es"/>
        </w:rPr>
        <w:t>c</w:t>
      </w:r>
      <w:r w:rsidR="00304E24" w:rsidRPr="00304E24">
        <w:rPr>
          <w:lang w:val="es"/>
        </w:rPr>
        <w:t xml:space="preserve">onferencias, </w:t>
      </w:r>
      <w:r w:rsidR="009A50B0">
        <w:rPr>
          <w:lang w:val="es"/>
        </w:rPr>
        <w:t>a</w:t>
      </w:r>
      <w:r w:rsidR="00304E24" w:rsidRPr="00304E24">
        <w:rPr>
          <w:lang w:val="es"/>
        </w:rPr>
        <w:t xml:space="preserve">sambleas y </w:t>
      </w:r>
      <w:r w:rsidR="009A50B0">
        <w:rPr>
          <w:lang w:val="es"/>
        </w:rPr>
        <w:t>r</w:t>
      </w:r>
      <w:r w:rsidR="00304E24" w:rsidRPr="00304E24">
        <w:rPr>
          <w:lang w:val="es"/>
        </w:rPr>
        <w:t>euniones de la UIT (Reglamento General, números 69 a 74):</w:t>
      </w:r>
    </w:p>
    <w:p w14:paraId="20257BFB" w14:textId="616CBCF2" w:rsidR="00304E24" w:rsidRPr="00304E24" w:rsidRDefault="00304E24" w:rsidP="00D96346">
      <w:pPr>
        <w:pStyle w:val="enumlev1"/>
      </w:pPr>
      <w:r w:rsidRPr="00304E24">
        <w:rPr>
          <w:lang w:val="es"/>
        </w:rPr>
        <w:t>a)</w:t>
      </w:r>
      <w:r w:rsidRPr="00304E24">
        <w:rPr>
          <w:lang w:val="es"/>
        </w:rPr>
        <w:tab/>
      </w:r>
      <w:r w:rsidR="00D80CC0">
        <w:rPr>
          <w:lang w:val="es"/>
        </w:rPr>
        <w:t>L</w:t>
      </w:r>
      <w:r w:rsidRPr="00304E24">
        <w:rPr>
          <w:lang w:val="es"/>
        </w:rPr>
        <w:t>a "Comisión de Control del Presupuesto" examinará, entre otras cosas, la estimación de los gastos totales de la Asamblea y evaluará las necesidades financieras del UIT-T hasta la siguiente AMNT, así como los costos que entraña la ejecución de las decisiones adoptadas por la Asamblea</w:t>
      </w:r>
      <w:r w:rsidR="00D80CC0">
        <w:rPr>
          <w:lang w:val="es"/>
        </w:rPr>
        <w:t>.</w:t>
      </w:r>
    </w:p>
    <w:p w14:paraId="5912001C" w14:textId="00D91D56" w:rsidR="00304E24" w:rsidRPr="00304E24" w:rsidRDefault="00304E24" w:rsidP="00D96346">
      <w:pPr>
        <w:pStyle w:val="enumlev1"/>
      </w:pPr>
      <w:r w:rsidRPr="00304E24">
        <w:rPr>
          <w:lang w:val="es"/>
        </w:rPr>
        <w:t>b)</w:t>
      </w:r>
      <w:r w:rsidRPr="00304E24">
        <w:rPr>
          <w:lang w:val="es"/>
        </w:rPr>
        <w:tab/>
      </w:r>
      <w:r w:rsidR="00D80CC0">
        <w:rPr>
          <w:lang w:val="es"/>
        </w:rPr>
        <w:t>L</w:t>
      </w:r>
      <w:r w:rsidRPr="00304E24">
        <w:rPr>
          <w:lang w:val="es"/>
        </w:rPr>
        <w:t xml:space="preserve">a "Comisión de Redacción" perfeccionará la forma de los textos emanados de las deliberaciones de la </w:t>
      </w:r>
      <w:r w:rsidR="004C07F7">
        <w:rPr>
          <w:lang w:val="es"/>
        </w:rPr>
        <w:t>AMNT</w:t>
      </w:r>
      <w:r w:rsidRPr="00304E24">
        <w:rPr>
          <w:lang w:val="es"/>
        </w:rPr>
        <w:t>, tales como las Resoluciones, sin alterar el sentido ni el fondo, y armonizará los textos en los idiomas oficiales de la Unión.</w:t>
      </w:r>
    </w:p>
    <w:p w14:paraId="229B074B" w14:textId="50275B06" w:rsidR="00304E24" w:rsidRPr="00304E24" w:rsidRDefault="00D80CC0" w:rsidP="00304E24">
      <w:pPr>
        <w:rPr>
          <w:bCs/>
        </w:rPr>
      </w:pPr>
      <w:r>
        <w:rPr>
          <w:b/>
          <w:bCs/>
          <w:lang w:val="es"/>
        </w:rPr>
        <w:t>2</w:t>
      </w:r>
      <w:r w:rsidR="00304E24" w:rsidRPr="00304E24">
        <w:rPr>
          <w:b/>
          <w:bCs/>
          <w:lang w:val="es"/>
        </w:rPr>
        <w:t>.5</w:t>
      </w:r>
      <w:r w:rsidR="00304E24" w:rsidRPr="00304E24">
        <w:rPr>
          <w:lang w:val="es"/>
        </w:rPr>
        <w:tab/>
        <w:t>Además de las Comisiones de Dirección, de Control del Presupuesto y de Redacción, se establecerán las dos Comisiones siguientes:</w:t>
      </w:r>
    </w:p>
    <w:p w14:paraId="307388E9" w14:textId="1EB7B1DD" w:rsidR="00304E24" w:rsidRPr="00304E24" w:rsidRDefault="00304E24" w:rsidP="00D96346">
      <w:pPr>
        <w:pStyle w:val="enumlev1"/>
      </w:pPr>
      <w:r w:rsidRPr="00304E24">
        <w:rPr>
          <w:lang w:val="es"/>
        </w:rPr>
        <w:t>a)</w:t>
      </w:r>
      <w:r w:rsidRPr="00304E24">
        <w:rPr>
          <w:lang w:val="es"/>
        </w:rPr>
        <w:tab/>
      </w:r>
      <w:r w:rsidR="00D80CC0">
        <w:rPr>
          <w:lang w:val="es"/>
        </w:rPr>
        <w:t>L</w:t>
      </w:r>
      <w:r w:rsidRPr="00304E24">
        <w:rPr>
          <w:lang w:val="es"/>
        </w:rPr>
        <w:t xml:space="preserve">a "Comisión de Métodos de Trabajo del UIT-T", que someterá a la Sesión Plenaria </w:t>
      </w:r>
      <w:r w:rsidR="004C07F7">
        <w:rPr>
          <w:lang w:val="es"/>
        </w:rPr>
        <w:t>i</w:t>
      </w:r>
      <w:r w:rsidRPr="00304E24">
        <w:rPr>
          <w:lang w:val="es"/>
        </w:rPr>
        <w:t xml:space="preserve">nformes con propuestas sobre los métodos de trabajo del UIT-T para llevar a cabo el programa de trabajo del UIT-T, basados en los </w:t>
      </w:r>
      <w:r w:rsidR="004C07F7">
        <w:rPr>
          <w:lang w:val="es"/>
        </w:rPr>
        <w:t>i</w:t>
      </w:r>
      <w:r w:rsidRPr="00304E24">
        <w:rPr>
          <w:lang w:val="es"/>
        </w:rPr>
        <w:t>nformes del Grupo Asesor de Normalización de las Telecomunicaciones (GANT) sometidos a la Asamblea y en las propuestas de los Estados Miembros de la UIT y Miembros de Sector del UIT-T</w:t>
      </w:r>
      <w:r w:rsidR="00D80CC0">
        <w:rPr>
          <w:lang w:val="es"/>
        </w:rPr>
        <w:t>.</w:t>
      </w:r>
    </w:p>
    <w:p w14:paraId="5B58231E" w14:textId="4FE55889" w:rsidR="00304E24" w:rsidRPr="00304E24" w:rsidRDefault="00D80CC0" w:rsidP="004C07F7">
      <w:pPr>
        <w:pStyle w:val="enumlev1"/>
        <w:keepNext/>
        <w:keepLines/>
      </w:pPr>
      <w:r>
        <w:rPr>
          <w:lang w:val="es"/>
        </w:rPr>
        <w:lastRenderedPageBreak/>
        <w:t>b</w:t>
      </w:r>
      <w:r w:rsidR="00304E24" w:rsidRPr="00304E24">
        <w:rPr>
          <w:lang w:val="es"/>
        </w:rPr>
        <w:t>)</w:t>
      </w:r>
      <w:r w:rsidR="00304E24" w:rsidRPr="00304E24">
        <w:rPr>
          <w:lang w:val="es"/>
        </w:rPr>
        <w:tab/>
      </w:r>
      <w:r>
        <w:rPr>
          <w:lang w:val="es"/>
        </w:rPr>
        <w:t>L</w:t>
      </w:r>
      <w:r w:rsidR="00304E24" w:rsidRPr="00304E24">
        <w:rPr>
          <w:lang w:val="es"/>
        </w:rPr>
        <w:t xml:space="preserve">a "Comisión del Programa de </w:t>
      </w:r>
      <w:r w:rsidR="00170A0A">
        <w:rPr>
          <w:lang w:val="es"/>
        </w:rPr>
        <w:t>t</w:t>
      </w:r>
      <w:r w:rsidR="00304E24" w:rsidRPr="00304E24">
        <w:rPr>
          <w:lang w:val="es"/>
        </w:rPr>
        <w:t xml:space="preserve">rabajo y </w:t>
      </w:r>
      <w:r w:rsidR="00170A0A">
        <w:rPr>
          <w:lang w:val="es"/>
        </w:rPr>
        <w:t>o</w:t>
      </w:r>
      <w:r w:rsidR="00304E24" w:rsidRPr="00304E24">
        <w:rPr>
          <w:lang w:val="es"/>
        </w:rPr>
        <w:t xml:space="preserve">rganización del UIT-T", que someterá a la Sesión Plenaria </w:t>
      </w:r>
      <w:r w:rsidR="00C55282">
        <w:rPr>
          <w:lang w:val="es"/>
        </w:rPr>
        <w:t>i</w:t>
      </w:r>
      <w:r w:rsidR="00304E24" w:rsidRPr="00304E24">
        <w:rPr>
          <w:lang w:val="es"/>
        </w:rPr>
        <w:t>nformes con propuestas sobre el programa y la organización del trabajo del</w:t>
      </w:r>
      <w:r w:rsidR="00C55282">
        <w:rPr>
          <w:lang w:val="es"/>
        </w:rPr>
        <w:t> </w:t>
      </w:r>
      <w:r w:rsidR="00304E24" w:rsidRPr="00304E24">
        <w:rPr>
          <w:lang w:val="es"/>
        </w:rPr>
        <w:t>UIT</w:t>
      </w:r>
      <w:r w:rsidR="00304E24" w:rsidRPr="00304E24">
        <w:rPr>
          <w:lang w:val="es"/>
        </w:rPr>
        <w:noBreakHyphen/>
        <w:t>T, de conformidad con las estrategias y prioridades del Sector. Se encargará concretamente de:</w:t>
      </w:r>
    </w:p>
    <w:p w14:paraId="5F4812E2" w14:textId="3225C8A3" w:rsidR="00304E24" w:rsidRPr="00304E24" w:rsidRDefault="00304E24" w:rsidP="00D96346">
      <w:pPr>
        <w:pStyle w:val="enumlev2"/>
      </w:pPr>
      <w:r w:rsidRPr="00304E24">
        <w:rPr>
          <w:lang w:val="es"/>
        </w:rPr>
        <w:t>i)</w:t>
      </w:r>
      <w:r w:rsidRPr="00304E24">
        <w:rPr>
          <w:lang w:val="es"/>
        </w:rPr>
        <w:tab/>
        <w:t xml:space="preserve">proponer </w:t>
      </w:r>
      <w:r w:rsidR="004E3A1A">
        <w:rPr>
          <w:lang w:val="es"/>
        </w:rPr>
        <w:t>la continuación, la creación o la terminación de</w:t>
      </w:r>
      <w:r w:rsidRPr="00304E24">
        <w:rPr>
          <w:lang w:val="es"/>
        </w:rPr>
        <w:t xml:space="preserve"> Comisiones de Estudio;</w:t>
      </w:r>
    </w:p>
    <w:p w14:paraId="6B0951E6" w14:textId="2B743DC5" w:rsidR="00304E24" w:rsidRPr="00304E24" w:rsidRDefault="00304E24" w:rsidP="00D96346">
      <w:pPr>
        <w:pStyle w:val="enumlev2"/>
      </w:pPr>
      <w:r w:rsidRPr="00304E24">
        <w:rPr>
          <w:lang w:val="es"/>
        </w:rPr>
        <w:t>ii)</w:t>
      </w:r>
      <w:r w:rsidRPr="00304E24">
        <w:rPr>
          <w:lang w:val="es"/>
        </w:rPr>
        <w:tab/>
        <w:t xml:space="preserve">examinar </w:t>
      </w:r>
      <w:r w:rsidR="004E3A1A">
        <w:rPr>
          <w:lang w:val="es"/>
        </w:rPr>
        <w:t xml:space="preserve">la estructura general de las Comisiones de Estudio y </w:t>
      </w:r>
      <w:r w:rsidRPr="00304E24">
        <w:rPr>
          <w:lang w:val="es"/>
        </w:rPr>
        <w:t>las Cuestiones cuyo estudio se inicia o continúa;</w:t>
      </w:r>
    </w:p>
    <w:p w14:paraId="5F97D0AD" w14:textId="77777777" w:rsidR="00304E24" w:rsidRPr="00304E24" w:rsidRDefault="00304E24" w:rsidP="00D96346">
      <w:pPr>
        <w:pStyle w:val="enumlev2"/>
      </w:pPr>
      <w:r w:rsidRPr="00304E24">
        <w:rPr>
          <w:lang w:val="es"/>
        </w:rPr>
        <w:t>iii)</w:t>
      </w:r>
      <w:r w:rsidRPr="00304E24">
        <w:rPr>
          <w:lang w:val="es"/>
        </w:rPr>
        <w:tab/>
        <w:t>elaborar una descripción clara de los ámbitos de responsabilidad generales dentro de los cuales las Comisiones de Estudio podrán mantener las Recomendaciones existentes y preparar nuevas Recomendaciones, en colaboración con otros grupos o Comisiones, si procede;</w:t>
      </w:r>
    </w:p>
    <w:p w14:paraId="5E2D5AE2" w14:textId="7880BB90" w:rsidR="00304E24" w:rsidRPr="00304E24" w:rsidRDefault="00304E24" w:rsidP="00D96346">
      <w:pPr>
        <w:pStyle w:val="enumlev2"/>
      </w:pPr>
      <w:r w:rsidRPr="00304E24">
        <w:rPr>
          <w:lang w:val="es"/>
        </w:rPr>
        <w:t>iv)</w:t>
      </w:r>
      <w:r w:rsidRPr="00304E24">
        <w:rPr>
          <w:lang w:val="es"/>
        </w:rPr>
        <w:tab/>
      </w:r>
      <w:r w:rsidR="004E3A1A">
        <w:rPr>
          <w:lang w:val="es"/>
        </w:rPr>
        <w:t xml:space="preserve">proponer la asignación de </w:t>
      </w:r>
      <w:r w:rsidRPr="00304E24">
        <w:rPr>
          <w:lang w:val="es"/>
        </w:rPr>
        <w:t>Cuestiones a las Comisiones de Estudio, según proceda;</w:t>
      </w:r>
    </w:p>
    <w:p w14:paraId="0D04685F" w14:textId="13A31DA0" w:rsidR="00304E24" w:rsidRPr="00304E24" w:rsidRDefault="00304E24" w:rsidP="00D96346">
      <w:pPr>
        <w:pStyle w:val="enumlev2"/>
      </w:pPr>
      <w:r w:rsidRPr="00304E24">
        <w:rPr>
          <w:lang w:val="es"/>
        </w:rPr>
        <w:t>v)</w:t>
      </w:r>
      <w:r w:rsidRPr="00304E24">
        <w:rPr>
          <w:lang w:val="es"/>
        </w:rPr>
        <w:tab/>
      </w:r>
      <w:r w:rsidR="004E3A1A">
        <w:rPr>
          <w:lang w:val="es"/>
        </w:rPr>
        <w:t>recomendar</w:t>
      </w:r>
      <w:r w:rsidRPr="00304E24">
        <w:rPr>
          <w:lang w:val="es"/>
        </w:rPr>
        <w:t>, cuando una Cuestión o un grupo de Cuestiones estrechamente relacionadas concierna a varias Comisiones de Estudio, si:</w:t>
      </w:r>
    </w:p>
    <w:p w14:paraId="7D24B6EF" w14:textId="13ACB20E" w:rsidR="00304E24" w:rsidRPr="00304E24" w:rsidRDefault="00304E24" w:rsidP="00D96346">
      <w:pPr>
        <w:pStyle w:val="enumlev3"/>
      </w:pPr>
      <w:r w:rsidRPr="00304E24">
        <w:rPr>
          <w:lang w:val="es"/>
        </w:rPr>
        <w:sym w:font="Symbol" w:char="F02D"/>
      </w:r>
      <w:r w:rsidRPr="00304E24">
        <w:rPr>
          <w:lang w:val="es"/>
        </w:rPr>
        <w:tab/>
        <w:t xml:space="preserve">acepta </w:t>
      </w:r>
      <w:r w:rsidR="004E3A1A">
        <w:rPr>
          <w:lang w:val="es"/>
        </w:rPr>
        <w:t xml:space="preserve">las propuestas de los Estados Miembros o </w:t>
      </w:r>
      <w:r w:rsidRPr="00304E24">
        <w:rPr>
          <w:lang w:val="es"/>
        </w:rPr>
        <w:t>la recomendación del GANT</w:t>
      </w:r>
      <w:r w:rsidR="004E3A1A">
        <w:rPr>
          <w:lang w:val="es"/>
        </w:rPr>
        <w:t xml:space="preserve"> (en caso de divergencias)</w:t>
      </w:r>
      <w:r w:rsidRPr="00304E24">
        <w:rPr>
          <w:lang w:val="es"/>
        </w:rPr>
        <w:t>;</w:t>
      </w:r>
    </w:p>
    <w:p w14:paraId="048AF866" w14:textId="77777777" w:rsidR="00304E24" w:rsidRPr="00304E24" w:rsidRDefault="00304E24" w:rsidP="00D96346">
      <w:pPr>
        <w:pStyle w:val="enumlev3"/>
      </w:pPr>
      <w:r w:rsidRPr="00304E24">
        <w:rPr>
          <w:lang w:val="es"/>
        </w:rPr>
        <w:sym w:font="Symbol" w:char="F02D"/>
      </w:r>
      <w:r w:rsidRPr="00304E24">
        <w:rPr>
          <w:lang w:val="es"/>
        </w:rPr>
        <w:tab/>
        <w:t>encomienda el estudio a una sola Comisión de Estudio; o</w:t>
      </w:r>
    </w:p>
    <w:p w14:paraId="6268010C" w14:textId="77777777" w:rsidR="00304E24" w:rsidRPr="00304E24" w:rsidRDefault="00304E24" w:rsidP="00D96346">
      <w:pPr>
        <w:pStyle w:val="enumlev3"/>
      </w:pPr>
      <w:r w:rsidRPr="00304E24">
        <w:rPr>
          <w:lang w:val="es"/>
        </w:rPr>
        <w:sym w:font="Symbol" w:char="F02D"/>
      </w:r>
      <w:r w:rsidRPr="00304E24">
        <w:rPr>
          <w:lang w:val="es"/>
        </w:rPr>
        <w:tab/>
        <w:t>adopta disposiciones alternativas;</w:t>
      </w:r>
    </w:p>
    <w:p w14:paraId="4AFD18B4" w14:textId="77777777" w:rsidR="00304E24" w:rsidRPr="00304E24" w:rsidRDefault="00304E24" w:rsidP="00D96346">
      <w:pPr>
        <w:pStyle w:val="enumlev2"/>
      </w:pPr>
      <w:r w:rsidRPr="00304E24">
        <w:rPr>
          <w:lang w:val="es"/>
        </w:rPr>
        <w:t>vi)</w:t>
      </w:r>
      <w:r w:rsidRPr="00304E24">
        <w:rPr>
          <w:lang w:val="es"/>
        </w:rPr>
        <w:tab/>
        <w:t xml:space="preserve">revisar y, en su caso, modificar las listas de Recomendaciones </w:t>
      </w:r>
      <w:r w:rsidRPr="00304E24">
        <w:rPr>
          <w:lang w:val="es"/>
        </w:rPr>
        <w:fldChar w:fldCharType="begin"/>
      </w:r>
      <w:r w:rsidRPr="00304E24">
        <w:rPr>
          <w:lang w:val="es"/>
        </w:rPr>
        <w:instrText xml:space="preserve">  </w:instrText>
      </w:r>
      <w:r w:rsidRPr="00304E24">
        <w:rPr>
          <w:lang w:val="es-ES"/>
        </w:rPr>
        <w:fldChar w:fldCharType="end"/>
      </w:r>
      <w:r w:rsidRPr="00304E24">
        <w:rPr>
          <w:lang w:val="es"/>
        </w:rPr>
        <w:t>asignadas a cada Comisión de Estudio;</w:t>
      </w:r>
    </w:p>
    <w:p w14:paraId="6AA98815" w14:textId="7F2E6B63" w:rsidR="00304E24" w:rsidRPr="00304E24" w:rsidRDefault="00304E24" w:rsidP="00D96346">
      <w:pPr>
        <w:pStyle w:val="enumlev2"/>
      </w:pPr>
      <w:r w:rsidRPr="00304E24">
        <w:rPr>
          <w:lang w:val="es"/>
        </w:rPr>
        <w:t>vii)</w:t>
      </w:r>
      <w:r w:rsidRPr="00304E24">
        <w:rPr>
          <w:lang w:val="es"/>
        </w:rPr>
        <w:tab/>
        <w:t>proponer</w:t>
      </w:r>
      <w:r w:rsidR="004E3A1A">
        <w:rPr>
          <w:lang w:val="es"/>
        </w:rPr>
        <w:t xml:space="preserve"> la continuación, </w:t>
      </w:r>
      <w:r w:rsidRPr="00304E24">
        <w:rPr>
          <w:lang w:val="es"/>
        </w:rPr>
        <w:t xml:space="preserve">la creación </w:t>
      </w:r>
      <w:r w:rsidR="004E3A1A">
        <w:rPr>
          <w:lang w:val="es"/>
        </w:rPr>
        <w:t xml:space="preserve">o la terminación </w:t>
      </w:r>
      <w:r w:rsidRPr="00304E24">
        <w:rPr>
          <w:lang w:val="es"/>
        </w:rPr>
        <w:t>de otros grupos, de conformidad con los números 191A y 191B del Convenio.</w:t>
      </w:r>
    </w:p>
    <w:p w14:paraId="04D66D8B" w14:textId="6FA09EE8" w:rsidR="00304E24" w:rsidRPr="00304E24" w:rsidRDefault="00D80CC0" w:rsidP="00304E24">
      <w:pPr>
        <w:rPr>
          <w:bCs/>
        </w:rPr>
      </w:pPr>
      <w:r w:rsidRPr="00024EA2">
        <w:rPr>
          <w:b/>
          <w:bCs/>
          <w:lang w:val="es"/>
        </w:rPr>
        <w:t>2</w:t>
      </w:r>
      <w:r w:rsidR="00304E24" w:rsidRPr="00024EA2">
        <w:rPr>
          <w:b/>
          <w:bCs/>
          <w:lang w:val="es"/>
        </w:rPr>
        <w:t>.6</w:t>
      </w:r>
      <w:r w:rsidR="00304E24" w:rsidRPr="00304E24">
        <w:rPr>
          <w:lang w:val="es"/>
        </w:rPr>
        <w:tab/>
        <w:t xml:space="preserve">Los Presidentes de las Comisiones de Estudio, el Presidente del GANT y los Presidentes de otros Grupos establecidos por </w:t>
      </w:r>
      <w:r w:rsidR="001A3D7B">
        <w:rPr>
          <w:lang w:val="es"/>
        </w:rPr>
        <w:t>la</w:t>
      </w:r>
      <w:r w:rsidR="00304E24" w:rsidRPr="00304E24">
        <w:rPr>
          <w:lang w:val="es"/>
        </w:rPr>
        <w:t xml:space="preserve"> </w:t>
      </w:r>
      <w:r w:rsidR="001A3D7B">
        <w:rPr>
          <w:lang w:val="es"/>
        </w:rPr>
        <w:t xml:space="preserve">anterior </w:t>
      </w:r>
      <w:r w:rsidR="00304E24" w:rsidRPr="00304E24">
        <w:rPr>
          <w:lang w:val="es"/>
        </w:rPr>
        <w:t xml:space="preserve">AMNT deberán estar disponibles para participar en la Comisión del Programa de </w:t>
      </w:r>
      <w:r w:rsidR="00170A0A">
        <w:rPr>
          <w:lang w:val="es"/>
        </w:rPr>
        <w:t>t</w:t>
      </w:r>
      <w:r w:rsidR="00304E24" w:rsidRPr="00304E24">
        <w:rPr>
          <w:lang w:val="es"/>
        </w:rPr>
        <w:t xml:space="preserve">rabajo y </w:t>
      </w:r>
      <w:r w:rsidR="00170A0A">
        <w:rPr>
          <w:lang w:val="es"/>
        </w:rPr>
        <w:t>o</w:t>
      </w:r>
      <w:r w:rsidR="00304E24" w:rsidRPr="00304E24">
        <w:rPr>
          <w:lang w:val="es"/>
        </w:rPr>
        <w:t>rganización.</w:t>
      </w:r>
    </w:p>
    <w:p w14:paraId="31350DCB" w14:textId="63607C83" w:rsidR="00304E24" w:rsidRPr="00304E24" w:rsidRDefault="00EF4BE0" w:rsidP="00304E24">
      <w:pPr>
        <w:rPr>
          <w:bCs/>
        </w:rPr>
      </w:pPr>
      <w:r>
        <w:rPr>
          <w:b/>
          <w:bCs/>
          <w:lang w:val="es"/>
        </w:rPr>
        <w:t>2</w:t>
      </w:r>
      <w:r w:rsidR="00304E24" w:rsidRPr="00304E24">
        <w:rPr>
          <w:b/>
          <w:bCs/>
          <w:lang w:val="es"/>
        </w:rPr>
        <w:t>.7</w:t>
      </w:r>
      <w:r w:rsidR="00304E24" w:rsidRPr="00304E24">
        <w:rPr>
          <w:lang w:val="es"/>
        </w:rPr>
        <w:tab/>
        <w:t>La Sesión Plenaria de la AMNT podrá establecer otras Comisiones con arreglo al número 63 del Reglamento General.</w:t>
      </w:r>
    </w:p>
    <w:p w14:paraId="5B5EE33C" w14:textId="07959A3D" w:rsidR="00304E24" w:rsidRDefault="00EF4BE0" w:rsidP="00304E24">
      <w:pPr>
        <w:rPr>
          <w:lang w:val="es"/>
        </w:rPr>
      </w:pPr>
      <w:r w:rsidRPr="00024EA2">
        <w:rPr>
          <w:b/>
          <w:bCs/>
          <w:lang w:val="es"/>
        </w:rPr>
        <w:t>2</w:t>
      </w:r>
      <w:r w:rsidR="00304E24" w:rsidRPr="00024EA2">
        <w:rPr>
          <w:b/>
          <w:bCs/>
          <w:lang w:val="es"/>
        </w:rPr>
        <w:t>.8</w:t>
      </w:r>
      <w:r w:rsidR="00304E24" w:rsidRPr="00304E24">
        <w:rPr>
          <w:lang w:val="es"/>
        </w:rPr>
        <w:tab/>
        <w:t xml:space="preserve">Todos los Grupos y Comisiones a los que se hace referencia en los § 1.2 a 1.7 </w:t>
      </w:r>
      <w:r w:rsidR="00304E24" w:rsidRPr="00304E24">
        <w:rPr>
          <w:i/>
          <w:iCs/>
          <w:lang w:val="es"/>
        </w:rPr>
        <w:t>supra</w:t>
      </w:r>
      <w:r w:rsidR="00304E24" w:rsidRPr="00304E24">
        <w:rPr>
          <w:lang w:val="es"/>
        </w:rPr>
        <w:t xml:space="preserve"> cesarán normalmente sus actividades cuando se clausure la AMNT excepto, cuando sea necesario y así lo apruebe la Asamblea, y dentro de los límites presupuestarios, la Comisión de Redacción. La Comisión de Redacción podrá celebrar reuniones tras la clausura de la Asamblea para terminar las tareas que ésta le ha asignado.</w:t>
      </w:r>
    </w:p>
    <w:p w14:paraId="344DE342" w14:textId="7512D54B" w:rsidR="00EF4BE0" w:rsidRDefault="00EF4BE0" w:rsidP="00EF4BE0">
      <w:r w:rsidRPr="003215DC">
        <w:rPr>
          <w:b/>
          <w:bCs/>
        </w:rPr>
        <w:t>2.9</w:t>
      </w:r>
      <w:r>
        <w:tab/>
      </w:r>
      <w:r w:rsidRPr="00EF4BE0">
        <w:t xml:space="preserve">Antes de la reunión inaugural de la AMNT, en cumplimiento del número 49 del Reglamento General, los </w:t>
      </w:r>
      <w:r w:rsidR="005F25CE" w:rsidRPr="00EF4BE0">
        <w:t>j</w:t>
      </w:r>
      <w:r w:rsidRPr="00EF4BE0">
        <w:t xml:space="preserve">efes de </w:t>
      </w:r>
      <w:r w:rsidR="005F25CE" w:rsidRPr="00EF4BE0">
        <w:t>d</w:t>
      </w:r>
      <w:r w:rsidRPr="00EF4BE0">
        <w:t>elegación se reunirán para preparar el orden del día de la primera Sesión Plenaria y formular propuestas sobre la organización de la Asamblea, incluidas las relativas a la designación de los Presidentes y Vicepresidentes de la AMNT y de sus Comisiones y grupos.</w:t>
      </w:r>
    </w:p>
    <w:p w14:paraId="066B5F67" w14:textId="1F43A6BA" w:rsidR="00EF4BE0" w:rsidRDefault="00EF4BE0" w:rsidP="00EF4BE0">
      <w:r w:rsidRPr="00EF4BE0">
        <w:rPr>
          <w:b/>
          <w:bCs/>
        </w:rPr>
        <w:t>2.10</w:t>
      </w:r>
      <w:r>
        <w:tab/>
      </w:r>
      <w:r w:rsidRPr="00EF4BE0">
        <w:t xml:space="preserve">Durante la AMNT, los </w:t>
      </w:r>
      <w:r w:rsidR="005F25CE" w:rsidRPr="00EF4BE0">
        <w:t>j</w:t>
      </w:r>
      <w:r w:rsidRPr="00EF4BE0">
        <w:t xml:space="preserve">efes de </w:t>
      </w:r>
      <w:r w:rsidR="005F25CE" w:rsidRPr="00EF4BE0">
        <w:t>d</w:t>
      </w:r>
      <w:r w:rsidRPr="00EF4BE0">
        <w:t>elegación se reunirán para:</w:t>
      </w:r>
    </w:p>
    <w:p w14:paraId="55304B36" w14:textId="3BA98A8D" w:rsidR="00EF4BE0" w:rsidRDefault="00EF4BE0" w:rsidP="00EF4BE0">
      <w:pPr>
        <w:pStyle w:val="enumlev1"/>
      </w:pPr>
      <w:r w:rsidRPr="00EF4BE0">
        <w:t>a)</w:t>
      </w:r>
      <w:r>
        <w:tab/>
      </w:r>
      <w:r w:rsidRPr="00EF4BE0">
        <w:t xml:space="preserve">considerar las propuestas de la Comisión del Programa de </w:t>
      </w:r>
      <w:r w:rsidR="00170A0A">
        <w:t>t</w:t>
      </w:r>
      <w:r w:rsidRPr="00EF4BE0">
        <w:t xml:space="preserve">rabajo y </w:t>
      </w:r>
      <w:r w:rsidR="00170A0A">
        <w:t>o</w:t>
      </w:r>
      <w:r w:rsidRPr="00EF4BE0">
        <w:t>rganización del</w:t>
      </w:r>
      <w:r w:rsidR="003215DC">
        <w:t> </w:t>
      </w:r>
      <w:r w:rsidRPr="00EF4BE0">
        <w:t>UIT</w:t>
      </w:r>
      <w:r>
        <w:noBreakHyphen/>
      </w:r>
      <w:r w:rsidRPr="00EF4BE0">
        <w:t>T, sobre todo en lo que concierne al programa de trabajo y la constitución de Comisiones de Estudio;</w:t>
      </w:r>
    </w:p>
    <w:p w14:paraId="5384FE33" w14:textId="563E75F2" w:rsidR="00EF4BE0" w:rsidRDefault="00EF4BE0" w:rsidP="00EF4BE0">
      <w:pPr>
        <w:pStyle w:val="enumlev1"/>
      </w:pPr>
      <w:r w:rsidRPr="00EF4BE0">
        <w:t>b)</w:t>
      </w:r>
      <w:r>
        <w:tab/>
      </w:r>
      <w:r w:rsidRPr="00EF4BE0">
        <w:t>formular propuestas relativas a la designación de los Presidentes y Vicepresidentes de las Comisiones de Estudio, del GANT, y de cualquier otro grupo que pueda establecer la</w:t>
      </w:r>
      <w:r w:rsidR="003215DC">
        <w:t> </w:t>
      </w:r>
      <w:r w:rsidRPr="00EF4BE0">
        <w:t>AMNT (</w:t>
      </w:r>
      <w:r w:rsidR="003215DC">
        <w:t>v</w:t>
      </w:r>
      <w:r w:rsidRPr="00EF4BE0">
        <w:t>éase la Sección 2).</w:t>
      </w:r>
    </w:p>
    <w:p w14:paraId="70C2C1EE" w14:textId="7CD52DEF" w:rsidR="00EF4BE0" w:rsidRDefault="00EF4BE0" w:rsidP="00EF4BE0">
      <w:r w:rsidRPr="00CB1183">
        <w:rPr>
          <w:b/>
          <w:bCs/>
        </w:rPr>
        <w:lastRenderedPageBreak/>
        <w:t>2.11</w:t>
      </w:r>
      <w:r>
        <w:tab/>
      </w:r>
      <w:r w:rsidRPr="00EF4BE0">
        <w:t>El programa de trabajo de la AMNT se concebirá de modo que se pueda dedicar el tiempo necesario al examen de los aspectos importantes de tipo administrativo y de organización del</w:t>
      </w:r>
      <w:r w:rsidR="00CB1183">
        <w:t> </w:t>
      </w:r>
      <w:r w:rsidRPr="00EF4BE0">
        <w:t>UIT</w:t>
      </w:r>
      <w:r>
        <w:noBreakHyphen/>
      </w:r>
      <w:r w:rsidRPr="00EF4BE0">
        <w:t>T. Como norma general:</w:t>
      </w:r>
    </w:p>
    <w:p w14:paraId="63893A65" w14:textId="79872EDD" w:rsidR="00EF4BE0" w:rsidRDefault="00EF4BE0" w:rsidP="00EF4BE0">
      <w:r w:rsidRPr="001B3770">
        <w:rPr>
          <w:b/>
          <w:bCs/>
        </w:rPr>
        <w:t>2.11.1</w:t>
      </w:r>
      <w:r>
        <w:tab/>
      </w:r>
      <w:r w:rsidRPr="00EF4BE0">
        <w:t xml:space="preserve">La AMNT examinará los Informes del Director de la Oficina de Normalización de las Telecomunicaciones (TSB) y, en cumplimiento del número 187 del Convenio, de las Comisiones de Estudio y el GANT, las actividades llevadas a cabo en el periodo de estudios anterior, incluido un </w:t>
      </w:r>
      <w:r w:rsidR="00127D58">
        <w:t>i</w:t>
      </w:r>
      <w:r w:rsidRPr="00EF4BE0">
        <w:t>nforme del GANT sobre el cumplimiento de las funciones específicas que le haya asignado la</w:t>
      </w:r>
      <w:r w:rsidR="00CB1183">
        <w:t> </w:t>
      </w:r>
      <w:r w:rsidRPr="00EF4BE0">
        <w:t>AMNT anterior. Durante las sesiones de la AMNT, los Presidentes de las Comisiones de Estudio estarán a disposición de la AMNT para informar acerca de los temas que conciernen a sus respectivas Comisiones de Estudio.</w:t>
      </w:r>
    </w:p>
    <w:p w14:paraId="198324F1" w14:textId="7C651E7D" w:rsidR="00EF4BE0" w:rsidRDefault="00EF4BE0" w:rsidP="00EF4BE0">
      <w:r w:rsidRPr="001B3770">
        <w:rPr>
          <w:b/>
          <w:bCs/>
        </w:rPr>
        <w:t>2.11.2</w:t>
      </w:r>
      <w:r>
        <w:tab/>
      </w:r>
      <w:r w:rsidRPr="00EF4BE0">
        <w:t xml:space="preserve">En los casos señalados en la Sección 9, se podrá pedir a una AMNT que considere la aprobación de una o varias Recomendaciones. En el </w:t>
      </w:r>
      <w:r w:rsidR="001B3770">
        <w:t>i</w:t>
      </w:r>
      <w:r w:rsidRPr="00EF4BE0">
        <w:t>nforme de cualquier Comisión de Estudio o del GANT que proponga dicha acción se informará acerca de los motivos de la acción propuesta.</w:t>
      </w:r>
    </w:p>
    <w:p w14:paraId="7BD859FA" w14:textId="273DAB7A" w:rsidR="00EF4BE0" w:rsidRDefault="00EF4BE0" w:rsidP="00EF4BE0">
      <w:r w:rsidRPr="00127D58">
        <w:rPr>
          <w:b/>
          <w:bCs/>
        </w:rPr>
        <w:t>2.11.3</w:t>
      </w:r>
      <w:r>
        <w:tab/>
      </w:r>
      <w:r w:rsidRPr="00EF4BE0">
        <w:t xml:space="preserve">La AMNT recibirá y examinará los </w:t>
      </w:r>
      <w:r w:rsidR="00002CFF">
        <w:t>i</w:t>
      </w:r>
      <w:r w:rsidRPr="00EF4BE0">
        <w:t xml:space="preserve">nformes que contengan propuestas de las Comisiones que haya establecido y adoptará decisiones definitivas sobre las propuestas y los </w:t>
      </w:r>
      <w:r w:rsidR="00127D58">
        <w:t>i</w:t>
      </w:r>
      <w:r w:rsidRPr="00EF4BE0">
        <w:t xml:space="preserve">nformes que le hayan sometido esos Grupos y Comisiones. Sobre la base de las propuestas de la Comisión del Programa de </w:t>
      </w:r>
      <w:r w:rsidR="00170A0A">
        <w:t>t</w:t>
      </w:r>
      <w:r w:rsidRPr="00EF4BE0">
        <w:t xml:space="preserve">rabajo y </w:t>
      </w:r>
      <w:r w:rsidR="00170A0A">
        <w:t>o</w:t>
      </w:r>
      <w:r w:rsidRPr="00EF4BE0">
        <w:t>rganización del UIT-T, establecerá Comisiones de Estudio y, cuando proceda, otros grupos, y teniendo en cuenta la opinión de los jefes de delegación, nombrará a los Presidentes y Vicepresidentes de las Comisiones de Estudio, del GANT y de cualesquiera otros Grupos que haya establecido, teniendo presente el Artículo</w:t>
      </w:r>
      <w:r w:rsidR="001B3770">
        <w:t> </w:t>
      </w:r>
      <w:r w:rsidRPr="00EF4BE0">
        <w:t>20 del Convenio y la Sección</w:t>
      </w:r>
      <w:r w:rsidR="001B3770">
        <w:t> </w:t>
      </w:r>
      <w:r w:rsidRPr="00EF4BE0">
        <w:t>3 siguiente.</w:t>
      </w:r>
    </w:p>
    <w:p w14:paraId="5D39F518" w14:textId="7751F563" w:rsidR="00EF4BE0" w:rsidRPr="00304E24" w:rsidRDefault="00EF4BE0" w:rsidP="00EF4BE0">
      <w:pPr>
        <w:rPr>
          <w:lang w:val="es"/>
        </w:rPr>
      </w:pPr>
      <w:r w:rsidRPr="00EF4BE0">
        <w:rPr>
          <w:b/>
          <w:bCs/>
        </w:rPr>
        <w:t>2.12</w:t>
      </w:r>
      <w:r>
        <w:tab/>
      </w:r>
      <w:r w:rsidRPr="00EF4BE0">
        <w:t>De conformidad con el número 191C del Convenio, la AMNT podrá asignar asuntos específicos dentro de su competencia al GANT, indicando las medidas requeridas en relación con dichos asuntos.</w:t>
      </w:r>
    </w:p>
    <w:p w14:paraId="3A78E4D5" w14:textId="79E51DB2" w:rsidR="00EF4BE0" w:rsidRDefault="00EF4BE0">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48A93CBC" w14:textId="77777777" w:rsidR="00EF4BE0" w:rsidRPr="00586272" w:rsidRDefault="00EF4BE0" w:rsidP="00EF4BE0">
      <w:pPr>
        <w:pStyle w:val="LetterStart"/>
        <w:pageBreakBefore/>
        <w:tabs>
          <w:tab w:val="clear" w:pos="1361"/>
          <w:tab w:val="clear" w:pos="1758"/>
          <w:tab w:val="clear" w:pos="2155"/>
          <w:tab w:val="clear" w:pos="2552"/>
          <w:tab w:val="center" w:pos="4962"/>
        </w:tabs>
        <w:spacing w:before="120" w:after="240" w:line="240" w:lineRule="atLeast"/>
        <w:ind w:left="0"/>
        <w:jc w:val="center"/>
        <w:rPr>
          <w:lang w:val="en-US"/>
        </w:rPr>
      </w:pPr>
      <w:r w:rsidRPr="00586272">
        <w:rPr>
          <w:lang w:val="en-US"/>
        </w:rPr>
        <w:lastRenderedPageBreak/>
        <w:t>ANNEX 3</w:t>
      </w:r>
      <w:r w:rsidRPr="00586272">
        <w:rPr>
          <w:lang w:val="en-US"/>
        </w:rPr>
        <w:br/>
        <w:t>(To TSB Circular 203)</w:t>
      </w:r>
    </w:p>
    <w:p w14:paraId="1F8BDA01" w14:textId="219430B3" w:rsidR="00EF4BE0" w:rsidRPr="00586272" w:rsidRDefault="00EF4BE0" w:rsidP="00EF4BE0">
      <w:pPr>
        <w:pStyle w:val="LetterStart"/>
        <w:tabs>
          <w:tab w:val="clear" w:pos="1361"/>
          <w:tab w:val="clear" w:pos="1758"/>
          <w:tab w:val="clear" w:pos="2155"/>
          <w:tab w:val="clear" w:pos="2552"/>
          <w:tab w:val="center" w:pos="4962"/>
        </w:tabs>
        <w:spacing w:before="0"/>
        <w:ind w:left="0"/>
        <w:jc w:val="center"/>
        <w:rPr>
          <w:lang w:val="en-US"/>
        </w:rPr>
      </w:pP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gridCol w:w="290"/>
      </w:tblGrid>
      <w:tr w:rsidR="00EF4BE0" w:rsidRPr="00586272" w14:paraId="06BECFE1" w14:textId="77777777" w:rsidTr="0092453B">
        <w:tc>
          <w:tcPr>
            <w:tcW w:w="9643" w:type="dxa"/>
            <w:gridSpan w:val="2"/>
            <w:vAlign w:val="center"/>
          </w:tcPr>
          <w:p w14:paraId="53372CCE" w14:textId="77777777" w:rsidR="00EF4BE0" w:rsidRPr="00586272" w:rsidRDefault="00EF4BE0" w:rsidP="0092453B">
            <w:pPr>
              <w:spacing w:before="0"/>
              <w:jc w:val="center"/>
              <w:rPr>
                <w:i/>
                <w:iCs/>
                <w:smallCaps/>
                <w:sz w:val="18"/>
                <w:szCs w:val="18"/>
                <w:lang w:val="en-US"/>
              </w:rPr>
            </w:pPr>
            <w:r w:rsidRPr="00586272">
              <w:rPr>
                <w:b/>
                <w:bCs/>
                <w:smallCaps/>
                <w:sz w:val="32"/>
                <w:szCs w:val="32"/>
                <w:lang w:val="en-US"/>
              </w:rPr>
              <w:t>Application for a fellowship</w:t>
            </w:r>
          </w:p>
        </w:tc>
      </w:tr>
      <w:tr w:rsidR="00EF4BE0" w:rsidRPr="00586272" w14:paraId="78DF4803" w14:textId="77777777" w:rsidTr="00924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643" w:type="dxa"/>
            <w:gridSpan w:val="2"/>
            <w:tcBorders>
              <w:top w:val="nil"/>
              <w:left w:val="nil"/>
              <w:bottom w:val="nil"/>
              <w:right w:val="nil"/>
            </w:tcBorders>
          </w:tcPr>
          <w:p w14:paraId="61399393" w14:textId="77777777" w:rsidR="00EF4BE0" w:rsidRPr="00586272" w:rsidRDefault="00EF4BE0" w:rsidP="0092453B">
            <w:pPr>
              <w:spacing w:before="0"/>
              <w:jc w:val="center"/>
              <w:rPr>
                <w:szCs w:val="22"/>
                <w:lang w:val="en-US"/>
              </w:rPr>
            </w:pPr>
            <w:r w:rsidRPr="00586272">
              <w:rPr>
                <w:i/>
                <w:iCs/>
                <w:szCs w:val="24"/>
                <w:lang w:val="en-US"/>
              </w:rPr>
              <w:t>Participation of women is encouraged</w:t>
            </w:r>
          </w:p>
        </w:tc>
      </w:tr>
      <w:tr w:rsidR="00EF4BE0" w:rsidRPr="00586272" w14:paraId="0C320414" w14:textId="77777777" w:rsidTr="0092453B">
        <w:trPr>
          <w:gridAfter w:val="1"/>
          <w:wAfter w:w="302" w:type="dxa"/>
        </w:trPr>
        <w:tc>
          <w:tcPr>
            <w:tcW w:w="9643" w:type="dxa"/>
          </w:tcPr>
          <w:p w14:paraId="28DAA496" w14:textId="77777777" w:rsidR="00EF4BE0" w:rsidRPr="00586272" w:rsidRDefault="00EF4BE0" w:rsidP="0092453B">
            <w:pPr>
              <w:spacing w:before="0"/>
              <w:jc w:val="center"/>
              <w:rPr>
                <w:rFonts w:cs="Segoe UI"/>
                <w:b/>
                <w:bCs/>
                <w:color w:val="000000"/>
                <w:szCs w:val="24"/>
                <w:lang w:val="en-US"/>
              </w:rPr>
            </w:pPr>
            <w:r w:rsidRPr="00586272">
              <w:rPr>
                <w:rFonts w:cs="Segoe UI"/>
                <w:b/>
                <w:bCs/>
                <w:color w:val="000000"/>
                <w:szCs w:val="24"/>
                <w:lang w:val="en-US"/>
              </w:rPr>
              <w:t>Global Standards Symposium &amp; World Telecommunication Standardization Assembly</w:t>
            </w:r>
          </w:p>
          <w:p w14:paraId="66E8CDF4" w14:textId="77777777" w:rsidR="00EF4BE0" w:rsidRPr="00586272" w:rsidRDefault="00EF4BE0" w:rsidP="0092453B">
            <w:pPr>
              <w:spacing w:before="0"/>
              <w:jc w:val="center"/>
              <w:rPr>
                <w:szCs w:val="24"/>
                <w:lang w:val="en-US"/>
              </w:rPr>
            </w:pPr>
            <w:r w:rsidRPr="00586272">
              <w:rPr>
                <w:rFonts w:cs="Segoe UI"/>
                <w:b/>
                <w:bCs/>
                <w:color w:val="000000"/>
                <w:szCs w:val="24"/>
                <w:lang w:val="en-US"/>
              </w:rPr>
              <w:t>Geneva, Switzerland, 28 February and 1–9 March 2022</w:t>
            </w:r>
          </w:p>
        </w:tc>
      </w:tr>
    </w:tbl>
    <w:p w14:paraId="75D31F19" w14:textId="77777777" w:rsidR="00EF4BE0" w:rsidRPr="00586272" w:rsidRDefault="00EF4BE0" w:rsidP="00EF4BE0">
      <w:pPr>
        <w:spacing w:before="0"/>
        <w:rPr>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F4BE0" w:rsidRPr="00586272" w14:paraId="1FC378A2" w14:textId="77777777" w:rsidTr="0092453B">
        <w:tc>
          <w:tcPr>
            <w:tcW w:w="9643" w:type="dxa"/>
          </w:tcPr>
          <w:p w14:paraId="3F5CE5E3" w14:textId="77777777" w:rsidR="00EF4BE0" w:rsidRPr="00586272" w:rsidRDefault="00EF4BE0" w:rsidP="0092453B">
            <w:pPr>
              <w:spacing w:before="0"/>
              <w:jc w:val="center"/>
              <w:rPr>
                <w:sz w:val="22"/>
                <w:szCs w:val="22"/>
                <w:lang w:val="en-US"/>
              </w:rPr>
            </w:pPr>
            <w:r w:rsidRPr="00586272">
              <w:rPr>
                <w:sz w:val="22"/>
                <w:szCs w:val="22"/>
                <w:lang w:val="en-US"/>
              </w:rPr>
              <w:t>Deadline: 17 January 2022 (2359 hours, Geneva CH time)</w:t>
            </w:r>
          </w:p>
          <w:p w14:paraId="69EC0D34" w14:textId="77777777" w:rsidR="00EF4BE0" w:rsidRPr="00586272" w:rsidRDefault="00EF4BE0" w:rsidP="0092453B">
            <w:pPr>
              <w:spacing w:before="0"/>
              <w:jc w:val="center"/>
              <w:rPr>
                <w:szCs w:val="22"/>
                <w:lang w:val="en-US"/>
              </w:rPr>
            </w:pPr>
            <w:r w:rsidRPr="00586272">
              <w:rPr>
                <w:i/>
                <w:iCs/>
                <w:sz w:val="18"/>
                <w:szCs w:val="18"/>
                <w:lang w:val="en-US"/>
              </w:rPr>
              <w:t>Any application received after this date will not be considered.</w:t>
            </w:r>
          </w:p>
        </w:tc>
      </w:tr>
    </w:tbl>
    <w:p w14:paraId="28F7922E" w14:textId="77777777" w:rsidR="00EF4BE0" w:rsidRPr="00586272" w:rsidRDefault="00EF4BE0" w:rsidP="00EF4BE0">
      <w:pPr>
        <w:spacing w:before="0"/>
        <w:rPr>
          <w:szCs w:val="22"/>
          <w:lang w:val="en-US"/>
        </w:rPr>
      </w:pPr>
    </w:p>
    <w:tbl>
      <w:tblPr>
        <w:tblStyle w:val="TableGrid"/>
        <w:tblW w:w="0" w:type="auto"/>
        <w:tblBorders>
          <w:insideV w:val="none" w:sz="0" w:space="0" w:color="auto"/>
        </w:tblBorders>
        <w:tblLook w:val="04A0" w:firstRow="1" w:lastRow="0" w:firstColumn="1" w:lastColumn="0" w:noHBand="0" w:noVBand="1"/>
      </w:tblPr>
      <w:tblGrid>
        <w:gridCol w:w="3393"/>
        <w:gridCol w:w="6236"/>
      </w:tblGrid>
      <w:tr w:rsidR="00EF4BE0" w:rsidRPr="00586272" w14:paraId="11F816D7" w14:textId="77777777" w:rsidTr="0092453B">
        <w:tc>
          <w:tcPr>
            <w:tcW w:w="3397" w:type="dxa"/>
            <w:vAlign w:val="center"/>
          </w:tcPr>
          <w:p w14:paraId="3CAFB272" w14:textId="77777777" w:rsidR="00EF4BE0" w:rsidRPr="00586272" w:rsidRDefault="00EF4BE0" w:rsidP="0092453B">
            <w:pPr>
              <w:spacing w:before="0" w:line="360" w:lineRule="auto"/>
              <w:rPr>
                <w:i/>
                <w:iCs/>
                <w:sz w:val="20"/>
                <w:lang w:val="en-US"/>
              </w:rPr>
            </w:pPr>
            <w:r w:rsidRPr="00586272">
              <w:rPr>
                <w:sz w:val="20"/>
                <w:lang w:val="en-US"/>
              </w:rPr>
              <w:t>Country</w:t>
            </w:r>
          </w:p>
        </w:tc>
        <w:tc>
          <w:tcPr>
            <w:tcW w:w="6247" w:type="dxa"/>
            <w:vAlign w:val="center"/>
          </w:tcPr>
          <w:p w14:paraId="3B5DA10C" w14:textId="77777777" w:rsidR="00EF4BE0" w:rsidRPr="00586272" w:rsidRDefault="00EF4BE0" w:rsidP="0092453B">
            <w:pPr>
              <w:spacing w:before="0" w:line="360" w:lineRule="auto"/>
              <w:rPr>
                <w:sz w:val="20"/>
                <w:lang w:val="en-US"/>
              </w:rPr>
            </w:pPr>
          </w:p>
        </w:tc>
      </w:tr>
      <w:tr w:rsidR="00EF4BE0" w:rsidRPr="00586272" w14:paraId="525F1224" w14:textId="77777777" w:rsidTr="0092453B">
        <w:tc>
          <w:tcPr>
            <w:tcW w:w="3397" w:type="dxa"/>
            <w:vAlign w:val="center"/>
          </w:tcPr>
          <w:p w14:paraId="7590E289" w14:textId="77777777" w:rsidR="00EF4BE0" w:rsidRPr="00586272" w:rsidRDefault="00EF4BE0" w:rsidP="0092453B">
            <w:pPr>
              <w:spacing w:before="0" w:line="360" w:lineRule="auto"/>
              <w:rPr>
                <w:sz w:val="20"/>
                <w:lang w:val="en-US"/>
              </w:rPr>
            </w:pPr>
            <w:r w:rsidRPr="00586272">
              <w:rPr>
                <w:sz w:val="20"/>
                <w:lang w:val="en-US"/>
              </w:rPr>
              <w:t>Name of the Administration</w:t>
            </w:r>
          </w:p>
        </w:tc>
        <w:tc>
          <w:tcPr>
            <w:tcW w:w="6247" w:type="dxa"/>
            <w:vAlign w:val="center"/>
          </w:tcPr>
          <w:p w14:paraId="524F96F5" w14:textId="77777777" w:rsidR="00EF4BE0" w:rsidRPr="00586272" w:rsidRDefault="00EF4BE0" w:rsidP="0092453B">
            <w:pPr>
              <w:spacing w:before="0" w:line="360" w:lineRule="auto"/>
              <w:rPr>
                <w:sz w:val="20"/>
                <w:lang w:val="en-US"/>
              </w:rPr>
            </w:pPr>
          </w:p>
        </w:tc>
      </w:tr>
    </w:tbl>
    <w:p w14:paraId="2447C074" w14:textId="77777777" w:rsidR="00EF4BE0" w:rsidRPr="00586272" w:rsidRDefault="00EF4BE0" w:rsidP="00EF4BE0">
      <w:pPr>
        <w:spacing w:before="0"/>
        <w:rPr>
          <w:szCs w:val="22"/>
          <w:lang w:val="en-US"/>
        </w:rPr>
      </w:pPr>
    </w:p>
    <w:tbl>
      <w:tblPr>
        <w:tblStyle w:val="TableGrid"/>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3402"/>
        <w:gridCol w:w="6242"/>
      </w:tblGrid>
      <w:tr w:rsidR="00EF4BE0" w:rsidRPr="00586272" w14:paraId="22C70EBE" w14:textId="77777777" w:rsidTr="0092453B">
        <w:tc>
          <w:tcPr>
            <w:tcW w:w="9644" w:type="dxa"/>
            <w:gridSpan w:val="2"/>
            <w:tcBorders>
              <w:top w:val="single" w:sz="4" w:space="0" w:color="auto"/>
              <w:left w:val="single" w:sz="4" w:space="0" w:color="auto"/>
              <w:right w:val="single" w:sz="4" w:space="0" w:color="auto"/>
            </w:tcBorders>
            <w:shd w:val="clear" w:color="auto" w:fill="A6A6A6" w:themeFill="background1" w:themeFillShade="A6"/>
          </w:tcPr>
          <w:p w14:paraId="6FAEDFA7" w14:textId="77777777" w:rsidR="00EF4BE0" w:rsidRPr="00586272" w:rsidRDefault="00EF4BE0" w:rsidP="0092453B">
            <w:pPr>
              <w:spacing w:before="0"/>
              <w:jc w:val="center"/>
              <w:rPr>
                <w:b/>
                <w:bCs/>
                <w:i/>
                <w:iCs/>
                <w:color w:val="FFFFFF" w:themeColor="background1"/>
                <w:sz w:val="20"/>
                <w:lang w:val="en-US"/>
              </w:rPr>
            </w:pPr>
            <w:r w:rsidRPr="00586272">
              <w:rPr>
                <w:b/>
                <w:bCs/>
                <w:color w:val="FFFFFF" w:themeColor="background1"/>
                <w:sz w:val="20"/>
                <w:lang w:val="en-US"/>
              </w:rPr>
              <w:t>Personal information</w:t>
            </w:r>
          </w:p>
        </w:tc>
      </w:tr>
      <w:tr w:rsidR="00EF4BE0" w:rsidRPr="00586272" w14:paraId="70F40222" w14:textId="77777777" w:rsidTr="0092453B">
        <w:trPr>
          <w:trHeight w:val="493"/>
        </w:trPr>
        <w:tc>
          <w:tcPr>
            <w:tcW w:w="3402" w:type="dxa"/>
            <w:tcBorders>
              <w:top w:val="nil"/>
              <w:left w:val="single" w:sz="4" w:space="0" w:color="auto"/>
              <w:bottom w:val="single" w:sz="4" w:space="0" w:color="auto"/>
            </w:tcBorders>
            <w:vAlign w:val="center"/>
          </w:tcPr>
          <w:p w14:paraId="498D5947" w14:textId="77777777" w:rsidR="00EF4BE0" w:rsidRPr="00586272" w:rsidRDefault="00EF4BE0" w:rsidP="0092453B">
            <w:pPr>
              <w:spacing w:before="0"/>
              <w:rPr>
                <w:sz w:val="20"/>
                <w:lang w:val="en-US"/>
              </w:rPr>
            </w:pPr>
            <w:r w:rsidRPr="00586272">
              <w:rPr>
                <w:sz w:val="20"/>
                <w:lang w:val="en-US"/>
              </w:rPr>
              <w:t>Gender</w:t>
            </w:r>
          </w:p>
        </w:tc>
        <w:tc>
          <w:tcPr>
            <w:tcW w:w="6242" w:type="dxa"/>
            <w:tcBorders>
              <w:top w:val="nil"/>
              <w:bottom w:val="single" w:sz="4" w:space="0" w:color="auto"/>
              <w:right w:val="single" w:sz="4" w:space="0" w:color="auto"/>
            </w:tcBorders>
            <w:vAlign w:val="center"/>
          </w:tcPr>
          <w:p w14:paraId="4EA6D2DB" w14:textId="77777777" w:rsidR="00EF4BE0" w:rsidRPr="00586272" w:rsidRDefault="00EF4BE0" w:rsidP="0092453B">
            <w:pPr>
              <w:spacing w:before="0"/>
              <w:rPr>
                <w:sz w:val="20"/>
                <w:lang w:val="en-US"/>
              </w:rPr>
            </w:pPr>
            <w:r w:rsidRPr="00586272">
              <w:rPr>
                <w:sz w:val="32"/>
                <w:szCs w:val="32"/>
                <w:lang w:val="en-US"/>
              </w:rPr>
              <w:t>□</w:t>
            </w:r>
            <w:r w:rsidRPr="00586272">
              <w:rPr>
                <w:sz w:val="20"/>
                <w:lang w:val="en-US"/>
              </w:rPr>
              <w:t xml:space="preserve"> Female</w:t>
            </w:r>
            <w:r w:rsidRPr="00586272">
              <w:rPr>
                <w:sz w:val="20"/>
                <w:lang w:val="en-US"/>
              </w:rPr>
              <w:tab/>
            </w:r>
            <w:r w:rsidRPr="00586272">
              <w:rPr>
                <w:sz w:val="32"/>
                <w:szCs w:val="32"/>
                <w:lang w:val="en-US"/>
              </w:rPr>
              <w:t>□</w:t>
            </w:r>
            <w:r w:rsidRPr="00586272">
              <w:rPr>
                <w:sz w:val="20"/>
                <w:lang w:val="en-US"/>
              </w:rPr>
              <w:t xml:space="preserve"> Male</w:t>
            </w:r>
            <w:r w:rsidRPr="00586272">
              <w:rPr>
                <w:sz w:val="20"/>
                <w:lang w:val="en-US"/>
              </w:rPr>
              <w:tab/>
            </w:r>
            <w:r w:rsidRPr="00586272">
              <w:rPr>
                <w:sz w:val="20"/>
                <w:lang w:val="en-US"/>
              </w:rPr>
              <w:tab/>
            </w:r>
            <w:r w:rsidRPr="00586272">
              <w:rPr>
                <w:sz w:val="32"/>
                <w:szCs w:val="32"/>
                <w:lang w:val="en-US"/>
              </w:rPr>
              <w:t>□</w:t>
            </w:r>
          </w:p>
        </w:tc>
      </w:tr>
      <w:tr w:rsidR="00EF4BE0" w:rsidRPr="00586272" w14:paraId="5E67F910" w14:textId="77777777" w:rsidTr="0092453B">
        <w:tc>
          <w:tcPr>
            <w:tcW w:w="3402" w:type="dxa"/>
            <w:tcBorders>
              <w:top w:val="single" w:sz="4" w:space="0" w:color="auto"/>
              <w:left w:val="single" w:sz="4" w:space="0" w:color="auto"/>
              <w:bottom w:val="single" w:sz="4" w:space="0" w:color="auto"/>
            </w:tcBorders>
            <w:vAlign w:val="center"/>
          </w:tcPr>
          <w:p w14:paraId="5C02C5BD" w14:textId="77777777" w:rsidR="00EF4BE0" w:rsidRPr="00586272" w:rsidRDefault="00EF4BE0" w:rsidP="0092453B">
            <w:pPr>
              <w:spacing w:before="0" w:line="360" w:lineRule="auto"/>
              <w:rPr>
                <w:i/>
                <w:iCs/>
                <w:sz w:val="20"/>
                <w:lang w:val="en-US"/>
              </w:rPr>
            </w:pPr>
            <w:r w:rsidRPr="00586272">
              <w:rPr>
                <w:sz w:val="20"/>
                <w:lang w:val="en-US"/>
              </w:rPr>
              <w:t>Family name (</w:t>
            </w:r>
            <w:r w:rsidRPr="00586272">
              <w:rPr>
                <w:b/>
                <w:bCs/>
                <w:i/>
                <w:iCs/>
                <w:sz w:val="20"/>
                <w:lang w:val="en-US"/>
              </w:rPr>
              <w:t>as in passport</w:t>
            </w:r>
            <w:r w:rsidRPr="00586272">
              <w:rPr>
                <w:i/>
                <w:iCs/>
                <w:sz w:val="20"/>
                <w:lang w:val="en-US"/>
              </w:rPr>
              <w:t>)</w:t>
            </w:r>
          </w:p>
        </w:tc>
        <w:tc>
          <w:tcPr>
            <w:tcW w:w="6242" w:type="dxa"/>
            <w:tcBorders>
              <w:top w:val="single" w:sz="4" w:space="0" w:color="auto"/>
              <w:bottom w:val="single" w:sz="4" w:space="0" w:color="auto"/>
              <w:right w:val="single" w:sz="4" w:space="0" w:color="auto"/>
            </w:tcBorders>
            <w:vAlign w:val="center"/>
          </w:tcPr>
          <w:p w14:paraId="7168D95F" w14:textId="77777777" w:rsidR="00EF4BE0" w:rsidRPr="00586272" w:rsidRDefault="00EF4BE0" w:rsidP="0092453B">
            <w:pPr>
              <w:spacing w:before="0" w:line="360" w:lineRule="auto"/>
              <w:rPr>
                <w:sz w:val="20"/>
                <w:lang w:val="en-US"/>
              </w:rPr>
            </w:pPr>
          </w:p>
        </w:tc>
      </w:tr>
      <w:tr w:rsidR="00EF4BE0" w:rsidRPr="00586272" w14:paraId="495B4D3F" w14:textId="77777777" w:rsidTr="0092453B">
        <w:tc>
          <w:tcPr>
            <w:tcW w:w="3402" w:type="dxa"/>
            <w:tcBorders>
              <w:top w:val="single" w:sz="4" w:space="0" w:color="auto"/>
              <w:left w:val="single" w:sz="4" w:space="0" w:color="auto"/>
              <w:bottom w:val="single" w:sz="4" w:space="0" w:color="auto"/>
            </w:tcBorders>
            <w:vAlign w:val="center"/>
          </w:tcPr>
          <w:p w14:paraId="55CAB5D9" w14:textId="77777777" w:rsidR="00EF4BE0" w:rsidRPr="00586272" w:rsidRDefault="00EF4BE0" w:rsidP="0092453B">
            <w:pPr>
              <w:spacing w:before="0" w:line="360" w:lineRule="auto"/>
              <w:rPr>
                <w:b/>
                <w:bCs/>
                <w:i/>
                <w:iCs/>
                <w:sz w:val="20"/>
                <w:lang w:val="en-US"/>
              </w:rPr>
            </w:pPr>
            <w:r w:rsidRPr="00586272">
              <w:rPr>
                <w:sz w:val="20"/>
                <w:lang w:val="en-US"/>
              </w:rPr>
              <w:t xml:space="preserve">Middle name </w:t>
            </w:r>
            <w:r w:rsidRPr="00586272">
              <w:rPr>
                <w:i/>
                <w:iCs/>
                <w:sz w:val="20"/>
                <w:lang w:val="en-US"/>
              </w:rPr>
              <w:t xml:space="preserve">(if any, </w:t>
            </w:r>
            <w:r w:rsidRPr="00586272">
              <w:rPr>
                <w:b/>
                <w:bCs/>
                <w:i/>
                <w:iCs/>
                <w:sz w:val="20"/>
                <w:lang w:val="en-US"/>
              </w:rPr>
              <w:t>as in passport</w:t>
            </w:r>
            <w:r w:rsidRPr="00586272">
              <w:rPr>
                <w:i/>
                <w:iCs/>
                <w:sz w:val="20"/>
                <w:lang w:val="en-US"/>
              </w:rPr>
              <w:t>)</w:t>
            </w:r>
          </w:p>
        </w:tc>
        <w:tc>
          <w:tcPr>
            <w:tcW w:w="6242" w:type="dxa"/>
            <w:tcBorders>
              <w:top w:val="single" w:sz="4" w:space="0" w:color="auto"/>
              <w:bottom w:val="single" w:sz="4" w:space="0" w:color="auto"/>
              <w:right w:val="single" w:sz="4" w:space="0" w:color="auto"/>
            </w:tcBorders>
            <w:vAlign w:val="center"/>
          </w:tcPr>
          <w:p w14:paraId="5CAF3A45" w14:textId="77777777" w:rsidR="00EF4BE0" w:rsidRPr="00586272" w:rsidRDefault="00EF4BE0" w:rsidP="0092453B">
            <w:pPr>
              <w:spacing w:before="0" w:line="360" w:lineRule="auto"/>
              <w:rPr>
                <w:sz w:val="20"/>
                <w:lang w:val="en-US"/>
              </w:rPr>
            </w:pPr>
          </w:p>
        </w:tc>
      </w:tr>
      <w:tr w:rsidR="00EF4BE0" w:rsidRPr="00586272" w14:paraId="5D96061D" w14:textId="77777777" w:rsidTr="0092453B">
        <w:tc>
          <w:tcPr>
            <w:tcW w:w="3402" w:type="dxa"/>
            <w:tcBorders>
              <w:top w:val="single" w:sz="4" w:space="0" w:color="auto"/>
              <w:left w:val="single" w:sz="4" w:space="0" w:color="auto"/>
              <w:bottom w:val="single" w:sz="4" w:space="0" w:color="auto"/>
            </w:tcBorders>
            <w:vAlign w:val="center"/>
          </w:tcPr>
          <w:p w14:paraId="4EAF3E1B" w14:textId="77777777" w:rsidR="00EF4BE0" w:rsidRPr="00586272" w:rsidRDefault="00EF4BE0" w:rsidP="0092453B">
            <w:pPr>
              <w:spacing w:before="0" w:line="360" w:lineRule="auto"/>
              <w:rPr>
                <w:i/>
                <w:iCs/>
                <w:sz w:val="20"/>
                <w:lang w:val="en-US"/>
              </w:rPr>
            </w:pPr>
            <w:r w:rsidRPr="00586272">
              <w:rPr>
                <w:sz w:val="20"/>
                <w:lang w:val="en-US"/>
              </w:rPr>
              <w:t>First/given name (</w:t>
            </w:r>
            <w:r w:rsidRPr="00586272">
              <w:rPr>
                <w:b/>
                <w:bCs/>
                <w:i/>
                <w:iCs/>
                <w:sz w:val="20"/>
                <w:lang w:val="en-US"/>
              </w:rPr>
              <w:t>as in passport</w:t>
            </w:r>
            <w:r w:rsidRPr="00586272">
              <w:rPr>
                <w:i/>
                <w:iCs/>
                <w:sz w:val="20"/>
                <w:lang w:val="en-US"/>
              </w:rPr>
              <w:t>)</w:t>
            </w:r>
          </w:p>
        </w:tc>
        <w:tc>
          <w:tcPr>
            <w:tcW w:w="6242" w:type="dxa"/>
            <w:tcBorders>
              <w:top w:val="single" w:sz="4" w:space="0" w:color="auto"/>
              <w:bottom w:val="single" w:sz="4" w:space="0" w:color="auto"/>
              <w:right w:val="single" w:sz="4" w:space="0" w:color="auto"/>
            </w:tcBorders>
            <w:vAlign w:val="center"/>
          </w:tcPr>
          <w:p w14:paraId="33EE71F1" w14:textId="77777777" w:rsidR="00EF4BE0" w:rsidRPr="00586272" w:rsidRDefault="00EF4BE0" w:rsidP="0092453B">
            <w:pPr>
              <w:spacing w:before="0" w:line="360" w:lineRule="auto"/>
              <w:rPr>
                <w:sz w:val="20"/>
                <w:lang w:val="en-US"/>
              </w:rPr>
            </w:pPr>
          </w:p>
        </w:tc>
      </w:tr>
      <w:tr w:rsidR="00EF4BE0" w:rsidRPr="00586272" w14:paraId="77D0A637" w14:textId="77777777" w:rsidTr="0092453B">
        <w:tc>
          <w:tcPr>
            <w:tcW w:w="3402" w:type="dxa"/>
            <w:tcBorders>
              <w:top w:val="single" w:sz="4" w:space="0" w:color="auto"/>
              <w:left w:val="single" w:sz="4" w:space="0" w:color="auto"/>
              <w:bottom w:val="single" w:sz="4" w:space="0" w:color="auto"/>
            </w:tcBorders>
            <w:vAlign w:val="center"/>
          </w:tcPr>
          <w:p w14:paraId="5F755F06" w14:textId="77777777" w:rsidR="00EF4BE0" w:rsidRPr="00586272" w:rsidRDefault="00EF4BE0" w:rsidP="0092453B">
            <w:pPr>
              <w:spacing w:before="0" w:line="360" w:lineRule="auto"/>
              <w:rPr>
                <w:i/>
                <w:iCs/>
                <w:sz w:val="20"/>
                <w:lang w:val="en-US"/>
              </w:rPr>
            </w:pPr>
            <w:r w:rsidRPr="00586272">
              <w:rPr>
                <w:sz w:val="20"/>
                <w:lang w:val="en-US"/>
              </w:rPr>
              <w:t>Date of birth</w:t>
            </w:r>
            <w:r w:rsidRPr="00586272">
              <w:rPr>
                <w:sz w:val="20"/>
                <w:lang w:val="en-US"/>
              </w:rPr>
              <w:tab/>
            </w:r>
            <w:r w:rsidRPr="00586272">
              <w:rPr>
                <w:i/>
                <w:iCs/>
                <w:color w:val="808080" w:themeColor="background1" w:themeShade="80"/>
                <w:sz w:val="20"/>
                <w:lang w:val="en-US"/>
              </w:rPr>
              <w:t>DD/MM/YYYY</w:t>
            </w:r>
          </w:p>
        </w:tc>
        <w:tc>
          <w:tcPr>
            <w:tcW w:w="6242" w:type="dxa"/>
            <w:tcBorders>
              <w:top w:val="single" w:sz="4" w:space="0" w:color="auto"/>
              <w:bottom w:val="single" w:sz="4" w:space="0" w:color="auto"/>
              <w:right w:val="single" w:sz="4" w:space="0" w:color="auto"/>
            </w:tcBorders>
            <w:vAlign w:val="center"/>
          </w:tcPr>
          <w:p w14:paraId="34CB56E0" w14:textId="77777777" w:rsidR="00EF4BE0" w:rsidRPr="00586272" w:rsidRDefault="00EF4BE0" w:rsidP="0092453B">
            <w:pPr>
              <w:spacing w:before="0" w:line="360" w:lineRule="auto"/>
              <w:rPr>
                <w:sz w:val="20"/>
                <w:lang w:val="en-US"/>
              </w:rPr>
            </w:pPr>
          </w:p>
        </w:tc>
      </w:tr>
      <w:tr w:rsidR="00EF4BE0" w:rsidRPr="00586272" w14:paraId="39E1B94E" w14:textId="77777777" w:rsidTr="0092453B">
        <w:tc>
          <w:tcPr>
            <w:tcW w:w="3402" w:type="dxa"/>
            <w:tcBorders>
              <w:top w:val="single" w:sz="4" w:space="0" w:color="auto"/>
              <w:left w:val="single" w:sz="4" w:space="0" w:color="auto"/>
              <w:bottom w:val="single" w:sz="4" w:space="0" w:color="auto"/>
            </w:tcBorders>
            <w:vAlign w:val="center"/>
          </w:tcPr>
          <w:p w14:paraId="1A8579D4" w14:textId="77777777" w:rsidR="00EF4BE0" w:rsidRPr="00586272" w:rsidRDefault="00EF4BE0" w:rsidP="0092453B">
            <w:pPr>
              <w:spacing w:before="0" w:line="360" w:lineRule="auto"/>
              <w:rPr>
                <w:sz w:val="20"/>
                <w:lang w:val="en-US"/>
              </w:rPr>
            </w:pPr>
            <w:r w:rsidRPr="00586272">
              <w:rPr>
                <w:sz w:val="20"/>
                <w:lang w:val="en-US"/>
              </w:rPr>
              <w:t>Place of birth</w:t>
            </w:r>
            <w:r w:rsidRPr="00586272">
              <w:rPr>
                <w:sz w:val="20"/>
                <w:lang w:val="en-US"/>
              </w:rPr>
              <w:tab/>
            </w:r>
            <w:r w:rsidRPr="00586272">
              <w:rPr>
                <w:i/>
                <w:iCs/>
                <w:color w:val="808080" w:themeColor="background1" w:themeShade="80"/>
                <w:sz w:val="20"/>
                <w:lang w:val="en-US"/>
              </w:rPr>
              <w:t>DD/MM/YYYY</w:t>
            </w:r>
          </w:p>
        </w:tc>
        <w:tc>
          <w:tcPr>
            <w:tcW w:w="6242" w:type="dxa"/>
            <w:tcBorders>
              <w:top w:val="single" w:sz="4" w:space="0" w:color="auto"/>
              <w:bottom w:val="single" w:sz="4" w:space="0" w:color="auto"/>
              <w:right w:val="single" w:sz="4" w:space="0" w:color="auto"/>
            </w:tcBorders>
            <w:vAlign w:val="center"/>
          </w:tcPr>
          <w:p w14:paraId="0D9F7896" w14:textId="77777777" w:rsidR="00EF4BE0" w:rsidRPr="00586272" w:rsidRDefault="00EF4BE0" w:rsidP="0092453B">
            <w:pPr>
              <w:spacing w:before="0" w:line="360" w:lineRule="auto"/>
              <w:rPr>
                <w:sz w:val="20"/>
                <w:lang w:val="en-US"/>
              </w:rPr>
            </w:pPr>
          </w:p>
        </w:tc>
      </w:tr>
      <w:tr w:rsidR="00EF4BE0" w:rsidRPr="00586272" w14:paraId="36CD2D12" w14:textId="77777777" w:rsidTr="0092453B">
        <w:tc>
          <w:tcPr>
            <w:tcW w:w="9644" w:type="dxa"/>
            <w:gridSpan w:val="2"/>
            <w:tcBorders>
              <w:top w:val="single" w:sz="4" w:space="0" w:color="auto"/>
              <w:left w:val="single" w:sz="4" w:space="0" w:color="auto"/>
              <w:right w:val="single" w:sz="4" w:space="0" w:color="auto"/>
            </w:tcBorders>
            <w:shd w:val="clear" w:color="auto" w:fill="A6A6A6" w:themeFill="background1" w:themeFillShade="A6"/>
          </w:tcPr>
          <w:p w14:paraId="238EC2A0" w14:textId="77777777" w:rsidR="00EF4BE0" w:rsidRPr="00586272" w:rsidRDefault="00EF4BE0" w:rsidP="0092453B">
            <w:pPr>
              <w:spacing w:before="0"/>
              <w:jc w:val="center"/>
              <w:rPr>
                <w:b/>
                <w:bCs/>
                <w:color w:val="FFFFFF" w:themeColor="background1"/>
                <w:sz w:val="20"/>
                <w:lang w:val="en-US"/>
              </w:rPr>
            </w:pPr>
            <w:r w:rsidRPr="00586272">
              <w:rPr>
                <w:b/>
                <w:bCs/>
                <w:color w:val="FFFFFF" w:themeColor="background1"/>
                <w:sz w:val="20"/>
                <w:lang w:val="en-US"/>
              </w:rPr>
              <w:t>Additional information</w:t>
            </w:r>
          </w:p>
        </w:tc>
      </w:tr>
      <w:tr w:rsidR="00EF4BE0" w:rsidRPr="00586272" w14:paraId="7BD0308E" w14:textId="77777777" w:rsidTr="0092453B">
        <w:tc>
          <w:tcPr>
            <w:tcW w:w="3402" w:type="dxa"/>
            <w:tcBorders>
              <w:top w:val="nil"/>
              <w:left w:val="single" w:sz="4" w:space="0" w:color="auto"/>
              <w:bottom w:val="single" w:sz="4" w:space="0" w:color="auto"/>
            </w:tcBorders>
            <w:vAlign w:val="center"/>
          </w:tcPr>
          <w:p w14:paraId="7846E72C" w14:textId="77777777" w:rsidR="00EF4BE0" w:rsidRPr="00586272" w:rsidRDefault="00EF4BE0" w:rsidP="0092453B">
            <w:pPr>
              <w:spacing w:before="0"/>
              <w:rPr>
                <w:i/>
                <w:iCs/>
                <w:sz w:val="20"/>
                <w:lang w:val="en-US"/>
              </w:rPr>
            </w:pPr>
            <w:r w:rsidRPr="00586272">
              <w:rPr>
                <w:sz w:val="20"/>
                <w:lang w:val="en-US"/>
              </w:rPr>
              <w:t>Accessibility needs/Specific needs (</w:t>
            </w:r>
            <w:r w:rsidRPr="00586272">
              <w:rPr>
                <w:i/>
                <w:iCs/>
                <w:sz w:val="20"/>
                <w:lang w:val="en-US"/>
              </w:rPr>
              <w:t>please specify)</w:t>
            </w:r>
          </w:p>
        </w:tc>
        <w:tc>
          <w:tcPr>
            <w:tcW w:w="6242" w:type="dxa"/>
            <w:tcBorders>
              <w:top w:val="nil"/>
              <w:bottom w:val="single" w:sz="4" w:space="0" w:color="auto"/>
              <w:right w:val="single" w:sz="4" w:space="0" w:color="auto"/>
            </w:tcBorders>
            <w:vAlign w:val="center"/>
          </w:tcPr>
          <w:p w14:paraId="531F88CE" w14:textId="77777777" w:rsidR="00EF4BE0" w:rsidRPr="00586272" w:rsidRDefault="00EF4BE0" w:rsidP="0092453B">
            <w:pPr>
              <w:spacing w:before="0" w:line="360" w:lineRule="auto"/>
              <w:rPr>
                <w:sz w:val="20"/>
                <w:lang w:val="en-US"/>
              </w:rPr>
            </w:pPr>
          </w:p>
        </w:tc>
      </w:tr>
      <w:tr w:rsidR="00EF4BE0" w:rsidRPr="00586272" w14:paraId="48C09EAD" w14:textId="77777777" w:rsidTr="0092453B">
        <w:tc>
          <w:tcPr>
            <w:tcW w:w="9644" w:type="dxa"/>
            <w:gridSpan w:val="2"/>
            <w:tcBorders>
              <w:top w:val="single" w:sz="4" w:space="0" w:color="auto"/>
              <w:left w:val="single" w:sz="4" w:space="0" w:color="auto"/>
              <w:right w:val="single" w:sz="4" w:space="0" w:color="auto"/>
            </w:tcBorders>
            <w:shd w:val="clear" w:color="auto" w:fill="A6A6A6" w:themeFill="background1" w:themeFillShade="A6"/>
          </w:tcPr>
          <w:p w14:paraId="7CE3C319" w14:textId="77777777" w:rsidR="00EF4BE0" w:rsidRPr="00586272" w:rsidRDefault="00EF4BE0" w:rsidP="0092453B">
            <w:pPr>
              <w:spacing w:before="0"/>
              <w:jc w:val="center"/>
              <w:rPr>
                <w:b/>
                <w:bCs/>
                <w:color w:val="FFFFFF" w:themeColor="background1"/>
                <w:sz w:val="20"/>
                <w:lang w:val="en-US"/>
              </w:rPr>
            </w:pPr>
            <w:r w:rsidRPr="00586272">
              <w:rPr>
                <w:b/>
                <w:bCs/>
                <w:color w:val="FFFFFF" w:themeColor="background1"/>
                <w:sz w:val="20"/>
                <w:lang w:val="en-US"/>
              </w:rPr>
              <w:t>Contact details</w:t>
            </w:r>
          </w:p>
        </w:tc>
      </w:tr>
      <w:tr w:rsidR="00EF4BE0" w:rsidRPr="00586272" w14:paraId="612DB3A0" w14:textId="77777777" w:rsidTr="0092453B">
        <w:tc>
          <w:tcPr>
            <w:tcW w:w="3402" w:type="dxa"/>
            <w:tcBorders>
              <w:top w:val="nil"/>
              <w:left w:val="single" w:sz="4" w:space="0" w:color="auto"/>
              <w:bottom w:val="single" w:sz="4" w:space="0" w:color="auto"/>
            </w:tcBorders>
            <w:vAlign w:val="center"/>
          </w:tcPr>
          <w:p w14:paraId="209431C9" w14:textId="77777777" w:rsidR="00EF4BE0" w:rsidRPr="00586272" w:rsidRDefault="00EF4BE0" w:rsidP="0092453B">
            <w:pPr>
              <w:spacing w:before="0" w:line="360" w:lineRule="auto"/>
              <w:rPr>
                <w:sz w:val="20"/>
                <w:lang w:val="en-US"/>
              </w:rPr>
            </w:pPr>
            <w:r w:rsidRPr="00586272">
              <w:rPr>
                <w:sz w:val="20"/>
                <w:lang w:val="en-US"/>
              </w:rPr>
              <w:t>E-mail</w:t>
            </w:r>
          </w:p>
        </w:tc>
        <w:tc>
          <w:tcPr>
            <w:tcW w:w="6242" w:type="dxa"/>
            <w:tcBorders>
              <w:top w:val="nil"/>
              <w:bottom w:val="single" w:sz="4" w:space="0" w:color="auto"/>
              <w:right w:val="single" w:sz="4" w:space="0" w:color="auto"/>
            </w:tcBorders>
            <w:vAlign w:val="center"/>
          </w:tcPr>
          <w:p w14:paraId="7046A4D0" w14:textId="77777777" w:rsidR="00EF4BE0" w:rsidRPr="00586272" w:rsidRDefault="00EF4BE0" w:rsidP="0092453B">
            <w:pPr>
              <w:spacing w:before="0" w:line="360" w:lineRule="auto"/>
              <w:rPr>
                <w:szCs w:val="22"/>
                <w:lang w:val="en-US"/>
              </w:rPr>
            </w:pPr>
          </w:p>
        </w:tc>
      </w:tr>
      <w:tr w:rsidR="00EF4BE0" w:rsidRPr="00586272" w14:paraId="106AC379" w14:textId="77777777" w:rsidTr="0092453B">
        <w:tc>
          <w:tcPr>
            <w:tcW w:w="3402" w:type="dxa"/>
            <w:tcBorders>
              <w:top w:val="single" w:sz="4" w:space="0" w:color="auto"/>
              <w:left w:val="single" w:sz="4" w:space="0" w:color="auto"/>
              <w:bottom w:val="single" w:sz="4" w:space="0" w:color="auto"/>
            </w:tcBorders>
            <w:vAlign w:val="center"/>
          </w:tcPr>
          <w:p w14:paraId="3150E8E7" w14:textId="77777777" w:rsidR="00EF4BE0" w:rsidRPr="00586272" w:rsidRDefault="00EF4BE0" w:rsidP="0092453B">
            <w:pPr>
              <w:spacing w:before="0" w:line="360" w:lineRule="auto"/>
              <w:rPr>
                <w:sz w:val="20"/>
                <w:lang w:val="en-US"/>
              </w:rPr>
            </w:pPr>
            <w:r w:rsidRPr="00586272">
              <w:rPr>
                <w:sz w:val="20"/>
                <w:lang w:val="en-US"/>
              </w:rPr>
              <w:t>Phone number</w:t>
            </w:r>
          </w:p>
        </w:tc>
        <w:tc>
          <w:tcPr>
            <w:tcW w:w="6242" w:type="dxa"/>
            <w:tcBorders>
              <w:top w:val="single" w:sz="4" w:space="0" w:color="auto"/>
              <w:bottom w:val="single" w:sz="4" w:space="0" w:color="auto"/>
              <w:right w:val="single" w:sz="4" w:space="0" w:color="auto"/>
            </w:tcBorders>
            <w:vAlign w:val="center"/>
          </w:tcPr>
          <w:p w14:paraId="0803AF5A" w14:textId="77777777" w:rsidR="00EF4BE0" w:rsidRPr="00586272" w:rsidRDefault="00EF4BE0" w:rsidP="0092453B">
            <w:pPr>
              <w:spacing w:before="0" w:line="360" w:lineRule="auto"/>
              <w:rPr>
                <w:szCs w:val="22"/>
                <w:lang w:val="en-US"/>
              </w:rPr>
            </w:pPr>
          </w:p>
        </w:tc>
      </w:tr>
      <w:tr w:rsidR="00EF4BE0" w:rsidRPr="00586272" w14:paraId="3EACEDFC" w14:textId="77777777" w:rsidTr="0092453B">
        <w:tc>
          <w:tcPr>
            <w:tcW w:w="9644" w:type="dxa"/>
            <w:gridSpan w:val="2"/>
            <w:tcBorders>
              <w:top w:val="single" w:sz="4" w:space="0" w:color="auto"/>
              <w:left w:val="single" w:sz="4" w:space="0" w:color="auto"/>
              <w:right w:val="single" w:sz="4" w:space="0" w:color="auto"/>
            </w:tcBorders>
            <w:shd w:val="clear" w:color="auto" w:fill="A6A6A6" w:themeFill="background1" w:themeFillShade="A6"/>
          </w:tcPr>
          <w:p w14:paraId="6AD9C023" w14:textId="77777777" w:rsidR="00EF4BE0" w:rsidRPr="00586272" w:rsidRDefault="00EF4BE0" w:rsidP="0092453B">
            <w:pPr>
              <w:spacing w:before="0"/>
              <w:jc w:val="center"/>
              <w:rPr>
                <w:b/>
                <w:bCs/>
                <w:color w:val="FFFFFF" w:themeColor="background1"/>
                <w:sz w:val="20"/>
                <w:lang w:val="en-US"/>
              </w:rPr>
            </w:pPr>
            <w:r w:rsidRPr="00586272">
              <w:rPr>
                <w:b/>
                <w:bCs/>
                <w:color w:val="FFFFFF" w:themeColor="background1"/>
                <w:sz w:val="20"/>
                <w:lang w:val="en-US"/>
              </w:rPr>
              <w:t>Passport information</w:t>
            </w:r>
          </w:p>
        </w:tc>
      </w:tr>
      <w:tr w:rsidR="00EF4BE0" w:rsidRPr="00586272" w14:paraId="5B4E6A41" w14:textId="77777777" w:rsidTr="0092453B">
        <w:tc>
          <w:tcPr>
            <w:tcW w:w="3402" w:type="dxa"/>
            <w:tcBorders>
              <w:top w:val="nil"/>
              <w:left w:val="single" w:sz="4" w:space="0" w:color="auto"/>
              <w:bottom w:val="single" w:sz="4" w:space="0" w:color="auto"/>
            </w:tcBorders>
          </w:tcPr>
          <w:p w14:paraId="0B32AC59" w14:textId="77777777" w:rsidR="00EF4BE0" w:rsidRPr="00586272" w:rsidRDefault="00EF4BE0" w:rsidP="0092453B">
            <w:pPr>
              <w:spacing w:before="0" w:line="360" w:lineRule="auto"/>
              <w:rPr>
                <w:sz w:val="20"/>
                <w:lang w:val="en-US"/>
              </w:rPr>
            </w:pPr>
            <w:r w:rsidRPr="00586272">
              <w:rPr>
                <w:sz w:val="20"/>
                <w:lang w:val="en-US"/>
              </w:rPr>
              <w:t>Nationality</w:t>
            </w:r>
          </w:p>
        </w:tc>
        <w:tc>
          <w:tcPr>
            <w:tcW w:w="6242" w:type="dxa"/>
            <w:tcBorders>
              <w:top w:val="nil"/>
              <w:bottom w:val="single" w:sz="4" w:space="0" w:color="auto"/>
              <w:right w:val="single" w:sz="4" w:space="0" w:color="auto"/>
            </w:tcBorders>
          </w:tcPr>
          <w:p w14:paraId="320A96F8" w14:textId="77777777" w:rsidR="00EF4BE0" w:rsidRPr="00586272" w:rsidRDefault="00EF4BE0" w:rsidP="0092453B">
            <w:pPr>
              <w:spacing w:before="0" w:line="360" w:lineRule="auto"/>
              <w:rPr>
                <w:szCs w:val="22"/>
                <w:lang w:val="en-US"/>
              </w:rPr>
            </w:pPr>
          </w:p>
        </w:tc>
      </w:tr>
      <w:tr w:rsidR="00EF4BE0" w:rsidRPr="00586272" w14:paraId="2E027D32" w14:textId="77777777" w:rsidTr="0092453B">
        <w:tc>
          <w:tcPr>
            <w:tcW w:w="3402" w:type="dxa"/>
            <w:tcBorders>
              <w:top w:val="single" w:sz="4" w:space="0" w:color="auto"/>
              <w:left w:val="single" w:sz="4" w:space="0" w:color="auto"/>
              <w:bottom w:val="single" w:sz="4" w:space="0" w:color="auto"/>
            </w:tcBorders>
          </w:tcPr>
          <w:p w14:paraId="6A4F285C" w14:textId="77777777" w:rsidR="00EF4BE0" w:rsidRPr="00586272" w:rsidRDefault="00EF4BE0" w:rsidP="0092453B">
            <w:pPr>
              <w:spacing w:before="0" w:line="360" w:lineRule="auto"/>
              <w:rPr>
                <w:sz w:val="20"/>
                <w:lang w:val="en-US"/>
              </w:rPr>
            </w:pPr>
            <w:r w:rsidRPr="00586272">
              <w:rPr>
                <w:sz w:val="20"/>
                <w:lang w:val="en-US"/>
              </w:rPr>
              <w:t>Passport number</w:t>
            </w:r>
          </w:p>
        </w:tc>
        <w:tc>
          <w:tcPr>
            <w:tcW w:w="6242" w:type="dxa"/>
            <w:tcBorders>
              <w:top w:val="single" w:sz="4" w:space="0" w:color="auto"/>
              <w:bottom w:val="single" w:sz="4" w:space="0" w:color="auto"/>
              <w:right w:val="single" w:sz="4" w:space="0" w:color="auto"/>
            </w:tcBorders>
          </w:tcPr>
          <w:p w14:paraId="79CC4F13" w14:textId="77777777" w:rsidR="00EF4BE0" w:rsidRPr="00586272" w:rsidRDefault="00EF4BE0" w:rsidP="0092453B">
            <w:pPr>
              <w:spacing w:before="0" w:line="360" w:lineRule="auto"/>
              <w:rPr>
                <w:szCs w:val="22"/>
                <w:lang w:val="en-US"/>
              </w:rPr>
            </w:pPr>
          </w:p>
        </w:tc>
      </w:tr>
      <w:tr w:rsidR="00EF4BE0" w:rsidRPr="00586272" w14:paraId="679DB7C6" w14:textId="77777777" w:rsidTr="0092453B">
        <w:tc>
          <w:tcPr>
            <w:tcW w:w="3402" w:type="dxa"/>
            <w:tcBorders>
              <w:top w:val="single" w:sz="4" w:space="0" w:color="auto"/>
              <w:left w:val="single" w:sz="4" w:space="0" w:color="auto"/>
              <w:bottom w:val="single" w:sz="4" w:space="0" w:color="auto"/>
            </w:tcBorders>
          </w:tcPr>
          <w:p w14:paraId="3089B338" w14:textId="77777777" w:rsidR="00EF4BE0" w:rsidRPr="00586272" w:rsidRDefault="00EF4BE0" w:rsidP="0092453B">
            <w:pPr>
              <w:spacing w:before="0" w:line="360" w:lineRule="auto"/>
              <w:rPr>
                <w:sz w:val="20"/>
                <w:lang w:val="en-US"/>
              </w:rPr>
            </w:pPr>
            <w:r w:rsidRPr="00586272">
              <w:rPr>
                <w:sz w:val="20"/>
                <w:lang w:val="en-US"/>
              </w:rPr>
              <w:t>Date of issue</w:t>
            </w:r>
            <w:r w:rsidRPr="00586272">
              <w:rPr>
                <w:sz w:val="20"/>
                <w:lang w:val="en-US"/>
              </w:rPr>
              <w:tab/>
            </w:r>
            <w:r w:rsidRPr="00586272">
              <w:rPr>
                <w:i/>
                <w:iCs/>
                <w:color w:val="808080" w:themeColor="background1" w:themeShade="80"/>
                <w:sz w:val="20"/>
                <w:lang w:val="en-US"/>
              </w:rPr>
              <w:t>DD/MM/YYYY</w:t>
            </w:r>
          </w:p>
        </w:tc>
        <w:tc>
          <w:tcPr>
            <w:tcW w:w="6242" w:type="dxa"/>
            <w:tcBorders>
              <w:top w:val="single" w:sz="4" w:space="0" w:color="auto"/>
              <w:bottom w:val="single" w:sz="4" w:space="0" w:color="auto"/>
              <w:right w:val="single" w:sz="4" w:space="0" w:color="auto"/>
            </w:tcBorders>
          </w:tcPr>
          <w:p w14:paraId="2DAD2CD5" w14:textId="77777777" w:rsidR="00EF4BE0" w:rsidRPr="00586272" w:rsidRDefault="00EF4BE0" w:rsidP="0092453B">
            <w:pPr>
              <w:spacing w:before="0" w:line="360" w:lineRule="auto"/>
              <w:rPr>
                <w:szCs w:val="22"/>
                <w:lang w:val="en-US"/>
              </w:rPr>
            </w:pPr>
          </w:p>
        </w:tc>
      </w:tr>
      <w:tr w:rsidR="00EF4BE0" w:rsidRPr="00586272" w14:paraId="5CCE4825" w14:textId="77777777" w:rsidTr="0092453B">
        <w:tc>
          <w:tcPr>
            <w:tcW w:w="3402" w:type="dxa"/>
            <w:tcBorders>
              <w:top w:val="single" w:sz="4" w:space="0" w:color="auto"/>
              <w:left w:val="single" w:sz="4" w:space="0" w:color="auto"/>
              <w:bottom w:val="single" w:sz="4" w:space="0" w:color="auto"/>
            </w:tcBorders>
          </w:tcPr>
          <w:p w14:paraId="28A02350" w14:textId="77777777" w:rsidR="00EF4BE0" w:rsidRPr="00586272" w:rsidRDefault="00EF4BE0" w:rsidP="0092453B">
            <w:pPr>
              <w:spacing w:before="0" w:line="360" w:lineRule="auto"/>
              <w:rPr>
                <w:sz w:val="20"/>
                <w:lang w:val="en-US"/>
              </w:rPr>
            </w:pPr>
            <w:r w:rsidRPr="00586272">
              <w:rPr>
                <w:sz w:val="20"/>
                <w:lang w:val="en-US"/>
              </w:rPr>
              <w:t>Place of issue</w:t>
            </w:r>
          </w:p>
        </w:tc>
        <w:tc>
          <w:tcPr>
            <w:tcW w:w="6242" w:type="dxa"/>
            <w:tcBorders>
              <w:top w:val="single" w:sz="4" w:space="0" w:color="auto"/>
              <w:bottom w:val="single" w:sz="4" w:space="0" w:color="auto"/>
              <w:right w:val="single" w:sz="4" w:space="0" w:color="auto"/>
            </w:tcBorders>
          </w:tcPr>
          <w:p w14:paraId="22777B9F" w14:textId="77777777" w:rsidR="00EF4BE0" w:rsidRPr="00586272" w:rsidRDefault="00EF4BE0" w:rsidP="0092453B">
            <w:pPr>
              <w:spacing w:before="0" w:line="360" w:lineRule="auto"/>
              <w:rPr>
                <w:szCs w:val="22"/>
                <w:lang w:val="en-US"/>
              </w:rPr>
            </w:pPr>
          </w:p>
        </w:tc>
      </w:tr>
      <w:tr w:rsidR="00EF4BE0" w:rsidRPr="00586272" w14:paraId="6519D340" w14:textId="77777777" w:rsidTr="0092453B">
        <w:tc>
          <w:tcPr>
            <w:tcW w:w="3402" w:type="dxa"/>
            <w:tcBorders>
              <w:top w:val="single" w:sz="4" w:space="0" w:color="auto"/>
              <w:left w:val="single" w:sz="4" w:space="0" w:color="auto"/>
              <w:bottom w:val="single" w:sz="4" w:space="0" w:color="auto"/>
            </w:tcBorders>
          </w:tcPr>
          <w:p w14:paraId="70B294EC" w14:textId="77777777" w:rsidR="00EF4BE0" w:rsidRPr="00586272" w:rsidRDefault="00EF4BE0" w:rsidP="0092453B">
            <w:pPr>
              <w:spacing w:before="0" w:line="360" w:lineRule="auto"/>
              <w:rPr>
                <w:sz w:val="20"/>
                <w:lang w:val="en-US"/>
              </w:rPr>
            </w:pPr>
            <w:r w:rsidRPr="00586272">
              <w:rPr>
                <w:sz w:val="20"/>
                <w:lang w:val="en-US"/>
              </w:rPr>
              <w:t>Valid until</w:t>
            </w:r>
            <w:r w:rsidRPr="00586272">
              <w:rPr>
                <w:sz w:val="20"/>
                <w:lang w:val="en-US"/>
              </w:rPr>
              <w:tab/>
            </w:r>
            <w:r w:rsidRPr="00586272">
              <w:rPr>
                <w:i/>
                <w:iCs/>
                <w:color w:val="808080" w:themeColor="background1" w:themeShade="80"/>
                <w:sz w:val="20"/>
                <w:lang w:val="en-US"/>
              </w:rPr>
              <w:t>DD/MM/YYYY</w:t>
            </w:r>
          </w:p>
        </w:tc>
        <w:tc>
          <w:tcPr>
            <w:tcW w:w="6242" w:type="dxa"/>
            <w:tcBorders>
              <w:top w:val="single" w:sz="4" w:space="0" w:color="auto"/>
              <w:bottom w:val="single" w:sz="4" w:space="0" w:color="auto"/>
              <w:right w:val="single" w:sz="4" w:space="0" w:color="auto"/>
            </w:tcBorders>
          </w:tcPr>
          <w:p w14:paraId="0E0807A4" w14:textId="77777777" w:rsidR="00EF4BE0" w:rsidRPr="00586272" w:rsidRDefault="00EF4BE0" w:rsidP="0092453B">
            <w:pPr>
              <w:spacing w:before="0" w:line="360" w:lineRule="auto"/>
              <w:rPr>
                <w:szCs w:val="22"/>
                <w:lang w:val="en-US"/>
              </w:rPr>
            </w:pPr>
          </w:p>
        </w:tc>
      </w:tr>
    </w:tbl>
    <w:p w14:paraId="2ACA32B1" w14:textId="77777777" w:rsidR="00EF4BE0" w:rsidRPr="00586272" w:rsidRDefault="00EF4BE0" w:rsidP="00EF4BE0">
      <w:pPr>
        <w:spacing w:before="0"/>
        <w:rPr>
          <w:lang w:val="en-US"/>
        </w:rPr>
      </w:pPr>
    </w:p>
    <w:tbl>
      <w:tblPr>
        <w:tblStyle w:val="TableGrid"/>
        <w:tblW w:w="0" w:type="auto"/>
        <w:shd w:val="clear" w:color="auto" w:fill="A6A6A6" w:themeFill="background1" w:themeFillShade="A6"/>
        <w:tblLook w:val="04A0" w:firstRow="1" w:lastRow="0" w:firstColumn="1" w:lastColumn="0" w:noHBand="0" w:noVBand="1"/>
      </w:tblPr>
      <w:tblGrid>
        <w:gridCol w:w="3399"/>
        <w:gridCol w:w="6230"/>
      </w:tblGrid>
      <w:tr w:rsidR="00EF4BE0" w:rsidRPr="00586272" w14:paraId="7A18491D" w14:textId="77777777" w:rsidTr="0092453B">
        <w:tc>
          <w:tcPr>
            <w:tcW w:w="9644" w:type="dxa"/>
            <w:gridSpan w:val="2"/>
            <w:tcBorders>
              <w:top w:val="single" w:sz="4" w:space="0" w:color="auto"/>
              <w:left w:val="single" w:sz="4" w:space="0" w:color="auto"/>
              <w:bottom w:val="nil"/>
              <w:right w:val="single" w:sz="4" w:space="0" w:color="auto"/>
            </w:tcBorders>
            <w:shd w:val="clear" w:color="auto" w:fill="A6A6A6" w:themeFill="background1" w:themeFillShade="A6"/>
          </w:tcPr>
          <w:p w14:paraId="2A076E1E" w14:textId="77777777" w:rsidR="00EF4BE0" w:rsidRPr="00586272" w:rsidRDefault="00EF4BE0" w:rsidP="0092453B">
            <w:pPr>
              <w:spacing w:before="0"/>
              <w:jc w:val="center"/>
              <w:rPr>
                <w:b/>
                <w:bCs/>
                <w:color w:val="FFFFFF" w:themeColor="background1"/>
                <w:szCs w:val="22"/>
                <w:lang w:val="en-US"/>
              </w:rPr>
            </w:pPr>
            <w:r w:rsidRPr="00586272">
              <w:rPr>
                <w:b/>
                <w:color w:val="FFFFFF" w:themeColor="background1"/>
                <w:sz w:val="20"/>
                <w:szCs w:val="18"/>
                <w:lang w:val="en-US"/>
              </w:rPr>
              <w:t>Education</w:t>
            </w:r>
          </w:p>
        </w:tc>
      </w:tr>
      <w:tr w:rsidR="00EF4BE0" w:rsidRPr="00586272" w14:paraId="0098CDF5" w14:textId="77777777" w:rsidTr="0092453B">
        <w:tblPrEx>
          <w:tblBorders>
            <w:insideV w:val="none" w:sz="0" w:space="0" w:color="auto"/>
          </w:tblBorders>
        </w:tblPrEx>
        <w:tc>
          <w:tcPr>
            <w:tcW w:w="3402" w:type="dxa"/>
            <w:tcBorders>
              <w:top w:val="nil"/>
            </w:tcBorders>
          </w:tcPr>
          <w:p w14:paraId="10B9E409" w14:textId="77777777" w:rsidR="00EF4BE0" w:rsidRPr="00586272" w:rsidRDefault="00EF4BE0" w:rsidP="0092453B">
            <w:pPr>
              <w:spacing w:before="0" w:line="360" w:lineRule="auto"/>
              <w:rPr>
                <w:sz w:val="20"/>
                <w:lang w:val="en-US"/>
              </w:rPr>
            </w:pPr>
            <w:r w:rsidRPr="00586272">
              <w:rPr>
                <w:sz w:val="20"/>
                <w:lang w:val="en-US"/>
              </w:rPr>
              <w:t>Degree/Diploma/Field of study</w:t>
            </w:r>
          </w:p>
        </w:tc>
        <w:tc>
          <w:tcPr>
            <w:tcW w:w="6242" w:type="dxa"/>
            <w:tcBorders>
              <w:top w:val="nil"/>
            </w:tcBorders>
          </w:tcPr>
          <w:p w14:paraId="466DE28B" w14:textId="77777777" w:rsidR="00EF4BE0" w:rsidRPr="00586272" w:rsidRDefault="00EF4BE0" w:rsidP="0092453B">
            <w:pPr>
              <w:spacing w:before="0" w:line="360" w:lineRule="auto"/>
              <w:rPr>
                <w:szCs w:val="22"/>
                <w:lang w:val="en-US"/>
              </w:rPr>
            </w:pPr>
          </w:p>
        </w:tc>
      </w:tr>
      <w:tr w:rsidR="00EF4BE0" w:rsidRPr="00586272" w14:paraId="0E7C5C34" w14:textId="77777777" w:rsidTr="0092453B">
        <w:tc>
          <w:tcPr>
            <w:tcW w:w="9644" w:type="dxa"/>
            <w:gridSpan w:val="2"/>
            <w:tcBorders>
              <w:top w:val="nil"/>
              <w:left w:val="single" w:sz="4" w:space="0" w:color="auto"/>
              <w:bottom w:val="nil"/>
              <w:right w:val="single" w:sz="4" w:space="0" w:color="auto"/>
            </w:tcBorders>
            <w:shd w:val="clear" w:color="auto" w:fill="A6A6A6" w:themeFill="background1" w:themeFillShade="A6"/>
          </w:tcPr>
          <w:p w14:paraId="0121F338" w14:textId="77777777" w:rsidR="00EF4BE0" w:rsidRPr="00586272" w:rsidRDefault="00EF4BE0" w:rsidP="0092453B">
            <w:pPr>
              <w:spacing w:before="0"/>
              <w:jc w:val="center"/>
              <w:rPr>
                <w:b/>
                <w:bCs/>
                <w:color w:val="FFFFFF" w:themeColor="background1"/>
                <w:sz w:val="20"/>
                <w:lang w:val="en-US"/>
              </w:rPr>
            </w:pPr>
            <w:r w:rsidRPr="00586272">
              <w:rPr>
                <w:b/>
                <w:bCs/>
                <w:color w:val="FFFFFF" w:themeColor="background1"/>
                <w:sz w:val="20"/>
                <w:lang w:val="en-US"/>
              </w:rPr>
              <w:t>Work experience</w:t>
            </w:r>
          </w:p>
        </w:tc>
      </w:tr>
      <w:tr w:rsidR="00EF4BE0" w:rsidRPr="00586272" w14:paraId="701C348F" w14:textId="77777777" w:rsidTr="0092453B">
        <w:tblPrEx>
          <w:tblBorders>
            <w:insideV w:val="none" w:sz="0" w:space="0" w:color="auto"/>
          </w:tblBorders>
        </w:tblPrEx>
        <w:tc>
          <w:tcPr>
            <w:tcW w:w="3402" w:type="dxa"/>
            <w:tcBorders>
              <w:top w:val="nil"/>
            </w:tcBorders>
          </w:tcPr>
          <w:p w14:paraId="53E9DFFC" w14:textId="77777777" w:rsidR="00EF4BE0" w:rsidRPr="00586272" w:rsidRDefault="00EF4BE0" w:rsidP="0092453B">
            <w:pPr>
              <w:spacing w:before="0" w:line="360" w:lineRule="auto"/>
              <w:rPr>
                <w:sz w:val="20"/>
                <w:lang w:val="en-US"/>
              </w:rPr>
            </w:pPr>
            <w:r w:rsidRPr="00586272">
              <w:rPr>
                <w:sz w:val="20"/>
                <w:lang w:val="en-US"/>
              </w:rPr>
              <w:t>Exact title of post</w:t>
            </w:r>
          </w:p>
        </w:tc>
        <w:tc>
          <w:tcPr>
            <w:tcW w:w="6242" w:type="dxa"/>
            <w:tcBorders>
              <w:top w:val="nil"/>
            </w:tcBorders>
          </w:tcPr>
          <w:p w14:paraId="4E42B4BA" w14:textId="77777777" w:rsidR="00EF4BE0" w:rsidRPr="00586272" w:rsidRDefault="00EF4BE0" w:rsidP="0092453B">
            <w:pPr>
              <w:spacing w:before="0" w:line="360" w:lineRule="auto"/>
              <w:rPr>
                <w:szCs w:val="22"/>
                <w:lang w:val="en-US"/>
              </w:rPr>
            </w:pPr>
          </w:p>
        </w:tc>
      </w:tr>
      <w:tr w:rsidR="00EF4BE0" w:rsidRPr="00586272" w14:paraId="225E852E" w14:textId="77777777" w:rsidTr="0092453B">
        <w:tblPrEx>
          <w:tblBorders>
            <w:insideV w:val="none" w:sz="0" w:space="0" w:color="auto"/>
          </w:tblBorders>
        </w:tblPrEx>
        <w:tc>
          <w:tcPr>
            <w:tcW w:w="3402" w:type="dxa"/>
          </w:tcPr>
          <w:p w14:paraId="05194EDC" w14:textId="77777777" w:rsidR="00EF4BE0" w:rsidRPr="00586272" w:rsidRDefault="00EF4BE0" w:rsidP="0092453B">
            <w:pPr>
              <w:spacing w:before="0" w:line="360" w:lineRule="auto"/>
              <w:rPr>
                <w:sz w:val="20"/>
                <w:lang w:val="en-US"/>
              </w:rPr>
            </w:pPr>
            <w:r w:rsidRPr="00586272">
              <w:rPr>
                <w:sz w:val="20"/>
                <w:lang w:val="en-US"/>
              </w:rPr>
              <w:t>Years of service</w:t>
            </w:r>
          </w:p>
        </w:tc>
        <w:tc>
          <w:tcPr>
            <w:tcW w:w="6242" w:type="dxa"/>
          </w:tcPr>
          <w:p w14:paraId="36F2F99B" w14:textId="77777777" w:rsidR="00EF4BE0" w:rsidRPr="00586272" w:rsidRDefault="00EF4BE0" w:rsidP="0092453B">
            <w:pPr>
              <w:spacing w:before="0" w:line="360" w:lineRule="auto"/>
              <w:rPr>
                <w:szCs w:val="22"/>
                <w:lang w:val="en-US"/>
              </w:rPr>
            </w:pPr>
          </w:p>
        </w:tc>
      </w:tr>
      <w:tr w:rsidR="00EF4BE0" w:rsidRPr="00586272" w14:paraId="5A155D81" w14:textId="77777777" w:rsidTr="0092453B">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1F27EF55" w14:textId="77777777" w:rsidR="00EF4BE0" w:rsidRPr="00586272" w:rsidRDefault="00EF4BE0" w:rsidP="0092453B">
            <w:pPr>
              <w:pageBreakBefore/>
              <w:spacing w:before="0"/>
              <w:jc w:val="center"/>
              <w:rPr>
                <w:i/>
                <w:iCs/>
                <w:color w:val="FFFFFF" w:themeColor="background1"/>
                <w:sz w:val="20"/>
                <w:lang w:val="en-US"/>
              </w:rPr>
            </w:pPr>
            <w:r w:rsidRPr="00586272">
              <w:rPr>
                <w:b/>
                <w:bCs/>
                <w:color w:val="FFFFFF" w:themeColor="background1"/>
                <w:sz w:val="20"/>
                <w:lang w:val="en-US"/>
              </w:rPr>
              <w:lastRenderedPageBreak/>
              <w:t xml:space="preserve">Brief description of your current functions </w:t>
            </w:r>
            <w:r w:rsidRPr="00586272">
              <w:rPr>
                <w:i/>
                <w:iCs/>
                <w:color w:val="FFFFFF" w:themeColor="background1"/>
                <w:sz w:val="20"/>
                <w:lang w:val="en-US"/>
              </w:rPr>
              <w:t>(add pages if necessary)</w:t>
            </w:r>
          </w:p>
        </w:tc>
      </w:tr>
      <w:tr w:rsidR="00EF4BE0" w:rsidRPr="00586272" w14:paraId="787E96C8" w14:textId="77777777" w:rsidTr="0092453B">
        <w:tblPrEx>
          <w:shd w:val="clear" w:color="auto" w:fill="auto"/>
        </w:tblPrEx>
        <w:tc>
          <w:tcPr>
            <w:tcW w:w="9644" w:type="dxa"/>
            <w:gridSpan w:val="2"/>
            <w:tcBorders>
              <w:top w:val="nil"/>
            </w:tcBorders>
          </w:tcPr>
          <w:p w14:paraId="00B0FE9A" w14:textId="77777777" w:rsidR="00EF4BE0" w:rsidRPr="00586272" w:rsidRDefault="00EF4BE0" w:rsidP="0092453B">
            <w:pPr>
              <w:spacing w:before="0"/>
              <w:rPr>
                <w:sz w:val="20"/>
                <w:lang w:val="en-US"/>
              </w:rPr>
            </w:pPr>
          </w:p>
          <w:p w14:paraId="2123FA2B" w14:textId="77777777" w:rsidR="00EF4BE0" w:rsidRPr="00586272" w:rsidRDefault="00EF4BE0" w:rsidP="0092453B">
            <w:pPr>
              <w:spacing w:before="0"/>
              <w:rPr>
                <w:sz w:val="20"/>
                <w:lang w:val="en-US"/>
              </w:rPr>
            </w:pPr>
          </w:p>
          <w:p w14:paraId="7C40FB24" w14:textId="77777777" w:rsidR="00EF4BE0" w:rsidRPr="00586272" w:rsidRDefault="00EF4BE0" w:rsidP="0092453B">
            <w:pPr>
              <w:spacing w:before="0"/>
              <w:rPr>
                <w:sz w:val="20"/>
                <w:lang w:val="en-US"/>
              </w:rPr>
            </w:pPr>
          </w:p>
          <w:p w14:paraId="63EF9045" w14:textId="77777777" w:rsidR="00EF4BE0" w:rsidRPr="00586272" w:rsidRDefault="00EF4BE0" w:rsidP="0092453B">
            <w:pPr>
              <w:spacing w:before="0"/>
              <w:jc w:val="center"/>
              <w:rPr>
                <w:sz w:val="20"/>
                <w:lang w:val="en-US"/>
              </w:rPr>
            </w:pPr>
          </w:p>
        </w:tc>
      </w:tr>
      <w:tr w:rsidR="00EF4BE0" w:rsidRPr="00586272" w14:paraId="53BBD341" w14:textId="77777777" w:rsidTr="0092453B">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2B6B7031" w14:textId="77777777" w:rsidR="00EF4BE0" w:rsidRPr="00586272" w:rsidRDefault="00EF4BE0" w:rsidP="0092453B">
            <w:pPr>
              <w:spacing w:before="0"/>
              <w:jc w:val="center"/>
              <w:rPr>
                <w:color w:val="FFFFFF" w:themeColor="background1"/>
                <w:sz w:val="20"/>
                <w:lang w:val="en-US"/>
              </w:rPr>
            </w:pPr>
            <w:r w:rsidRPr="00586272">
              <w:rPr>
                <w:b/>
                <w:bCs/>
                <w:color w:val="FFFFFF" w:themeColor="background1"/>
                <w:sz w:val="20"/>
                <w:lang w:val="en-US"/>
              </w:rPr>
              <w:t xml:space="preserve">Your experience in the field of the activity/event </w:t>
            </w:r>
            <w:r w:rsidRPr="00586272">
              <w:rPr>
                <w:i/>
                <w:iCs/>
                <w:color w:val="FFFFFF" w:themeColor="background1"/>
                <w:sz w:val="20"/>
                <w:lang w:val="en-US"/>
              </w:rPr>
              <w:t>(add pages if necessary)</w:t>
            </w:r>
          </w:p>
        </w:tc>
      </w:tr>
      <w:tr w:rsidR="00EF4BE0" w:rsidRPr="00586272" w14:paraId="10C61BE0" w14:textId="77777777" w:rsidTr="0092453B">
        <w:tblPrEx>
          <w:shd w:val="clear" w:color="auto" w:fill="auto"/>
        </w:tblPrEx>
        <w:tc>
          <w:tcPr>
            <w:tcW w:w="9644" w:type="dxa"/>
            <w:gridSpan w:val="2"/>
            <w:tcBorders>
              <w:top w:val="nil"/>
            </w:tcBorders>
          </w:tcPr>
          <w:p w14:paraId="67A43B14" w14:textId="77777777" w:rsidR="00EF4BE0" w:rsidRPr="00586272" w:rsidRDefault="00EF4BE0" w:rsidP="0092453B">
            <w:pPr>
              <w:spacing w:before="0"/>
              <w:rPr>
                <w:sz w:val="20"/>
                <w:lang w:val="en-US"/>
              </w:rPr>
            </w:pPr>
          </w:p>
          <w:p w14:paraId="227B5FA2" w14:textId="77777777" w:rsidR="00EF4BE0" w:rsidRPr="00586272" w:rsidRDefault="00EF4BE0" w:rsidP="0092453B">
            <w:pPr>
              <w:spacing w:before="0"/>
              <w:rPr>
                <w:sz w:val="20"/>
                <w:lang w:val="en-US"/>
              </w:rPr>
            </w:pPr>
          </w:p>
          <w:p w14:paraId="72109CDF" w14:textId="77777777" w:rsidR="00EF4BE0" w:rsidRPr="00586272" w:rsidRDefault="00EF4BE0" w:rsidP="0092453B">
            <w:pPr>
              <w:spacing w:before="0"/>
              <w:rPr>
                <w:sz w:val="20"/>
                <w:lang w:val="en-US"/>
              </w:rPr>
            </w:pPr>
          </w:p>
          <w:p w14:paraId="025EFABF" w14:textId="77777777" w:rsidR="00EF4BE0" w:rsidRPr="00586272" w:rsidRDefault="00EF4BE0" w:rsidP="0092453B">
            <w:pPr>
              <w:spacing w:before="0"/>
              <w:jc w:val="center"/>
              <w:rPr>
                <w:sz w:val="20"/>
                <w:lang w:val="en-US"/>
              </w:rPr>
            </w:pPr>
          </w:p>
        </w:tc>
      </w:tr>
      <w:tr w:rsidR="00EF4BE0" w:rsidRPr="00586272" w14:paraId="6B801B84" w14:textId="77777777" w:rsidTr="0092453B">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1B28137B" w14:textId="77777777" w:rsidR="00EF4BE0" w:rsidRPr="00586272" w:rsidRDefault="00EF4BE0" w:rsidP="0092453B">
            <w:pPr>
              <w:spacing w:before="0"/>
              <w:jc w:val="center"/>
              <w:rPr>
                <w:color w:val="FFFFFF" w:themeColor="background1"/>
                <w:sz w:val="20"/>
                <w:lang w:val="en-US"/>
              </w:rPr>
            </w:pPr>
            <w:r w:rsidRPr="00586272">
              <w:rPr>
                <w:b/>
                <w:bCs/>
                <w:color w:val="FFFFFF" w:themeColor="background1"/>
                <w:sz w:val="20"/>
                <w:lang w:val="en-US"/>
              </w:rPr>
              <w:t xml:space="preserve">Practical use of the knowledge upon return to your administration </w:t>
            </w:r>
            <w:r w:rsidRPr="00586272">
              <w:rPr>
                <w:i/>
                <w:iCs/>
                <w:color w:val="FFFFFF" w:themeColor="background1"/>
                <w:sz w:val="20"/>
                <w:lang w:val="en-US"/>
              </w:rPr>
              <w:t>(add pages if necessary)</w:t>
            </w:r>
          </w:p>
        </w:tc>
      </w:tr>
      <w:tr w:rsidR="00EF4BE0" w:rsidRPr="00586272" w14:paraId="59ACA3FC" w14:textId="77777777" w:rsidTr="0092453B">
        <w:tblPrEx>
          <w:shd w:val="clear" w:color="auto" w:fill="auto"/>
        </w:tblPrEx>
        <w:tc>
          <w:tcPr>
            <w:tcW w:w="9644" w:type="dxa"/>
            <w:gridSpan w:val="2"/>
            <w:tcBorders>
              <w:top w:val="nil"/>
              <w:bottom w:val="nil"/>
            </w:tcBorders>
          </w:tcPr>
          <w:p w14:paraId="2CAC7BE2" w14:textId="77777777" w:rsidR="00EF4BE0" w:rsidRPr="00586272" w:rsidRDefault="00EF4BE0" w:rsidP="0092453B">
            <w:pPr>
              <w:spacing w:before="0"/>
              <w:rPr>
                <w:sz w:val="20"/>
                <w:lang w:val="en-US"/>
              </w:rPr>
            </w:pPr>
          </w:p>
          <w:p w14:paraId="70195A5A" w14:textId="77777777" w:rsidR="00EF4BE0" w:rsidRPr="00586272" w:rsidRDefault="00EF4BE0" w:rsidP="0092453B">
            <w:pPr>
              <w:spacing w:before="0"/>
              <w:rPr>
                <w:sz w:val="20"/>
                <w:lang w:val="en-US"/>
              </w:rPr>
            </w:pPr>
          </w:p>
          <w:p w14:paraId="17AC12F4" w14:textId="77777777" w:rsidR="00EF4BE0" w:rsidRPr="00586272" w:rsidRDefault="00EF4BE0" w:rsidP="0092453B">
            <w:pPr>
              <w:spacing w:before="0"/>
              <w:rPr>
                <w:sz w:val="20"/>
                <w:lang w:val="en-US"/>
              </w:rPr>
            </w:pPr>
          </w:p>
          <w:p w14:paraId="3F5FCF9E" w14:textId="77777777" w:rsidR="00EF4BE0" w:rsidRPr="00586272" w:rsidRDefault="00EF4BE0" w:rsidP="0092453B">
            <w:pPr>
              <w:spacing w:before="0"/>
              <w:rPr>
                <w:sz w:val="20"/>
                <w:lang w:val="en-US"/>
              </w:rPr>
            </w:pPr>
          </w:p>
        </w:tc>
      </w:tr>
      <w:tr w:rsidR="00EF4BE0" w:rsidRPr="00586272" w14:paraId="10CA7A93" w14:textId="77777777" w:rsidTr="0092453B">
        <w:tblPrEx>
          <w:shd w:val="clear" w:color="auto" w:fill="auto"/>
        </w:tblPrEx>
        <w:tc>
          <w:tcPr>
            <w:tcW w:w="9644" w:type="dxa"/>
            <w:gridSpan w:val="2"/>
            <w:tcBorders>
              <w:top w:val="nil"/>
              <w:left w:val="single" w:sz="4" w:space="0" w:color="auto"/>
              <w:bottom w:val="nil"/>
              <w:right w:val="single" w:sz="4" w:space="0" w:color="auto"/>
            </w:tcBorders>
            <w:shd w:val="clear" w:color="auto" w:fill="A6A6A6" w:themeFill="background1" w:themeFillShade="A6"/>
          </w:tcPr>
          <w:p w14:paraId="4F1BCE3E" w14:textId="77777777" w:rsidR="00EF4BE0" w:rsidRPr="00586272" w:rsidRDefault="00EF4BE0" w:rsidP="0092453B">
            <w:pPr>
              <w:spacing w:before="0"/>
              <w:jc w:val="center"/>
              <w:rPr>
                <w:b/>
                <w:bCs/>
                <w:color w:val="FFFFFF" w:themeColor="background1"/>
                <w:sz w:val="20"/>
                <w:lang w:val="en-US"/>
              </w:rPr>
            </w:pPr>
            <w:r w:rsidRPr="00586272">
              <w:rPr>
                <w:b/>
                <w:bCs/>
                <w:color w:val="FFFFFF" w:themeColor="background1"/>
                <w:sz w:val="20"/>
                <w:lang w:val="en-US"/>
              </w:rPr>
              <w:t xml:space="preserve">Have you already benefited from fellowship(s) during the past year? </w:t>
            </w:r>
          </w:p>
          <w:p w14:paraId="78C3F63D" w14:textId="77777777" w:rsidR="00EF4BE0" w:rsidRPr="00586272" w:rsidRDefault="00EF4BE0" w:rsidP="0092453B">
            <w:pPr>
              <w:spacing w:before="0"/>
              <w:jc w:val="center"/>
              <w:rPr>
                <w:b/>
                <w:bCs/>
                <w:color w:val="FFFFFF" w:themeColor="background1"/>
                <w:sz w:val="20"/>
                <w:lang w:val="en-US"/>
              </w:rPr>
            </w:pPr>
            <w:r w:rsidRPr="00586272">
              <w:rPr>
                <w:b/>
                <w:bCs/>
                <w:color w:val="FFFFFF" w:themeColor="background1"/>
                <w:sz w:val="20"/>
                <w:lang w:val="en-US"/>
              </w:rPr>
              <w:t xml:space="preserve">If yes, please list each activity below </w:t>
            </w:r>
          </w:p>
        </w:tc>
      </w:tr>
      <w:tr w:rsidR="00EF4BE0" w:rsidRPr="00586272" w14:paraId="75DE9A33" w14:textId="77777777" w:rsidTr="0092453B">
        <w:tblPrEx>
          <w:shd w:val="clear" w:color="auto" w:fill="auto"/>
        </w:tblPrEx>
        <w:tc>
          <w:tcPr>
            <w:tcW w:w="9644" w:type="dxa"/>
            <w:gridSpan w:val="2"/>
            <w:tcBorders>
              <w:top w:val="nil"/>
            </w:tcBorders>
          </w:tcPr>
          <w:p w14:paraId="42CD08FB" w14:textId="77777777" w:rsidR="00EF4BE0" w:rsidRPr="00586272" w:rsidRDefault="00EF4BE0" w:rsidP="0092453B">
            <w:pPr>
              <w:spacing w:before="0"/>
              <w:rPr>
                <w:sz w:val="20"/>
                <w:lang w:val="en-US"/>
              </w:rPr>
            </w:pPr>
          </w:p>
          <w:p w14:paraId="4EDE6C22" w14:textId="77777777" w:rsidR="00EF4BE0" w:rsidRPr="00586272" w:rsidRDefault="00EF4BE0" w:rsidP="0092453B">
            <w:pPr>
              <w:spacing w:before="0"/>
              <w:rPr>
                <w:sz w:val="20"/>
                <w:lang w:val="en-US"/>
              </w:rPr>
            </w:pPr>
          </w:p>
          <w:p w14:paraId="45E74438" w14:textId="77777777" w:rsidR="00EF4BE0" w:rsidRPr="00586272" w:rsidRDefault="00EF4BE0" w:rsidP="0092453B">
            <w:pPr>
              <w:spacing w:before="0"/>
              <w:rPr>
                <w:sz w:val="20"/>
                <w:lang w:val="en-US"/>
              </w:rPr>
            </w:pPr>
          </w:p>
          <w:p w14:paraId="5430F973" w14:textId="77777777" w:rsidR="00EF4BE0" w:rsidRPr="00586272" w:rsidRDefault="00EF4BE0" w:rsidP="0092453B">
            <w:pPr>
              <w:spacing w:before="0"/>
              <w:rPr>
                <w:sz w:val="20"/>
                <w:lang w:val="en-US"/>
              </w:rPr>
            </w:pPr>
          </w:p>
        </w:tc>
      </w:tr>
    </w:tbl>
    <w:p w14:paraId="77CE862B" w14:textId="77777777" w:rsidR="00EF4BE0" w:rsidRPr="00586272" w:rsidRDefault="00EF4BE0" w:rsidP="00EF4BE0">
      <w:pPr>
        <w:spacing w:before="0"/>
        <w:rPr>
          <w:sz w:val="20"/>
          <w:lang w:val="en-US"/>
        </w:rPr>
      </w:pP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6066"/>
        <w:gridCol w:w="3577"/>
      </w:tblGrid>
      <w:tr w:rsidR="00EF4BE0" w:rsidRPr="00586272" w14:paraId="56124AAD" w14:textId="77777777" w:rsidTr="0092453B">
        <w:tc>
          <w:tcPr>
            <w:tcW w:w="9643" w:type="dxa"/>
            <w:gridSpan w:val="2"/>
            <w:tcBorders>
              <w:top w:val="single" w:sz="4" w:space="0" w:color="auto"/>
              <w:left w:val="single" w:sz="4" w:space="0" w:color="auto"/>
              <w:right w:val="single" w:sz="4" w:space="0" w:color="auto"/>
            </w:tcBorders>
            <w:shd w:val="clear" w:color="auto" w:fill="A6A6A6" w:themeFill="background1" w:themeFillShade="A6"/>
          </w:tcPr>
          <w:p w14:paraId="48FE1256" w14:textId="77777777" w:rsidR="00EF4BE0" w:rsidRPr="00586272" w:rsidRDefault="00EF4BE0" w:rsidP="0092453B">
            <w:pPr>
              <w:spacing w:before="0"/>
              <w:jc w:val="center"/>
              <w:rPr>
                <w:i/>
                <w:iCs/>
                <w:color w:val="FFFFFF" w:themeColor="background1"/>
                <w:sz w:val="20"/>
                <w:lang w:val="en-US"/>
              </w:rPr>
            </w:pPr>
            <w:r w:rsidRPr="00586272">
              <w:rPr>
                <w:b/>
                <w:bCs/>
                <w:color w:val="FFFFFF" w:themeColor="background1"/>
                <w:sz w:val="20"/>
                <w:lang w:val="en-US"/>
              </w:rPr>
              <w:t>Annex(es)</w:t>
            </w:r>
            <w:r w:rsidRPr="00586272">
              <w:rPr>
                <w:b/>
                <w:bCs/>
                <w:color w:val="FFFFFF" w:themeColor="background1"/>
                <w:sz w:val="20"/>
                <w:lang w:val="en-US"/>
              </w:rPr>
              <w:br/>
            </w:r>
            <w:r w:rsidRPr="00586272">
              <w:rPr>
                <w:i/>
                <w:iCs/>
                <w:color w:val="FFFFFF" w:themeColor="background1"/>
                <w:sz w:val="20"/>
                <w:lang w:val="en-US"/>
              </w:rPr>
              <w:t>(select the appropriate option(s) and indicate number of pages annexed)</w:t>
            </w:r>
          </w:p>
        </w:tc>
      </w:tr>
      <w:tr w:rsidR="00EF4BE0" w:rsidRPr="00586272" w14:paraId="7CAF10BD" w14:textId="77777777" w:rsidTr="0092453B">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Borders>
              <w:top w:val="nil"/>
            </w:tcBorders>
          </w:tcPr>
          <w:p w14:paraId="16C7BC19" w14:textId="77777777" w:rsidR="00EF4BE0" w:rsidRPr="00586272" w:rsidRDefault="00EF4BE0" w:rsidP="0092453B">
            <w:pPr>
              <w:spacing w:before="0" w:line="360" w:lineRule="auto"/>
              <w:rPr>
                <w:sz w:val="20"/>
                <w:lang w:val="en-US"/>
              </w:rPr>
            </w:pPr>
            <w:r w:rsidRPr="00586272">
              <w:rPr>
                <w:sz w:val="20"/>
                <w:lang w:val="en-US"/>
              </w:rPr>
              <w:t>Any document/information in direct relation with the application, if any</w:t>
            </w:r>
          </w:p>
        </w:tc>
        <w:tc>
          <w:tcPr>
            <w:tcW w:w="3577" w:type="dxa"/>
            <w:tcBorders>
              <w:top w:val="nil"/>
            </w:tcBorders>
          </w:tcPr>
          <w:p w14:paraId="0787B81E" w14:textId="77777777" w:rsidR="00EF4BE0" w:rsidRPr="00586272" w:rsidRDefault="00EF4BE0" w:rsidP="0092453B">
            <w:pPr>
              <w:spacing w:before="0" w:line="360" w:lineRule="auto"/>
              <w:rPr>
                <w:sz w:val="20"/>
                <w:lang w:val="en-US"/>
              </w:rPr>
            </w:pPr>
          </w:p>
        </w:tc>
      </w:tr>
      <w:tr w:rsidR="00EF4BE0" w:rsidRPr="00586272" w14:paraId="2B2CF095" w14:textId="77777777" w:rsidTr="0092453B">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6066" w:type="dxa"/>
          </w:tcPr>
          <w:p w14:paraId="63222B8D" w14:textId="77777777" w:rsidR="00EF4BE0" w:rsidRPr="00586272" w:rsidRDefault="00EF4BE0" w:rsidP="0092453B">
            <w:pPr>
              <w:spacing w:before="0" w:line="360" w:lineRule="auto"/>
              <w:rPr>
                <w:sz w:val="20"/>
                <w:lang w:val="en-US"/>
              </w:rPr>
            </w:pPr>
            <w:r w:rsidRPr="00586272">
              <w:rPr>
                <w:sz w:val="20"/>
                <w:lang w:val="en-US"/>
              </w:rPr>
              <w:t>CV, if any</w:t>
            </w:r>
          </w:p>
        </w:tc>
        <w:tc>
          <w:tcPr>
            <w:tcW w:w="3577" w:type="dxa"/>
          </w:tcPr>
          <w:p w14:paraId="30EDBB08" w14:textId="77777777" w:rsidR="00EF4BE0" w:rsidRPr="00586272" w:rsidRDefault="00EF4BE0" w:rsidP="0092453B">
            <w:pPr>
              <w:spacing w:before="0" w:line="360" w:lineRule="auto"/>
              <w:rPr>
                <w:sz w:val="20"/>
                <w:lang w:val="en-US"/>
              </w:rPr>
            </w:pPr>
          </w:p>
        </w:tc>
      </w:tr>
    </w:tbl>
    <w:p w14:paraId="76165353" w14:textId="77777777" w:rsidR="00EF4BE0" w:rsidRPr="00586272" w:rsidRDefault="00EF4BE0" w:rsidP="00EF4BE0">
      <w:pPr>
        <w:spacing w:before="0"/>
        <w:rPr>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629"/>
      </w:tblGrid>
      <w:tr w:rsidR="00EF4BE0" w:rsidRPr="00586272" w14:paraId="59BDB01E" w14:textId="77777777" w:rsidTr="0092453B">
        <w:tc>
          <w:tcPr>
            <w:tcW w:w="9643"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51879721" w14:textId="77777777" w:rsidR="00EF4BE0" w:rsidRPr="00586272" w:rsidRDefault="00EF4BE0" w:rsidP="0092453B">
            <w:pPr>
              <w:spacing w:before="0"/>
              <w:jc w:val="center"/>
              <w:rPr>
                <w:b/>
                <w:bCs/>
                <w:color w:val="FFFFFF" w:themeColor="background1"/>
                <w:sz w:val="20"/>
                <w:lang w:val="en-US"/>
              </w:rPr>
            </w:pPr>
            <w:r w:rsidRPr="00586272">
              <w:rPr>
                <w:b/>
                <w:bCs/>
                <w:color w:val="FFFFFF" w:themeColor="background1"/>
                <w:sz w:val="20"/>
                <w:lang w:val="en-US"/>
              </w:rPr>
              <w:t>Conditions</w:t>
            </w:r>
          </w:p>
        </w:tc>
      </w:tr>
      <w:tr w:rsidR="00EF4BE0" w:rsidRPr="00586272" w14:paraId="562E57C5" w14:textId="77777777" w:rsidTr="0092453B">
        <w:tblPrEx>
          <w:shd w:val="clear" w:color="auto" w:fill="A6A6A6" w:themeFill="background1" w:themeFillShade="A6"/>
        </w:tblPrEx>
        <w:tc>
          <w:tcPr>
            <w:tcW w:w="9643" w:type="dxa"/>
            <w:tcBorders>
              <w:top w:val="single" w:sz="4" w:space="0" w:color="auto"/>
              <w:left w:val="single" w:sz="4" w:space="0" w:color="auto"/>
              <w:right w:val="single" w:sz="4" w:space="0" w:color="auto"/>
            </w:tcBorders>
            <w:shd w:val="clear" w:color="auto" w:fill="A6A6A6" w:themeFill="background1" w:themeFillShade="A6"/>
          </w:tcPr>
          <w:p w14:paraId="5D1A54A6" w14:textId="77777777" w:rsidR="00EF4BE0" w:rsidRPr="00586272" w:rsidRDefault="00EF4BE0" w:rsidP="0092453B">
            <w:pPr>
              <w:spacing w:before="0"/>
              <w:jc w:val="center"/>
              <w:rPr>
                <w:b/>
                <w:bCs/>
                <w:color w:val="FFFFFF" w:themeColor="background1"/>
                <w:sz w:val="20"/>
                <w:lang w:val="en-US"/>
              </w:rPr>
            </w:pPr>
            <w:r w:rsidRPr="00586272">
              <w:rPr>
                <w:b/>
                <w:bCs/>
                <w:color w:val="FFFFFF" w:themeColor="background1"/>
                <w:sz w:val="20"/>
                <w:lang w:val="en-US"/>
              </w:rPr>
              <w:t>Criteria of selection</w:t>
            </w:r>
          </w:p>
        </w:tc>
      </w:tr>
      <w:tr w:rsidR="00EF4BE0" w:rsidRPr="00586272" w14:paraId="02137FAC" w14:textId="77777777" w:rsidTr="0092453B">
        <w:tblPrEx>
          <w:shd w:val="clear" w:color="auto" w:fill="A6A6A6" w:themeFill="background1" w:themeFillShade="A6"/>
        </w:tblPrEx>
        <w:tc>
          <w:tcPr>
            <w:tcW w:w="9643" w:type="dxa"/>
            <w:tcBorders>
              <w:left w:val="single" w:sz="4" w:space="0" w:color="auto"/>
              <w:bottom w:val="single" w:sz="4" w:space="0" w:color="auto"/>
              <w:right w:val="single" w:sz="4" w:space="0" w:color="auto"/>
            </w:tcBorders>
            <w:shd w:val="clear" w:color="auto" w:fill="auto"/>
          </w:tcPr>
          <w:p w14:paraId="4AE9F6E2" w14:textId="77777777" w:rsidR="00EF4BE0" w:rsidRPr="00586272" w:rsidRDefault="00EF4BE0" w:rsidP="0092453B">
            <w:pPr>
              <w:pStyle w:val="ListParagraph"/>
              <w:tabs>
                <w:tab w:val="clear" w:pos="1134"/>
                <w:tab w:val="clear" w:pos="1871"/>
                <w:tab w:val="clear" w:pos="2268"/>
              </w:tabs>
              <w:overflowPunct/>
              <w:autoSpaceDE/>
              <w:autoSpaceDN/>
              <w:adjustRightInd/>
              <w:spacing w:before="0"/>
              <w:ind w:left="318" w:hanging="284"/>
              <w:textAlignment w:val="auto"/>
              <w:rPr>
                <w:b/>
                <w:bCs/>
                <w:sz w:val="20"/>
                <w:lang w:val="en-US"/>
              </w:rPr>
            </w:pPr>
            <w:r w:rsidRPr="00586272">
              <w:rPr>
                <w:rFonts w:ascii="Symbol" w:hAnsi="Symbol"/>
                <w:bCs/>
                <w:sz w:val="20"/>
                <w:lang w:val="en-US"/>
              </w:rPr>
              <w:t></w:t>
            </w:r>
            <w:r w:rsidRPr="00586272">
              <w:rPr>
                <w:rFonts w:ascii="Symbol" w:hAnsi="Symbol"/>
                <w:bCs/>
                <w:sz w:val="20"/>
                <w:lang w:val="en-US"/>
              </w:rPr>
              <w:tab/>
            </w:r>
            <w:r w:rsidRPr="00586272">
              <w:rPr>
                <w:rFonts w:cstheme="minorHAnsi"/>
                <w:sz w:val="20"/>
                <w:lang w:val="en-US"/>
              </w:rPr>
              <w:t>Selection criteria are announced in the invitation letter;</w:t>
            </w:r>
          </w:p>
          <w:p w14:paraId="0CB11F89" w14:textId="77777777" w:rsidR="00EF4BE0" w:rsidRPr="00586272" w:rsidRDefault="00EF4BE0" w:rsidP="0092453B">
            <w:pPr>
              <w:pStyle w:val="ListParagraph"/>
              <w:tabs>
                <w:tab w:val="clear" w:pos="1134"/>
                <w:tab w:val="clear" w:pos="1871"/>
                <w:tab w:val="clear" w:pos="2268"/>
              </w:tabs>
              <w:overflowPunct/>
              <w:autoSpaceDE/>
              <w:autoSpaceDN/>
              <w:adjustRightInd/>
              <w:spacing w:before="0"/>
              <w:ind w:left="318" w:hanging="284"/>
              <w:textAlignment w:val="auto"/>
              <w:rPr>
                <w:b/>
                <w:bCs/>
                <w:sz w:val="20"/>
                <w:lang w:val="en-US"/>
              </w:rPr>
            </w:pPr>
            <w:r w:rsidRPr="00586272">
              <w:rPr>
                <w:rFonts w:ascii="Symbol" w:hAnsi="Symbol"/>
                <w:bCs/>
                <w:sz w:val="20"/>
                <w:lang w:val="en-US"/>
              </w:rPr>
              <w:t></w:t>
            </w:r>
            <w:r w:rsidRPr="00586272">
              <w:rPr>
                <w:rFonts w:ascii="Symbol" w:hAnsi="Symbol"/>
                <w:bCs/>
                <w:sz w:val="20"/>
                <w:lang w:val="en-US"/>
              </w:rPr>
              <w:tab/>
            </w:r>
            <w:r w:rsidRPr="00586272">
              <w:rPr>
                <w:rFonts w:cstheme="minorHAnsi"/>
                <w:sz w:val="20"/>
                <w:lang w:val="en-US"/>
              </w:rPr>
              <w:t>Fellowships will be awarded with a view to maintaining equitable geographical distribution, gender balance and the inclusion of participants with disabilities and with specific needs, within budgetary constraints.</w:t>
            </w:r>
          </w:p>
        </w:tc>
      </w:tr>
      <w:tr w:rsidR="00EF4BE0" w:rsidRPr="00586272" w14:paraId="76920B43" w14:textId="77777777" w:rsidTr="0092453B">
        <w:tblPrEx>
          <w:shd w:val="clear" w:color="auto" w:fill="A6A6A6" w:themeFill="background1" w:themeFillShade="A6"/>
        </w:tblPrEx>
        <w:tc>
          <w:tcPr>
            <w:tcW w:w="9643" w:type="dxa"/>
            <w:tcBorders>
              <w:top w:val="single" w:sz="4" w:space="0" w:color="auto"/>
              <w:left w:val="single" w:sz="4" w:space="0" w:color="auto"/>
              <w:right w:val="single" w:sz="4" w:space="0" w:color="auto"/>
            </w:tcBorders>
            <w:shd w:val="clear" w:color="auto" w:fill="A6A6A6" w:themeFill="background1" w:themeFillShade="A6"/>
          </w:tcPr>
          <w:p w14:paraId="4115A61A" w14:textId="77777777" w:rsidR="00EF4BE0" w:rsidRPr="00586272" w:rsidRDefault="00EF4BE0" w:rsidP="0092453B">
            <w:pPr>
              <w:spacing w:before="0"/>
              <w:jc w:val="center"/>
              <w:rPr>
                <w:b/>
                <w:bCs/>
                <w:color w:val="FFFFFF" w:themeColor="background1"/>
                <w:sz w:val="20"/>
                <w:lang w:val="en-US"/>
              </w:rPr>
            </w:pPr>
            <w:r w:rsidRPr="00586272">
              <w:rPr>
                <w:b/>
                <w:bCs/>
                <w:color w:val="FFFFFF" w:themeColor="background1"/>
                <w:sz w:val="20"/>
                <w:lang w:val="en-US"/>
              </w:rPr>
              <w:t>Composition of the fellowship</w:t>
            </w:r>
          </w:p>
        </w:tc>
      </w:tr>
      <w:tr w:rsidR="00EF4BE0" w:rsidRPr="00586272" w14:paraId="3F0F1F27" w14:textId="77777777" w:rsidTr="00924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bottom w:val="single" w:sz="4" w:space="0" w:color="auto"/>
            </w:tcBorders>
          </w:tcPr>
          <w:p w14:paraId="5BC6F5AF" w14:textId="77777777" w:rsidR="00EF4BE0" w:rsidRPr="00586272" w:rsidRDefault="00EF4BE0" w:rsidP="0092453B">
            <w:pPr>
              <w:pStyle w:val="ListParagraph"/>
              <w:tabs>
                <w:tab w:val="clear" w:pos="1134"/>
                <w:tab w:val="clear" w:pos="1871"/>
                <w:tab w:val="clear" w:pos="2268"/>
              </w:tabs>
              <w:overflowPunct/>
              <w:autoSpaceDE/>
              <w:autoSpaceDN/>
              <w:adjustRightInd/>
              <w:spacing w:before="40" w:after="40"/>
              <w:ind w:left="318" w:hanging="284"/>
              <w:jc w:val="both"/>
              <w:textAlignment w:val="auto"/>
              <w:rPr>
                <w:rFonts w:cstheme="minorHAnsi"/>
                <w:sz w:val="20"/>
                <w:lang w:val="en-US"/>
              </w:rPr>
            </w:pPr>
            <w:r w:rsidRPr="00586272">
              <w:rPr>
                <w:rFonts w:ascii="Symbol" w:hAnsi="Symbol" w:cstheme="minorHAnsi"/>
                <w:sz w:val="20"/>
                <w:lang w:val="en-US"/>
              </w:rPr>
              <w:t></w:t>
            </w:r>
            <w:r w:rsidRPr="00586272">
              <w:rPr>
                <w:rFonts w:ascii="Symbol" w:hAnsi="Symbol" w:cstheme="minorHAnsi"/>
                <w:sz w:val="20"/>
                <w:lang w:val="en-US"/>
              </w:rPr>
              <w:tab/>
            </w:r>
            <w:r w:rsidRPr="00586272">
              <w:rPr>
                <w:rFonts w:cstheme="minorHAnsi"/>
                <w:sz w:val="20"/>
                <w:lang w:val="en-US"/>
              </w:rPr>
              <w:t>Either one full (Air ticket + Appropriate daily subsistence allowance) or two partial fellowships per eligible country.</w:t>
            </w:r>
          </w:p>
          <w:p w14:paraId="7ACC2D96" w14:textId="77777777" w:rsidR="00EF4BE0" w:rsidRPr="00586272" w:rsidRDefault="00EF4BE0" w:rsidP="0092453B">
            <w:pPr>
              <w:pStyle w:val="ListParagraph"/>
              <w:tabs>
                <w:tab w:val="clear" w:pos="1134"/>
                <w:tab w:val="clear" w:pos="1871"/>
                <w:tab w:val="clear" w:pos="2268"/>
              </w:tabs>
              <w:overflowPunct/>
              <w:autoSpaceDE/>
              <w:autoSpaceDN/>
              <w:adjustRightInd/>
              <w:spacing w:before="40" w:after="40"/>
              <w:ind w:left="318" w:hanging="284"/>
              <w:jc w:val="both"/>
              <w:textAlignment w:val="auto"/>
              <w:rPr>
                <w:rFonts w:cstheme="minorHAnsi"/>
                <w:sz w:val="20"/>
                <w:lang w:val="en-US"/>
              </w:rPr>
            </w:pPr>
            <w:r w:rsidRPr="00586272">
              <w:rPr>
                <w:rFonts w:ascii="Symbol" w:hAnsi="Symbol" w:cstheme="minorHAnsi"/>
                <w:sz w:val="20"/>
                <w:lang w:val="en-US"/>
              </w:rPr>
              <w:t></w:t>
            </w:r>
            <w:r w:rsidRPr="00586272">
              <w:rPr>
                <w:rFonts w:ascii="Symbol" w:hAnsi="Symbol" w:cstheme="minorHAnsi"/>
                <w:sz w:val="20"/>
                <w:lang w:val="en-US"/>
              </w:rPr>
              <w:tab/>
            </w:r>
            <w:r w:rsidRPr="00586272">
              <w:rPr>
                <w:rFonts w:cstheme="minorHAnsi"/>
                <w:sz w:val="20"/>
                <w:lang w:val="en-US"/>
              </w:rPr>
              <w:t>For partial fellowships, please select your preference (</w:t>
            </w:r>
            <w:r w:rsidRPr="00586272">
              <w:rPr>
                <w:sz w:val="20"/>
                <w:lang w:val="en-US"/>
              </w:rPr>
              <w:t>In case of two partial fellowships, at least one should be the air ticket)</w:t>
            </w:r>
            <w:r w:rsidRPr="00586272">
              <w:rPr>
                <w:rFonts w:cstheme="minorHAnsi"/>
                <w:sz w:val="20"/>
                <w:lang w:val="en-US"/>
              </w:rPr>
              <w:t>:</w:t>
            </w:r>
          </w:p>
          <w:p w14:paraId="05FDCCBB" w14:textId="77777777" w:rsidR="00EF4BE0" w:rsidRPr="00586272" w:rsidRDefault="00EF4BE0" w:rsidP="0092453B">
            <w:pPr>
              <w:pStyle w:val="ListParagraph"/>
              <w:tabs>
                <w:tab w:val="clear" w:pos="1134"/>
                <w:tab w:val="clear" w:pos="1871"/>
                <w:tab w:val="clear" w:pos="2268"/>
              </w:tabs>
              <w:overflowPunct/>
              <w:autoSpaceDE/>
              <w:autoSpaceDN/>
              <w:adjustRightInd/>
              <w:spacing w:before="40" w:after="40"/>
              <w:ind w:left="599" w:hanging="360"/>
              <w:jc w:val="both"/>
              <w:textAlignment w:val="auto"/>
              <w:rPr>
                <w:rFonts w:cstheme="minorHAnsi"/>
                <w:sz w:val="20"/>
                <w:lang w:val="en-US"/>
              </w:rPr>
            </w:pPr>
            <w:r w:rsidRPr="00586272">
              <w:rPr>
                <w:rFonts w:ascii="Courier New" w:hAnsi="Courier New" w:cs="Courier New"/>
                <w:sz w:val="20"/>
                <w:lang w:val="en-US"/>
              </w:rPr>
              <w:t>o</w:t>
            </w:r>
            <w:r w:rsidRPr="00586272">
              <w:rPr>
                <w:rFonts w:ascii="Courier New" w:hAnsi="Courier New" w:cs="Courier New"/>
                <w:sz w:val="20"/>
                <w:lang w:val="en-US"/>
              </w:rPr>
              <w:tab/>
            </w:r>
            <w:r w:rsidRPr="00586272">
              <w:rPr>
                <w:sz w:val="20"/>
                <w:lang w:val="en-US"/>
              </w:rPr>
              <w:t>one return economy class ticket by the most direct/economical route from the country of origin to the meeting venue;</w:t>
            </w:r>
          </w:p>
          <w:p w14:paraId="74A3D183" w14:textId="77777777" w:rsidR="00EF4BE0" w:rsidRPr="00586272" w:rsidRDefault="00EF4BE0" w:rsidP="0092453B">
            <w:pPr>
              <w:pStyle w:val="ListParagraph"/>
              <w:tabs>
                <w:tab w:val="clear" w:pos="1134"/>
                <w:tab w:val="clear" w:pos="1871"/>
                <w:tab w:val="clear" w:pos="2268"/>
              </w:tabs>
              <w:overflowPunct/>
              <w:autoSpaceDE/>
              <w:autoSpaceDN/>
              <w:adjustRightInd/>
              <w:spacing w:before="40" w:after="40"/>
              <w:ind w:left="599" w:hanging="360"/>
              <w:jc w:val="both"/>
              <w:textAlignment w:val="auto"/>
              <w:rPr>
                <w:rFonts w:cstheme="minorHAnsi"/>
                <w:sz w:val="20"/>
                <w:lang w:val="en-US"/>
              </w:rPr>
            </w:pPr>
            <w:r w:rsidRPr="00586272">
              <w:rPr>
                <w:rFonts w:ascii="Courier New" w:hAnsi="Courier New" w:cs="Courier New"/>
                <w:sz w:val="20"/>
                <w:lang w:val="en-US"/>
              </w:rPr>
              <w:t>o</w:t>
            </w:r>
            <w:r w:rsidRPr="00586272">
              <w:rPr>
                <w:rFonts w:ascii="Courier New" w:hAnsi="Courier New" w:cs="Courier New"/>
                <w:sz w:val="20"/>
                <w:lang w:val="en-US"/>
              </w:rPr>
              <w:tab/>
            </w:r>
            <w:r w:rsidRPr="00586272">
              <w:rPr>
                <w:sz w:val="20"/>
                <w:lang w:val="en-US"/>
              </w:rPr>
              <w:t>appropriate daily subsistence allowance (intended to cover accommodation, meals and miscellaneous).</w:t>
            </w:r>
          </w:p>
          <w:p w14:paraId="4BA9758A" w14:textId="77777777" w:rsidR="00EF4BE0" w:rsidRPr="00586272" w:rsidRDefault="00EF4BE0" w:rsidP="0092453B">
            <w:pPr>
              <w:pStyle w:val="ListParagraph"/>
              <w:tabs>
                <w:tab w:val="clear" w:pos="1134"/>
                <w:tab w:val="clear" w:pos="1871"/>
                <w:tab w:val="clear" w:pos="2268"/>
              </w:tabs>
              <w:overflowPunct/>
              <w:autoSpaceDE/>
              <w:autoSpaceDN/>
              <w:adjustRightInd/>
              <w:spacing w:before="40" w:after="40"/>
              <w:ind w:left="318" w:hanging="284"/>
              <w:jc w:val="both"/>
              <w:textAlignment w:val="auto"/>
              <w:rPr>
                <w:sz w:val="20"/>
                <w:lang w:val="en-US"/>
              </w:rPr>
            </w:pPr>
            <w:r w:rsidRPr="00586272">
              <w:rPr>
                <w:rFonts w:ascii="Symbol" w:hAnsi="Symbol"/>
                <w:sz w:val="20"/>
                <w:lang w:val="en-US"/>
              </w:rPr>
              <w:t></w:t>
            </w:r>
            <w:r w:rsidRPr="00586272">
              <w:rPr>
                <w:rFonts w:ascii="Symbol" w:hAnsi="Symbol"/>
                <w:sz w:val="20"/>
                <w:lang w:val="en-US"/>
              </w:rPr>
              <w:tab/>
            </w:r>
            <w:r w:rsidRPr="00586272">
              <w:rPr>
                <w:rFonts w:cstheme="minorHAnsi"/>
                <w:sz w:val="20"/>
                <w:lang w:val="en-US"/>
              </w:rPr>
              <w:t>Any other expenses not included in the fellowship offer must be borne by the participant’s Administration.</w:t>
            </w:r>
          </w:p>
        </w:tc>
      </w:tr>
      <w:tr w:rsidR="00EF4BE0" w:rsidRPr="00586272" w14:paraId="0273DD05" w14:textId="77777777" w:rsidTr="0092453B">
        <w:tblPrEx>
          <w:shd w:val="clear" w:color="auto" w:fill="A6A6A6" w:themeFill="background1" w:themeFillShade="A6"/>
        </w:tblPrEx>
        <w:tc>
          <w:tcPr>
            <w:tcW w:w="9643" w:type="dxa"/>
            <w:tcBorders>
              <w:top w:val="single" w:sz="4" w:space="0" w:color="auto"/>
              <w:left w:val="single" w:sz="4" w:space="0" w:color="auto"/>
              <w:right w:val="single" w:sz="4" w:space="0" w:color="auto"/>
            </w:tcBorders>
            <w:shd w:val="clear" w:color="auto" w:fill="A6A6A6" w:themeFill="background1" w:themeFillShade="A6"/>
          </w:tcPr>
          <w:p w14:paraId="422AE3D9" w14:textId="77777777" w:rsidR="00EF4BE0" w:rsidRPr="00586272" w:rsidRDefault="00EF4BE0" w:rsidP="0092453B">
            <w:pPr>
              <w:spacing w:before="0"/>
              <w:rPr>
                <w:b/>
                <w:bCs/>
                <w:color w:val="FFFFFF" w:themeColor="background1"/>
                <w:sz w:val="20"/>
                <w:lang w:val="en-US"/>
              </w:rPr>
            </w:pPr>
            <w:r w:rsidRPr="00586272">
              <w:rPr>
                <w:b/>
                <w:bCs/>
                <w:color w:val="FFFFFF" w:themeColor="background1"/>
                <w:sz w:val="20"/>
                <w:lang w:val="en-US"/>
              </w:rPr>
              <w:t>I hereby certify that the statements made by me in this application are true and complete. If selected for a fellowship, I undertake to:</w:t>
            </w:r>
          </w:p>
        </w:tc>
      </w:tr>
      <w:tr w:rsidR="00EF4BE0" w:rsidRPr="00586272" w14:paraId="515992D5" w14:textId="77777777" w:rsidTr="00924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643" w:type="dxa"/>
            <w:tcBorders>
              <w:top w:val="nil"/>
            </w:tcBorders>
          </w:tcPr>
          <w:p w14:paraId="31F2AC7C" w14:textId="77777777" w:rsidR="00EF4BE0" w:rsidRPr="00586272" w:rsidRDefault="00EF4BE0" w:rsidP="0092453B">
            <w:pPr>
              <w:pStyle w:val="ListParagraph"/>
              <w:tabs>
                <w:tab w:val="clear" w:pos="1134"/>
                <w:tab w:val="clear" w:pos="1871"/>
                <w:tab w:val="clear" w:pos="2268"/>
              </w:tabs>
              <w:overflowPunct/>
              <w:autoSpaceDE/>
              <w:autoSpaceDN/>
              <w:adjustRightInd/>
              <w:spacing w:before="40" w:after="40"/>
              <w:ind w:left="318" w:hanging="318"/>
              <w:jc w:val="both"/>
              <w:textAlignment w:val="auto"/>
              <w:rPr>
                <w:sz w:val="20"/>
                <w:lang w:val="en-US"/>
              </w:rPr>
            </w:pPr>
            <w:r w:rsidRPr="00586272">
              <w:rPr>
                <w:rFonts w:ascii="Symbol" w:hAnsi="Symbol"/>
                <w:sz w:val="20"/>
                <w:lang w:val="en-US"/>
              </w:rPr>
              <w:t></w:t>
            </w:r>
            <w:r w:rsidRPr="00586272">
              <w:rPr>
                <w:rFonts w:ascii="Symbol" w:hAnsi="Symbol"/>
                <w:sz w:val="20"/>
                <w:lang w:val="en-US"/>
              </w:rPr>
              <w:tab/>
            </w:r>
            <w:r w:rsidRPr="00586272">
              <w:rPr>
                <w:rFonts w:cstheme="minorHAnsi"/>
                <w:sz w:val="20"/>
                <w:lang w:val="en-US"/>
              </w:rPr>
              <w:t>Attend the entire meeting;</w:t>
            </w:r>
          </w:p>
          <w:p w14:paraId="45CFD635" w14:textId="77777777" w:rsidR="00EF4BE0" w:rsidRPr="00586272" w:rsidRDefault="00EF4BE0" w:rsidP="0092453B">
            <w:pPr>
              <w:pStyle w:val="ListParagraph"/>
              <w:tabs>
                <w:tab w:val="clear" w:pos="1134"/>
                <w:tab w:val="clear" w:pos="1871"/>
                <w:tab w:val="clear" w:pos="2268"/>
              </w:tabs>
              <w:overflowPunct/>
              <w:autoSpaceDE/>
              <w:autoSpaceDN/>
              <w:adjustRightInd/>
              <w:spacing w:before="40" w:after="40"/>
              <w:ind w:left="318" w:hanging="318"/>
              <w:jc w:val="both"/>
              <w:textAlignment w:val="auto"/>
              <w:rPr>
                <w:sz w:val="20"/>
                <w:lang w:val="en-US"/>
              </w:rPr>
            </w:pPr>
            <w:r w:rsidRPr="00586272">
              <w:rPr>
                <w:rFonts w:ascii="Symbol" w:hAnsi="Symbol"/>
                <w:sz w:val="20"/>
                <w:lang w:val="en-US"/>
              </w:rPr>
              <w:t></w:t>
            </w:r>
            <w:r w:rsidRPr="00586272">
              <w:rPr>
                <w:rFonts w:ascii="Symbol" w:hAnsi="Symbol"/>
                <w:sz w:val="20"/>
                <w:lang w:val="en-US"/>
              </w:rPr>
              <w:tab/>
            </w:r>
            <w:r w:rsidRPr="00586272">
              <w:rPr>
                <w:rFonts w:cstheme="minorHAnsi"/>
                <w:sz w:val="20"/>
                <w:lang w:val="en-US"/>
              </w:rPr>
              <w:t>Inform ITU whenever there are changes in my availability that will affect the terms of my ITU award.</w:t>
            </w:r>
          </w:p>
        </w:tc>
      </w:tr>
    </w:tbl>
    <w:p w14:paraId="7462DE93" w14:textId="77777777" w:rsidR="00EF4BE0" w:rsidRPr="00586272" w:rsidRDefault="00EF4BE0" w:rsidP="00EF4BE0">
      <w:pPr>
        <w:spacing w:before="0"/>
        <w:rPr>
          <w:sz w:val="20"/>
          <w:lang w:val="en-US"/>
        </w:rPr>
      </w:pPr>
    </w:p>
    <w:tbl>
      <w:tblPr>
        <w:tblStyle w:val="TableGrid"/>
        <w:tblW w:w="9643" w:type="dxa"/>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3823"/>
        <w:gridCol w:w="5820"/>
      </w:tblGrid>
      <w:tr w:rsidR="00EF4BE0" w:rsidRPr="00586272" w14:paraId="2B906381" w14:textId="77777777" w:rsidTr="0092453B">
        <w:tc>
          <w:tcPr>
            <w:tcW w:w="9643" w:type="dxa"/>
            <w:gridSpan w:val="2"/>
            <w:tcBorders>
              <w:bottom w:val="nil"/>
            </w:tcBorders>
            <w:shd w:val="clear" w:color="auto" w:fill="A6A6A6" w:themeFill="background1" w:themeFillShade="A6"/>
          </w:tcPr>
          <w:p w14:paraId="1001AE82" w14:textId="77777777" w:rsidR="00EF4BE0" w:rsidRPr="00586272" w:rsidRDefault="00EF4BE0" w:rsidP="0092453B">
            <w:pPr>
              <w:spacing w:before="0"/>
              <w:rPr>
                <w:b/>
                <w:bCs/>
                <w:color w:val="FFFFFF" w:themeColor="background1"/>
                <w:sz w:val="20"/>
                <w:lang w:val="en-US"/>
              </w:rPr>
            </w:pPr>
            <w:r w:rsidRPr="00586272">
              <w:rPr>
                <w:b/>
                <w:bCs/>
                <w:color w:val="FFFFFF" w:themeColor="background1"/>
                <w:sz w:val="20"/>
                <w:lang w:val="en-US"/>
              </w:rPr>
              <w:t>In signing the form, both, the candidate and the approving officer certify that they have read the conditions and accept them in their entirety.</w:t>
            </w:r>
          </w:p>
        </w:tc>
      </w:tr>
      <w:tr w:rsidR="00EF4BE0" w:rsidRPr="00586272" w14:paraId="3A42CFDF" w14:textId="77777777" w:rsidTr="0092453B">
        <w:tblPrEx>
          <w:shd w:val="clear" w:color="auto" w:fill="auto"/>
        </w:tblPrEx>
        <w:tc>
          <w:tcPr>
            <w:tcW w:w="3823" w:type="dxa"/>
            <w:tcBorders>
              <w:top w:val="nil"/>
              <w:bottom w:val="single" w:sz="4" w:space="0" w:color="auto"/>
            </w:tcBorders>
          </w:tcPr>
          <w:p w14:paraId="5D462121" w14:textId="77777777" w:rsidR="00EF4BE0" w:rsidRPr="00586272" w:rsidRDefault="00EF4BE0" w:rsidP="0092453B">
            <w:pPr>
              <w:spacing w:before="0" w:line="360" w:lineRule="auto"/>
              <w:rPr>
                <w:sz w:val="20"/>
                <w:lang w:val="en-US"/>
              </w:rPr>
            </w:pPr>
            <w:r w:rsidRPr="00586272">
              <w:rPr>
                <w:sz w:val="20"/>
                <w:lang w:val="en-US"/>
              </w:rPr>
              <w:t>Date</w:t>
            </w:r>
          </w:p>
        </w:tc>
        <w:tc>
          <w:tcPr>
            <w:tcW w:w="5820" w:type="dxa"/>
            <w:tcBorders>
              <w:top w:val="nil"/>
              <w:bottom w:val="single" w:sz="4" w:space="0" w:color="auto"/>
            </w:tcBorders>
          </w:tcPr>
          <w:p w14:paraId="6671E3F3" w14:textId="77777777" w:rsidR="00EF4BE0" w:rsidRPr="00586272" w:rsidRDefault="00EF4BE0" w:rsidP="0092453B">
            <w:pPr>
              <w:spacing w:before="0" w:line="360" w:lineRule="auto"/>
              <w:rPr>
                <w:sz w:val="20"/>
                <w:lang w:val="en-US"/>
              </w:rPr>
            </w:pPr>
          </w:p>
        </w:tc>
      </w:tr>
      <w:tr w:rsidR="00EF4BE0" w:rsidRPr="00586272" w14:paraId="4EF71B5A" w14:textId="77777777" w:rsidTr="0092453B">
        <w:tblPrEx>
          <w:shd w:val="clear" w:color="auto" w:fill="auto"/>
        </w:tblPrEx>
        <w:tc>
          <w:tcPr>
            <w:tcW w:w="3823" w:type="dxa"/>
            <w:tcBorders>
              <w:top w:val="single" w:sz="4" w:space="0" w:color="auto"/>
            </w:tcBorders>
          </w:tcPr>
          <w:p w14:paraId="302D7BC0" w14:textId="77777777" w:rsidR="00EF4BE0" w:rsidRPr="00586272" w:rsidRDefault="00EF4BE0" w:rsidP="0092453B">
            <w:pPr>
              <w:spacing w:before="0" w:line="360" w:lineRule="auto"/>
              <w:rPr>
                <w:sz w:val="20"/>
                <w:lang w:val="en-US"/>
              </w:rPr>
            </w:pPr>
            <w:r w:rsidRPr="00586272">
              <w:rPr>
                <w:sz w:val="20"/>
                <w:lang w:val="en-US"/>
              </w:rPr>
              <w:t>Signature of the candidate</w:t>
            </w:r>
          </w:p>
        </w:tc>
        <w:tc>
          <w:tcPr>
            <w:tcW w:w="5820" w:type="dxa"/>
            <w:tcBorders>
              <w:top w:val="single" w:sz="4" w:space="0" w:color="auto"/>
            </w:tcBorders>
          </w:tcPr>
          <w:p w14:paraId="5BF13124" w14:textId="77777777" w:rsidR="00EF4BE0" w:rsidRPr="00586272" w:rsidRDefault="00EF4BE0" w:rsidP="0092453B">
            <w:pPr>
              <w:spacing w:before="0" w:line="360" w:lineRule="auto"/>
              <w:rPr>
                <w:sz w:val="20"/>
                <w:lang w:val="en-US"/>
              </w:rPr>
            </w:pPr>
          </w:p>
        </w:tc>
      </w:tr>
    </w:tbl>
    <w:p w14:paraId="78E12D66" w14:textId="77777777" w:rsidR="00EF4BE0" w:rsidRPr="00586272" w:rsidRDefault="00EF4BE0" w:rsidP="00EF4BE0">
      <w:pPr>
        <w:spacing w:before="0"/>
        <w:rPr>
          <w:sz w:val="20"/>
          <w:lang w:val="en-US"/>
        </w:rPr>
      </w:pPr>
    </w:p>
    <w:tbl>
      <w:tblPr>
        <w:tblStyle w:val="TableGrid"/>
        <w:tblW w:w="9643" w:type="dxa"/>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3823"/>
        <w:gridCol w:w="5820"/>
      </w:tblGrid>
      <w:tr w:rsidR="00EF4BE0" w:rsidRPr="00586272" w14:paraId="60699908" w14:textId="77777777" w:rsidTr="0092453B">
        <w:tc>
          <w:tcPr>
            <w:tcW w:w="9643" w:type="dxa"/>
            <w:gridSpan w:val="2"/>
            <w:tcBorders>
              <w:bottom w:val="nil"/>
            </w:tcBorders>
            <w:shd w:val="clear" w:color="auto" w:fill="A6A6A6" w:themeFill="background1" w:themeFillShade="A6"/>
          </w:tcPr>
          <w:p w14:paraId="71979CDC" w14:textId="77777777" w:rsidR="00EF4BE0" w:rsidRPr="00586272" w:rsidRDefault="00EF4BE0" w:rsidP="0092453B">
            <w:pPr>
              <w:keepNext/>
              <w:spacing w:before="0"/>
              <w:rPr>
                <w:b/>
                <w:bCs/>
                <w:color w:val="FFFFFF" w:themeColor="background1"/>
                <w:sz w:val="20"/>
                <w:lang w:val="en-US"/>
              </w:rPr>
            </w:pPr>
            <w:r w:rsidRPr="00586272">
              <w:rPr>
                <w:b/>
                <w:bCs/>
                <w:color w:val="FFFFFF" w:themeColor="background1"/>
                <w:sz w:val="20"/>
                <w:lang w:val="en-US"/>
              </w:rPr>
              <w:lastRenderedPageBreak/>
              <w:t>The fellowship candidature shall be considered valid only if submitted and duly signed by the national designated focal point of an administration of a Member State.</w:t>
            </w:r>
          </w:p>
        </w:tc>
      </w:tr>
      <w:tr w:rsidR="00EF4BE0" w:rsidRPr="00586272" w14:paraId="0CFE7C1C" w14:textId="77777777" w:rsidTr="0092453B">
        <w:tblPrEx>
          <w:shd w:val="clear" w:color="auto" w:fill="auto"/>
        </w:tblPrEx>
        <w:tc>
          <w:tcPr>
            <w:tcW w:w="3823" w:type="dxa"/>
            <w:tcBorders>
              <w:top w:val="nil"/>
              <w:bottom w:val="single" w:sz="4" w:space="0" w:color="auto"/>
            </w:tcBorders>
          </w:tcPr>
          <w:p w14:paraId="4E20C483" w14:textId="77777777" w:rsidR="00EF4BE0" w:rsidRPr="00586272" w:rsidRDefault="00EF4BE0" w:rsidP="0092453B">
            <w:pPr>
              <w:keepNext/>
              <w:spacing w:before="0" w:line="360" w:lineRule="auto"/>
              <w:rPr>
                <w:sz w:val="20"/>
                <w:lang w:val="en-US"/>
              </w:rPr>
            </w:pPr>
            <w:r w:rsidRPr="00586272">
              <w:rPr>
                <w:sz w:val="20"/>
                <w:lang w:val="en-US"/>
              </w:rPr>
              <w:t>Date</w:t>
            </w:r>
          </w:p>
        </w:tc>
        <w:tc>
          <w:tcPr>
            <w:tcW w:w="5820" w:type="dxa"/>
            <w:tcBorders>
              <w:top w:val="nil"/>
              <w:bottom w:val="single" w:sz="4" w:space="0" w:color="auto"/>
            </w:tcBorders>
          </w:tcPr>
          <w:p w14:paraId="5A1FB20D" w14:textId="77777777" w:rsidR="00EF4BE0" w:rsidRPr="00586272" w:rsidRDefault="00EF4BE0" w:rsidP="0092453B">
            <w:pPr>
              <w:keepNext/>
              <w:spacing w:before="0" w:line="360" w:lineRule="auto"/>
              <w:rPr>
                <w:sz w:val="20"/>
                <w:lang w:val="en-US"/>
              </w:rPr>
            </w:pPr>
          </w:p>
        </w:tc>
      </w:tr>
      <w:tr w:rsidR="00EF4BE0" w:rsidRPr="00586272" w14:paraId="50853B6B" w14:textId="77777777" w:rsidTr="0092453B">
        <w:tblPrEx>
          <w:shd w:val="clear" w:color="auto" w:fill="auto"/>
        </w:tblPrEx>
        <w:tc>
          <w:tcPr>
            <w:tcW w:w="3823" w:type="dxa"/>
            <w:tcBorders>
              <w:top w:val="single" w:sz="4" w:space="0" w:color="auto"/>
              <w:bottom w:val="single" w:sz="4" w:space="0" w:color="auto"/>
            </w:tcBorders>
          </w:tcPr>
          <w:p w14:paraId="19EBFA6B" w14:textId="77777777" w:rsidR="00EF4BE0" w:rsidRPr="00586272" w:rsidRDefault="00EF4BE0" w:rsidP="0092453B">
            <w:pPr>
              <w:keepNext/>
              <w:spacing w:before="0" w:line="360" w:lineRule="auto"/>
              <w:rPr>
                <w:sz w:val="20"/>
                <w:lang w:val="en-US"/>
              </w:rPr>
            </w:pPr>
            <w:r w:rsidRPr="00586272">
              <w:rPr>
                <w:sz w:val="20"/>
                <w:lang w:val="en-US"/>
              </w:rPr>
              <w:t>Name of the national designated focal point</w:t>
            </w:r>
          </w:p>
        </w:tc>
        <w:tc>
          <w:tcPr>
            <w:tcW w:w="5820" w:type="dxa"/>
            <w:tcBorders>
              <w:top w:val="single" w:sz="4" w:space="0" w:color="auto"/>
              <w:bottom w:val="single" w:sz="4" w:space="0" w:color="auto"/>
            </w:tcBorders>
          </w:tcPr>
          <w:p w14:paraId="0CF28FD9" w14:textId="77777777" w:rsidR="00EF4BE0" w:rsidRPr="00586272" w:rsidRDefault="00EF4BE0" w:rsidP="0092453B">
            <w:pPr>
              <w:keepNext/>
              <w:spacing w:before="0" w:line="360" w:lineRule="auto"/>
              <w:rPr>
                <w:sz w:val="20"/>
                <w:lang w:val="en-US"/>
              </w:rPr>
            </w:pPr>
          </w:p>
        </w:tc>
      </w:tr>
      <w:tr w:rsidR="00EF4BE0" w:rsidRPr="00586272" w14:paraId="1DD127BE" w14:textId="77777777" w:rsidTr="0092453B">
        <w:tblPrEx>
          <w:shd w:val="clear" w:color="auto" w:fill="auto"/>
        </w:tblPrEx>
        <w:tc>
          <w:tcPr>
            <w:tcW w:w="3823" w:type="dxa"/>
            <w:tcBorders>
              <w:top w:val="single" w:sz="4" w:space="0" w:color="auto"/>
              <w:bottom w:val="single" w:sz="4" w:space="0" w:color="auto"/>
            </w:tcBorders>
          </w:tcPr>
          <w:p w14:paraId="22454B91" w14:textId="77777777" w:rsidR="00EF4BE0" w:rsidRPr="00586272" w:rsidRDefault="00EF4BE0" w:rsidP="0092453B">
            <w:pPr>
              <w:keepNext/>
              <w:spacing w:before="0" w:line="360" w:lineRule="auto"/>
              <w:rPr>
                <w:sz w:val="20"/>
                <w:lang w:val="en-US"/>
              </w:rPr>
            </w:pPr>
            <w:r w:rsidRPr="00586272">
              <w:rPr>
                <w:sz w:val="20"/>
                <w:lang w:val="en-US"/>
              </w:rPr>
              <w:t>Job title</w:t>
            </w:r>
          </w:p>
        </w:tc>
        <w:tc>
          <w:tcPr>
            <w:tcW w:w="5820" w:type="dxa"/>
            <w:tcBorders>
              <w:top w:val="single" w:sz="4" w:space="0" w:color="auto"/>
              <w:bottom w:val="single" w:sz="4" w:space="0" w:color="auto"/>
            </w:tcBorders>
          </w:tcPr>
          <w:p w14:paraId="5770CF65" w14:textId="77777777" w:rsidR="00EF4BE0" w:rsidRPr="00586272" w:rsidRDefault="00EF4BE0" w:rsidP="0092453B">
            <w:pPr>
              <w:keepNext/>
              <w:spacing w:before="0" w:line="360" w:lineRule="auto"/>
              <w:rPr>
                <w:sz w:val="20"/>
                <w:lang w:val="en-US"/>
              </w:rPr>
            </w:pPr>
          </w:p>
        </w:tc>
      </w:tr>
      <w:tr w:rsidR="00EF4BE0" w:rsidRPr="00586272" w14:paraId="0E7CD43F" w14:textId="77777777" w:rsidTr="0092453B">
        <w:tblPrEx>
          <w:shd w:val="clear" w:color="auto" w:fill="auto"/>
        </w:tblPrEx>
        <w:tc>
          <w:tcPr>
            <w:tcW w:w="3823" w:type="dxa"/>
            <w:tcBorders>
              <w:top w:val="single" w:sz="4" w:space="0" w:color="auto"/>
              <w:bottom w:val="single" w:sz="4" w:space="0" w:color="auto"/>
            </w:tcBorders>
          </w:tcPr>
          <w:p w14:paraId="7BEE5386" w14:textId="77777777" w:rsidR="00EF4BE0" w:rsidRPr="00586272" w:rsidRDefault="00EF4BE0" w:rsidP="0092453B">
            <w:pPr>
              <w:keepNext/>
              <w:spacing w:before="0" w:line="360" w:lineRule="auto"/>
              <w:rPr>
                <w:sz w:val="20"/>
                <w:lang w:val="en-US"/>
              </w:rPr>
            </w:pPr>
            <w:r w:rsidRPr="00586272">
              <w:rPr>
                <w:sz w:val="20"/>
                <w:lang w:val="en-US"/>
              </w:rPr>
              <w:t>Signature</w:t>
            </w:r>
          </w:p>
        </w:tc>
        <w:tc>
          <w:tcPr>
            <w:tcW w:w="5820" w:type="dxa"/>
            <w:tcBorders>
              <w:top w:val="single" w:sz="4" w:space="0" w:color="auto"/>
              <w:bottom w:val="single" w:sz="4" w:space="0" w:color="auto"/>
            </w:tcBorders>
          </w:tcPr>
          <w:p w14:paraId="01074208" w14:textId="77777777" w:rsidR="00EF4BE0" w:rsidRPr="00586272" w:rsidRDefault="00EF4BE0" w:rsidP="0092453B">
            <w:pPr>
              <w:keepNext/>
              <w:spacing w:before="0" w:line="360" w:lineRule="auto"/>
              <w:rPr>
                <w:sz w:val="20"/>
                <w:lang w:val="en-US"/>
              </w:rPr>
            </w:pPr>
          </w:p>
        </w:tc>
      </w:tr>
      <w:tr w:rsidR="00EF4BE0" w:rsidRPr="00586272" w14:paraId="221EA8DB" w14:textId="77777777" w:rsidTr="0092453B">
        <w:tblPrEx>
          <w:shd w:val="clear" w:color="auto" w:fill="auto"/>
        </w:tblPrEx>
        <w:tc>
          <w:tcPr>
            <w:tcW w:w="3823" w:type="dxa"/>
            <w:tcBorders>
              <w:top w:val="single" w:sz="4" w:space="0" w:color="auto"/>
            </w:tcBorders>
          </w:tcPr>
          <w:p w14:paraId="65E73639" w14:textId="77777777" w:rsidR="00EF4BE0" w:rsidRPr="00586272" w:rsidRDefault="00EF4BE0" w:rsidP="0092453B">
            <w:pPr>
              <w:spacing w:before="0" w:line="360" w:lineRule="auto"/>
              <w:rPr>
                <w:sz w:val="20"/>
                <w:lang w:val="en-US"/>
              </w:rPr>
            </w:pPr>
            <w:r w:rsidRPr="00586272">
              <w:rPr>
                <w:sz w:val="20"/>
                <w:lang w:val="en-US"/>
              </w:rPr>
              <w:t>Stamp of the administration</w:t>
            </w:r>
          </w:p>
        </w:tc>
        <w:tc>
          <w:tcPr>
            <w:tcW w:w="5820" w:type="dxa"/>
            <w:tcBorders>
              <w:top w:val="single" w:sz="4" w:space="0" w:color="auto"/>
            </w:tcBorders>
          </w:tcPr>
          <w:p w14:paraId="72181D08" w14:textId="77777777" w:rsidR="00EF4BE0" w:rsidRPr="00586272" w:rsidRDefault="00EF4BE0" w:rsidP="0092453B">
            <w:pPr>
              <w:spacing w:before="0" w:line="360" w:lineRule="auto"/>
              <w:rPr>
                <w:sz w:val="20"/>
                <w:lang w:val="en-US"/>
              </w:rPr>
            </w:pPr>
          </w:p>
        </w:tc>
      </w:tr>
    </w:tbl>
    <w:p w14:paraId="0D40913C" w14:textId="77777777" w:rsidR="00EF4BE0" w:rsidRPr="00586272" w:rsidRDefault="00EF4BE0" w:rsidP="00EF4BE0">
      <w:pPr>
        <w:spacing w:before="0"/>
        <w:rPr>
          <w:sz w:val="20"/>
          <w:lang w:val="en-US"/>
        </w:rPr>
      </w:pPr>
    </w:p>
    <w:tbl>
      <w:tblPr>
        <w:tblStyle w:val="TableGrid"/>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29"/>
      </w:tblGrid>
      <w:tr w:rsidR="00EF4BE0" w:rsidRPr="00586272" w14:paraId="6BC117D1" w14:textId="77777777" w:rsidTr="0092453B">
        <w:tc>
          <w:tcPr>
            <w:tcW w:w="9643" w:type="dxa"/>
            <w:shd w:val="clear" w:color="auto" w:fill="A6A6A6" w:themeFill="background1" w:themeFillShade="A6"/>
          </w:tcPr>
          <w:p w14:paraId="01105CB4" w14:textId="77777777" w:rsidR="00EF4BE0" w:rsidRPr="00586272" w:rsidRDefault="00EF4BE0" w:rsidP="0092453B">
            <w:pPr>
              <w:spacing w:before="0"/>
              <w:rPr>
                <w:b/>
                <w:bCs/>
                <w:color w:val="FFFFFF" w:themeColor="background1"/>
                <w:szCs w:val="22"/>
                <w:lang w:val="en-US"/>
              </w:rPr>
            </w:pPr>
            <w:r w:rsidRPr="00586272">
              <w:rPr>
                <w:b/>
                <w:bCs/>
                <w:i/>
                <w:iCs/>
                <w:color w:val="FFFFFF" w:themeColor="background1"/>
                <w:sz w:val="18"/>
                <w:szCs w:val="18"/>
                <w:lang w:val="en-US"/>
              </w:rPr>
              <w:t>The form must be duly completed and validated by the relevant authority and must be returned together with any annexes within the established deadline, to</w:t>
            </w:r>
          </w:p>
        </w:tc>
      </w:tr>
      <w:tr w:rsidR="00EF4BE0" w:rsidRPr="00586272" w14:paraId="5B953A3F" w14:textId="77777777" w:rsidTr="0092453B">
        <w:tc>
          <w:tcPr>
            <w:tcW w:w="9643" w:type="dxa"/>
            <w:shd w:val="clear" w:color="auto" w:fill="A6A6A6" w:themeFill="background1" w:themeFillShade="A6"/>
          </w:tcPr>
          <w:p w14:paraId="69BB9021" w14:textId="77777777" w:rsidR="00EF4BE0" w:rsidRPr="00586272" w:rsidRDefault="00F062FE" w:rsidP="0092453B">
            <w:pPr>
              <w:spacing w:before="0"/>
              <w:jc w:val="center"/>
              <w:rPr>
                <w:b/>
                <w:bCs/>
                <w:color w:val="FFFFFF" w:themeColor="background1"/>
                <w:sz w:val="18"/>
                <w:szCs w:val="18"/>
                <w:lang w:val="en-US"/>
              </w:rPr>
            </w:pPr>
            <w:hyperlink r:id="rId43" w:history="1">
              <w:r w:rsidR="00EF4BE0" w:rsidRPr="00586272">
                <w:rPr>
                  <w:rStyle w:val="Hyperlink"/>
                  <w:rFonts w:cs="Traditional Arabic"/>
                  <w:b/>
                  <w:bCs/>
                  <w:i/>
                  <w:iCs/>
                  <w:color w:val="0070C0"/>
                  <w:sz w:val="18"/>
                  <w:szCs w:val="18"/>
                  <w:lang w:val="en-US"/>
                </w:rPr>
                <w:t>fellowships@itu.int</w:t>
              </w:r>
            </w:hyperlink>
            <w:r w:rsidR="00EF4BE0" w:rsidRPr="00586272">
              <w:rPr>
                <w:b/>
                <w:bCs/>
                <w:i/>
                <w:iCs/>
                <w:color w:val="0070C0"/>
                <w:sz w:val="18"/>
                <w:szCs w:val="18"/>
                <w:lang w:val="en-US"/>
              </w:rPr>
              <w:t xml:space="preserve"> or by fax +41 22 730 57 78</w:t>
            </w:r>
          </w:p>
        </w:tc>
      </w:tr>
      <w:tr w:rsidR="00EF4BE0" w:rsidRPr="00586272" w14:paraId="1E4AD9F0" w14:textId="77777777" w:rsidTr="0092453B">
        <w:tc>
          <w:tcPr>
            <w:tcW w:w="9643" w:type="dxa"/>
            <w:shd w:val="clear" w:color="auto" w:fill="A6A6A6" w:themeFill="background1" w:themeFillShade="A6"/>
          </w:tcPr>
          <w:p w14:paraId="06E8712F" w14:textId="77777777" w:rsidR="00EF4BE0" w:rsidRPr="00586272" w:rsidRDefault="00EF4BE0" w:rsidP="0092453B">
            <w:pPr>
              <w:spacing w:before="0"/>
              <w:rPr>
                <w:rStyle w:val="Hyperlink"/>
                <w:rFonts w:cs="Traditional Arabic"/>
                <w:b/>
                <w:bCs/>
                <w:i/>
                <w:iCs/>
                <w:color w:val="0070C0"/>
                <w:szCs w:val="24"/>
                <w:lang w:val="en-US"/>
              </w:rPr>
            </w:pPr>
            <w:r w:rsidRPr="00586272">
              <w:rPr>
                <w:b/>
                <w:bCs/>
                <w:i/>
                <w:iCs/>
                <w:color w:val="FFFFFF" w:themeColor="background1"/>
                <w:sz w:val="18"/>
                <w:szCs w:val="18"/>
                <w:lang w:val="en-US"/>
              </w:rPr>
              <w:t>Any request which does meet the above requirements will not be considered.</w:t>
            </w:r>
          </w:p>
        </w:tc>
      </w:tr>
    </w:tbl>
    <w:p w14:paraId="38979911" w14:textId="77777777" w:rsidR="00EF4BE0" w:rsidRPr="00586272" w:rsidRDefault="00EF4BE0" w:rsidP="00EF4BE0">
      <w:pPr>
        <w:pStyle w:val="LetterStart"/>
        <w:pageBreakBefore/>
        <w:tabs>
          <w:tab w:val="clear" w:pos="1361"/>
          <w:tab w:val="clear" w:pos="1758"/>
          <w:tab w:val="clear" w:pos="2155"/>
          <w:tab w:val="clear" w:pos="2552"/>
          <w:tab w:val="center" w:pos="4962"/>
        </w:tabs>
        <w:spacing w:before="120"/>
        <w:ind w:left="0"/>
        <w:jc w:val="center"/>
        <w:rPr>
          <w:lang w:val="en-US"/>
        </w:rPr>
      </w:pPr>
      <w:r w:rsidRPr="00586272">
        <w:rPr>
          <w:lang w:val="en-US"/>
        </w:rPr>
        <w:lastRenderedPageBreak/>
        <w:t>ANNEX 4</w:t>
      </w:r>
      <w:r w:rsidRPr="00586272">
        <w:rPr>
          <w:lang w:val="en-US"/>
        </w:rPr>
        <w:br/>
        <w:t>(To TSB Circular 203)</w:t>
      </w:r>
    </w:p>
    <w:p w14:paraId="2AD7E297" w14:textId="77777777" w:rsidR="00EF4BE0" w:rsidRPr="00586272" w:rsidRDefault="00EF4BE0" w:rsidP="00EF4BE0">
      <w:pPr>
        <w:pStyle w:val="LetterStart"/>
        <w:tabs>
          <w:tab w:val="clear" w:pos="1361"/>
          <w:tab w:val="clear" w:pos="1758"/>
          <w:tab w:val="clear" w:pos="2155"/>
          <w:tab w:val="clear" w:pos="2552"/>
          <w:tab w:val="center" w:pos="4962"/>
        </w:tabs>
        <w:spacing w:before="0"/>
        <w:ind w:left="0"/>
        <w:jc w:val="center"/>
        <w:rPr>
          <w:lang w:val="en-US"/>
        </w:rPr>
      </w:pP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separate"/>
      </w:r>
      <w:r w:rsidRPr="00586272">
        <w:rPr>
          <w:color w:val="0000FF"/>
          <w:lang w:val="en-US"/>
        </w:rPr>
        <w:fldChar w:fldCharType="begin"/>
      </w:r>
      <w:r w:rsidRPr="00586272">
        <w:rPr>
          <w:color w:val="0000FF"/>
          <w:lang w:val="en-US"/>
        </w:rPr>
        <w:instrText xml:space="preserve"> INCLUDEPICTURE  "cid:1730ea4366b4cff311" \* MERGEFORMATINET </w:instrText>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r w:rsidRPr="00586272">
        <w:rPr>
          <w:color w:val="0000FF"/>
          <w:lang w:val="en-US"/>
        </w:rPr>
        <w:fldChar w:fldCharType="end"/>
      </w:r>
    </w:p>
    <w:tbl>
      <w:tblPr>
        <w:tblW w:w="9889" w:type="dxa"/>
        <w:jc w:val="center"/>
        <w:tblLayout w:type="fixed"/>
        <w:tblLook w:val="00A0" w:firstRow="1" w:lastRow="0" w:firstColumn="1" w:lastColumn="0" w:noHBand="0" w:noVBand="0"/>
      </w:tblPr>
      <w:tblGrid>
        <w:gridCol w:w="136"/>
        <w:gridCol w:w="1565"/>
        <w:gridCol w:w="1701"/>
        <w:gridCol w:w="6204"/>
        <w:gridCol w:w="283"/>
      </w:tblGrid>
      <w:tr w:rsidR="00EF4BE0" w:rsidRPr="00586272" w14:paraId="67DC6FA8" w14:textId="77777777" w:rsidTr="0092453B">
        <w:trPr>
          <w:jc w:val="center"/>
        </w:trPr>
        <w:tc>
          <w:tcPr>
            <w:tcW w:w="9889" w:type="dxa"/>
            <w:gridSpan w:val="5"/>
            <w:tcMar>
              <w:top w:w="142" w:type="dxa"/>
              <w:bottom w:w="142" w:type="dxa"/>
            </w:tcMar>
          </w:tcPr>
          <w:tbl>
            <w:tblPr>
              <w:tblW w:w="0" w:type="auto"/>
              <w:tblLayout w:type="fixed"/>
              <w:tblLook w:val="04A0" w:firstRow="1" w:lastRow="0" w:firstColumn="1" w:lastColumn="0" w:noHBand="0" w:noVBand="1"/>
            </w:tblPr>
            <w:tblGrid>
              <w:gridCol w:w="9643"/>
            </w:tblGrid>
            <w:tr w:rsidR="00EF4BE0" w:rsidRPr="00586272" w14:paraId="5C0BBEA8" w14:textId="77777777" w:rsidTr="0092453B">
              <w:tc>
                <w:tcPr>
                  <w:tcW w:w="9643" w:type="dxa"/>
                  <w:shd w:val="clear" w:color="auto" w:fill="auto"/>
                  <w:vAlign w:val="center"/>
                </w:tcPr>
                <w:p w14:paraId="371C8449" w14:textId="77777777" w:rsidR="00EF4BE0" w:rsidRPr="00586272" w:rsidRDefault="00EF4BE0" w:rsidP="0092453B">
                  <w:pPr>
                    <w:spacing w:before="0"/>
                    <w:jc w:val="center"/>
                    <w:rPr>
                      <w:rFonts w:ascii="Calibri" w:hAnsi="Calibri" w:cs="Calibri"/>
                      <w:i/>
                      <w:iCs/>
                      <w:smallCaps/>
                      <w:sz w:val="18"/>
                      <w:szCs w:val="18"/>
                      <w:lang w:val="en-US"/>
                    </w:rPr>
                  </w:pPr>
                  <w:r w:rsidRPr="00586272">
                    <w:rPr>
                      <w:rFonts w:ascii="Calibri" w:hAnsi="Calibri" w:cs="Calibri"/>
                      <w:b/>
                      <w:bCs/>
                      <w:smallCaps/>
                      <w:sz w:val="32"/>
                      <w:szCs w:val="32"/>
                      <w:lang w:val="en-US"/>
                    </w:rPr>
                    <w:t>Application form for an e-fellowship</w:t>
                  </w:r>
                </w:p>
              </w:tc>
            </w:tr>
            <w:tr w:rsidR="00EF4BE0" w:rsidRPr="00586272" w14:paraId="525496AC" w14:textId="77777777" w:rsidTr="00924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643" w:type="dxa"/>
                  <w:tcBorders>
                    <w:top w:val="nil"/>
                    <w:left w:val="nil"/>
                    <w:bottom w:val="nil"/>
                    <w:right w:val="nil"/>
                  </w:tcBorders>
                  <w:shd w:val="clear" w:color="auto" w:fill="auto"/>
                </w:tcPr>
                <w:p w14:paraId="499E2093" w14:textId="77777777" w:rsidR="00EF4BE0" w:rsidRPr="00586272" w:rsidRDefault="00EF4BE0" w:rsidP="0092453B">
                  <w:pPr>
                    <w:jc w:val="center"/>
                    <w:rPr>
                      <w:rFonts w:ascii="Calibri" w:hAnsi="Calibri" w:cs="Calibri"/>
                      <w:szCs w:val="22"/>
                      <w:lang w:val="en-US"/>
                    </w:rPr>
                  </w:pPr>
                  <w:r w:rsidRPr="00586272">
                    <w:rPr>
                      <w:rFonts w:ascii="Calibri" w:hAnsi="Calibri" w:cs="Calibri"/>
                      <w:i/>
                      <w:iCs/>
                      <w:szCs w:val="24"/>
                      <w:lang w:val="en-US"/>
                    </w:rPr>
                    <w:t>Participation of women is encouraged</w:t>
                  </w:r>
                </w:p>
              </w:tc>
            </w:tr>
            <w:tr w:rsidR="00EF4BE0" w:rsidRPr="00586272" w14:paraId="55C25FD9" w14:textId="77777777" w:rsidTr="0092453B">
              <w:tc>
                <w:tcPr>
                  <w:tcW w:w="9643" w:type="dxa"/>
                  <w:shd w:val="clear" w:color="auto" w:fill="auto"/>
                </w:tcPr>
                <w:p w14:paraId="12251436" w14:textId="77777777" w:rsidR="00EF4BE0" w:rsidRPr="00586272" w:rsidRDefault="00EF4BE0" w:rsidP="0092453B">
                  <w:pPr>
                    <w:jc w:val="center"/>
                    <w:rPr>
                      <w:rFonts w:ascii="Univers (W1)" w:eastAsia="SimSun" w:hAnsi="Univers (W1)" w:cs="Segoe UI"/>
                      <w:b/>
                      <w:bCs/>
                      <w:color w:val="000000"/>
                      <w:szCs w:val="24"/>
                      <w:lang w:val="en-US"/>
                    </w:rPr>
                  </w:pPr>
                  <w:r w:rsidRPr="00586272">
                    <w:rPr>
                      <w:rFonts w:ascii="Univers (W1)" w:eastAsia="SimSun" w:hAnsi="Univers (W1)" w:cs="Segoe UI"/>
                      <w:b/>
                      <w:bCs/>
                      <w:color w:val="000000"/>
                      <w:szCs w:val="24"/>
                      <w:lang w:val="en-US"/>
                    </w:rPr>
                    <w:t>Global Standards Symposium &amp;</w:t>
                  </w:r>
                </w:p>
                <w:p w14:paraId="33851949" w14:textId="77777777" w:rsidR="00EF4BE0" w:rsidRPr="00586272" w:rsidRDefault="00EF4BE0" w:rsidP="0092453B">
                  <w:pPr>
                    <w:spacing w:before="0"/>
                    <w:jc w:val="center"/>
                    <w:rPr>
                      <w:rFonts w:ascii="Univers (W1)" w:eastAsia="SimSun" w:hAnsi="Univers (W1)" w:cs="Segoe UI"/>
                      <w:b/>
                      <w:bCs/>
                      <w:color w:val="000000"/>
                      <w:szCs w:val="24"/>
                      <w:lang w:val="en-US"/>
                    </w:rPr>
                  </w:pPr>
                  <w:r w:rsidRPr="00586272">
                    <w:rPr>
                      <w:rFonts w:ascii="Univers (W1)" w:eastAsia="SimSun" w:hAnsi="Univers (W1)" w:cs="Segoe UI"/>
                      <w:b/>
                      <w:bCs/>
                      <w:color w:val="000000"/>
                      <w:szCs w:val="24"/>
                      <w:lang w:val="en-US"/>
                    </w:rPr>
                    <w:t>World Telecommunication Standardization Assembly</w:t>
                  </w:r>
                </w:p>
                <w:p w14:paraId="1427CBCE" w14:textId="77777777" w:rsidR="00EF4BE0" w:rsidRPr="00586272" w:rsidRDefault="00EF4BE0" w:rsidP="0092453B">
                  <w:pPr>
                    <w:spacing w:before="0"/>
                    <w:jc w:val="center"/>
                    <w:rPr>
                      <w:rFonts w:ascii="Univers (W1)" w:eastAsia="SimSun" w:hAnsi="Univers (W1)" w:cs="Segoe UI"/>
                      <w:b/>
                      <w:bCs/>
                      <w:color w:val="000000"/>
                      <w:szCs w:val="24"/>
                      <w:lang w:val="en-US"/>
                    </w:rPr>
                  </w:pPr>
                  <w:r w:rsidRPr="00586272">
                    <w:rPr>
                      <w:rFonts w:ascii="Univers (W1)" w:eastAsia="SimSun" w:hAnsi="Univers (W1)" w:cs="Segoe UI"/>
                      <w:b/>
                      <w:bCs/>
                      <w:color w:val="000000"/>
                      <w:szCs w:val="24"/>
                      <w:lang w:val="en-US"/>
                    </w:rPr>
                    <w:t>Geneva, Switzerland, 28 February and 1–9 March 2022</w:t>
                  </w:r>
                </w:p>
              </w:tc>
            </w:tr>
            <w:tr w:rsidR="00EF4BE0" w:rsidRPr="00586272" w14:paraId="17441981" w14:textId="77777777" w:rsidTr="0092453B">
              <w:tc>
                <w:tcPr>
                  <w:tcW w:w="9643" w:type="dxa"/>
                  <w:shd w:val="clear" w:color="auto" w:fill="auto"/>
                </w:tcPr>
                <w:p w14:paraId="1CE3E2A6" w14:textId="77777777" w:rsidR="00EF4BE0" w:rsidRPr="00586272" w:rsidRDefault="00EF4BE0" w:rsidP="0092453B">
                  <w:pPr>
                    <w:jc w:val="center"/>
                    <w:rPr>
                      <w:rFonts w:ascii="Calibri" w:hAnsi="Calibri" w:cs="Calibri"/>
                      <w:szCs w:val="22"/>
                      <w:lang w:val="en-US"/>
                    </w:rPr>
                  </w:pPr>
                  <w:r w:rsidRPr="00586272">
                    <w:rPr>
                      <w:rFonts w:ascii="Calibri" w:hAnsi="Calibri" w:cs="Calibri"/>
                      <w:szCs w:val="22"/>
                      <w:lang w:val="en-US"/>
                    </w:rPr>
                    <w:t xml:space="preserve">Deadline: </w:t>
                  </w:r>
                  <w:r w:rsidRPr="00586272">
                    <w:rPr>
                      <w:rFonts w:ascii="Calibri" w:hAnsi="Calibri" w:cs="Calibri"/>
                      <w:b/>
                      <w:bCs/>
                      <w:szCs w:val="22"/>
                      <w:lang w:val="en-US"/>
                    </w:rPr>
                    <w:t xml:space="preserve">17 January 2022 </w:t>
                  </w:r>
                  <w:r w:rsidRPr="00586272">
                    <w:rPr>
                      <w:rFonts w:ascii="Calibri" w:hAnsi="Calibri" w:cs="Calibri"/>
                      <w:szCs w:val="22"/>
                      <w:lang w:val="en-US"/>
                    </w:rPr>
                    <w:t>(2359 hours, Geneva, CH time)</w:t>
                  </w:r>
                </w:p>
                <w:p w14:paraId="6D7AB379" w14:textId="77777777" w:rsidR="00EF4BE0" w:rsidRPr="00586272" w:rsidRDefault="00EF4BE0" w:rsidP="0092453B">
                  <w:pPr>
                    <w:spacing w:before="0"/>
                    <w:jc w:val="center"/>
                    <w:rPr>
                      <w:rFonts w:ascii="Calibri" w:hAnsi="Calibri" w:cs="Calibri"/>
                      <w:i/>
                      <w:iCs/>
                      <w:sz w:val="18"/>
                      <w:szCs w:val="18"/>
                      <w:lang w:val="en-US"/>
                    </w:rPr>
                  </w:pPr>
                  <w:r w:rsidRPr="00586272">
                    <w:rPr>
                      <w:rFonts w:ascii="Calibri" w:hAnsi="Calibri" w:cs="Calibri"/>
                      <w:i/>
                      <w:iCs/>
                      <w:sz w:val="18"/>
                      <w:szCs w:val="18"/>
                      <w:lang w:val="en-US"/>
                    </w:rPr>
                    <w:t>Any application received after this date will not be considered.</w:t>
                  </w:r>
                </w:p>
              </w:tc>
            </w:tr>
          </w:tbl>
          <w:p w14:paraId="2A9316BF" w14:textId="77777777" w:rsidR="00EF4BE0" w:rsidRPr="00586272" w:rsidRDefault="00EF4BE0" w:rsidP="0092453B">
            <w:pPr>
              <w:pStyle w:val="BDTLogo"/>
              <w:rPr>
                <w:rFonts w:cs="Calibri"/>
                <w:noProof/>
                <w:lang w:val="en-US" w:eastAsia="fr-CH"/>
              </w:rPr>
            </w:pPr>
          </w:p>
        </w:tc>
      </w:tr>
      <w:tr w:rsidR="00EF4BE0" w:rsidRPr="00586272" w14:paraId="4A533B41" w14:textId="77777777" w:rsidTr="0092453B">
        <w:tblPrEx>
          <w:tblLook w:val="0000" w:firstRow="0" w:lastRow="0" w:firstColumn="0" w:lastColumn="0" w:noHBand="0" w:noVBand="0"/>
        </w:tblPrEx>
        <w:trPr>
          <w:gridBefore w:val="1"/>
          <w:gridAfter w:val="1"/>
          <w:wBefore w:w="136" w:type="dxa"/>
          <w:wAfter w:w="283" w:type="dxa"/>
          <w:cantSplit/>
          <w:jc w:val="center"/>
        </w:trPr>
        <w:tc>
          <w:tcPr>
            <w:tcW w:w="1565" w:type="dxa"/>
            <w:tcBorders>
              <w:top w:val="single" w:sz="4" w:space="0" w:color="auto"/>
              <w:left w:val="single" w:sz="4" w:space="0" w:color="auto"/>
            </w:tcBorders>
          </w:tcPr>
          <w:p w14:paraId="0EB46ACF"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r w:rsidRPr="00586272">
              <w:rPr>
                <w:rFonts w:ascii="Calibri" w:hAnsi="Calibri" w:cs="Calibri"/>
                <w:b/>
                <w:sz w:val="18"/>
                <w:szCs w:val="18"/>
                <w:lang w:val="en-US"/>
              </w:rPr>
              <w:t>Country</w:t>
            </w:r>
          </w:p>
        </w:tc>
        <w:tc>
          <w:tcPr>
            <w:tcW w:w="7905" w:type="dxa"/>
            <w:gridSpan w:val="2"/>
            <w:tcBorders>
              <w:top w:val="single" w:sz="4" w:space="0" w:color="auto"/>
              <w:left w:val="nil"/>
              <w:right w:val="single" w:sz="4" w:space="0" w:color="auto"/>
            </w:tcBorders>
          </w:tcPr>
          <w:p w14:paraId="3A723475"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p>
        </w:tc>
      </w:tr>
      <w:tr w:rsidR="00EF4BE0" w:rsidRPr="00586272" w14:paraId="0B2BFD63" w14:textId="77777777" w:rsidTr="0092453B">
        <w:tblPrEx>
          <w:tblLook w:val="0000" w:firstRow="0" w:lastRow="0" w:firstColumn="0" w:lastColumn="0" w:noHBand="0" w:noVBand="0"/>
        </w:tblPrEx>
        <w:trPr>
          <w:gridBefore w:val="1"/>
          <w:gridAfter w:val="1"/>
          <w:wBefore w:w="136" w:type="dxa"/>
          <w:wAfter w:w="283" w:type="dxa"/>
          <w:cantSplit/>
          <w:jc w:val="center"/>
        </w:trPr>
        <w:tc>
          <w:tcPr>
            <w:tcW w:w="1565" w:type="dxa"/>
            <w:tcBorders>
              <w:left w:val="single" w:sz="4" w:space="0" w:color="auto"/>
            </w:tcBorders>
            <w:shd w:val="clear" w:color="auto" w:fill="D9D9D9"/>
          </w:tcPr>
          <w:p w14:paraId="761502C7"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r w:rsidRPr="00586272">
              <w:rPr>
                <w:rFonts w:ascii="Calibri" w:hAnsi="Calibri" w:cs="Calibri"/>
                <w:b/>
                <w:sz w:val="18"/>
                <w:szCs w:val="18"/>
                <w:lang w:val="en-US"/>
              </w:rPr>
              <w:t>Administration</w:t>
            </w:r>
          </w:p>
        </w:tc>
        <w:tc>
          <w:tcPr>
            <w:tcW w:w="7905" w:type="dxa"/>
            <w:gridSpan w:val="2"/>
            <w:tcBorders>
              <w:left w:val="nil"/>
              <w:right w:val="single" w:sz="4" w:space="0" w:color="auto"/>
            </w:tcBorders>
            <w:shd w:val="clear" w:color="auto" w:fill="D9D9D9"/>
          </w:tcPr>
          <w:p w14:paraId="1F188827"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p>
        </w:tc>
      </w:tr>
      <w:tr w:rsidR="00EF4BE0" w:rsidRPr="00586272" w14:paraId="1E21A02F" w14:textId="77777777" w:rsidTr="0092453B">
        <w:tblPrEx>
          <w:tblLook w:val="0000" w:firstRow="0" w:lastRow="0" w:firstColumn="0" w:lastColumn="0" w:noHBand="0" w:noVBand="0"/>
        </w:tblPrEx>
        <w:trPr>
          <w:gridBefore w:val="1"/>
          <w:gridAfter w:val="1"/>
          <w:wBefore w:w="136" w:type="dxa"/>
          <w:wAfter w:w="283" w:type="dxa"/>
          <w:cantSplit/>
          <w:jc w:val="center"/>
        </w:trPr>
        <w:tc>
          <w:tcPr>
            <w:tcW w:w="1565" w:type="dxa"/>
            <w:tcBorders>
              <w:left w:val="single" w:sz="4" w:space="0" w:color="auto"/>
            </w:tcBorders>
          </w:tcPr>
          <w:p w14:paraId="31A481CD"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r w:rsidRPr="00586272">
              <w:rPr>
                <w:rFonts w:ascii="Calibri" w:hAnsi="Calibri" w:cs="Calibri"/>
                <w:b/>
                <w:sz w:val="18"/>
                <w:szCs w:val="18"/>
                <w:lang w:val="en-US"/>
              </w:rPr>
              <w:t>Mr / Ms</w:t>
            </w:r>
          </w:p>
        </w:tc>
        <w:tc>
          <w:tcPr>
            <w:tcW w:w="7905" w:type="dxa"/>
            <w:gridSpan w:val="2"/>
            <w:tcBorders>
              <w:left w:val="nil"/>
              <w:right w:val="single" w:sz="4" w:space="0" w:color="auto"/>
            </w:tcBorders>
          </w:tcPr>
          <w:p w14:paraId="0F147037"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p>
        </w:tc>
      </w:tr>
      <w:tr w:rsidR="00EF4BE0" w:rsidRPr="00586272" w14:paraId="0A567771" w14:textId="77777777" w:rsidTr="0092453B">
        <w:tblPrEx>
          <w:tblLook w:val="0000" w:firstRow="0" w:lastRow="0" w:firstColumn="0" w:lastColumn="0" w:noHBand="0" w:noVBand="0"/>
        </w:tblPrEx>
        <w:trPr>
          <w:gridBefore w:val="1"/>
          <w:gridAfter w:val="1"/>
          <w:wBefore w:w="136" w:type="dxa"/>
          <w:wAfter w:w="283" w:type="dxa"/>
          <w:cantSplit/>
          <w:jc w:val="center"/>
        </w:trPr>
        <w:tc>
          <w:tcPr>
            <w:tcW w:w="1565" w:type="dxa"/>
            <w:tcBorders>
              <w:left w:val="single" w:sz="4" w:space="0" w:color="auto"/>
            </w:tcBorders>
            <w:shd w:val="clear" w:color="auto" w:fill="D9D9D9"/>
          </w:tcPr>
          <w:p w14:paraId="0B0AF961"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r w:rsidRPr="00586272">
              <w:rPr>
                <w:rFonts w:ascii="Calibri" w:hAnsi="Calibri" w:cs="Calibri"/>
                <w:b/>
                <w:sz w:val="18"/>
                <w:szCs w:val="18"/>
                <w:lang w:val="en-US"/>
              </w:rPr>
              <w:t>Last name</w:t>
            </w:r>
          </w:p>
        </w:tc>
        <w:tc>
          <w:tcPr>
            <w:tcW w:w="7905" w:type="dxa"/>
            <w:gridSpan w:val="2"/>
            <w:tcBorders>
              <w:left w:val="nil"/>
              <w:right w:val="single" w:sz="4" w:space="0" w:color="auto"/>
            </w:tcBorders>
            <w:shd w:val="clear" w:color="auto" w:fill="D9D9D9"/>
          </w:tcPr>
          <w:p w14:paraId="3F0DAA99"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p>
        </w:tc>
      </w:tr>
      <w:tr w:rsidR="00EF4BE0" w:rsidRPr="00586272" w14:paraId="61B31A0B" w14:textId="77777777" w:rsidTr="0092453B">
        <w:tblPrEx>
          <w:tblLook w:val="0000" w:firstRow="0" w:lastRow="0" w:firstColumn="0" w:lastColumn="0" w:noHBand="0" w:noVBand="0"/>
        </w:tblPrEx>
        <w:trPr>
          <w:gridBefore w:val="1"/>
          <w:gridAfter w:val="1"/>
          <w:wBefore w:w="136" w:type="dxa"/>
          <w:wAfter w:w="283" w:type="dxa"/>
          <w:cantSplit/>
          <w:jc w:val="center"/>
        </w:trPr>
        <w:tc>
          <w:tcPr>
            <w:tcW w:w="1565" w:type="dxa"/>
            <w:tcBorders>
              <w:left w:val="single" w:sz="4" w:space="0" w:color="auto"/>
            </w:tcBorders>
          </w:tcPr>
          <w:p w14:paraId="3230E4F2"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r w:rsidRPr="00586272">
              <w:rPr>
                <w:rFonts w:ascii="Calibri" w:hAnsi="Calibri" w:cs="Calibri"/>
                <w:b/>
                <w:sz w:val="18"/>
                <w:szCs w:val="18"/>
                <w:lang w:val="en-US"/>
              </w:rPr>
              <w:t>First/Given name</w:t>
            </w:r>
          </w:p>
        </w:tc>
        <w:tc>
          <w:tcPr>
            <w:tcW w:w="7905" w:type="dxa"/>
            <w:gridSpan w:val="2"/>
            <w:tcBorders>
              <w:left w:val="nil"/>
              <w:right w:val="single" w:sz="4" w:space="0" w:color="auto"/>
            </w:tcBorders>
          </w:tcPr>
          <w:p w14:paraId="18CBE8EA"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p>
        </w:tc>
      </w:tr>
      <w:tr w:rsidR="00EF4BE0" w:rsidRPr="00586272" w14:paraId="0F960EBA" w14:textId="77777777" w:rsidTr="0092453B">
        <w:tblPrEx>
          <w:tblLook w:val="0000" w:firstRow="0" w:lastRow="0" w:firstColumn="0" w:lastColumn="0" w:noHBand="0" w:noVBand="0"/>
        </w:tblPrEx>
        <w:trPr>
          <w:gridBefore w:val="1"/>
          <w:gridAfter w:val="1"/>
          <w:wBefore w:w="136" w:type="dxa"/>
          <w:wAfter w:w="283" w:type="dxa"/>
          <w:cantSplit/>
          <w:jc w:val="center"/>
        </w:trPr>
        <w:tc>
          <w:tcPr>
            <w:tcW w:w="1565" w:type="dxa"/>
            <w:tcBorders>
              <w:left w:val="single" w:sz="4" w:space="0" w:color="auto"/>
            </w:tcBorders>
            <w:shd w:val="clear" w:color="auto" w:fill="D9D9D9"/>
          </w:tcPr>
          <w:p w14:paraId="2EFB0B50"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r w:rsidRPr="00586272">
              <w:rPr>
                <w:rFonts w:ascii="Calibri" w:hAnsi="Calibri" w:cs="Calibri"/>
                <w:b/>
                <w:sz w:val="18"/>
                <w:szCs w:val="18"/>
                <w:lang w:val="en-US"/>
              </w:rPr>
              <w:t>Job title</w:t>
            </w:r>
          </w:p>
        </w:tc>
        <w:tc>
          <w:tcPr>
            <w:tcW w:w="7905" w:type="dxa"/>
            <w:gridSpan w:val="2"/>
            <w:tcBorders>
              <w:left w:val="nil"/>
              <w:right w:val="single" w:sz="4" w:space="0" w:color="auto"/>
            </w:tcBorders>
            <w:shd w:val="clear" w:color="auto" w:fill="D9D9D9"/>
          </w:tcPr>
          <w:p w14:paraId="6FEDC471"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p>
        </w:tc>
      </w:tr>
      <w:tr w:rsidR="00EF4BE0" w:rsidRPr="00586272" w14:paraId="70D24633" w14:textId="77777777" w:rsidTr="0092453B">
        <w:tblPrEx>
          <w:tblLook w:val="0000" w:firstRow="0" w:lastRow="0" w:firstColumn="0" w:lastColumn="0" w:noHBand="0" w:noVBand="0"/>
        </w:tblPrEx>
        <w:trPr>
          <w:gridBefore w:val="1"/>
          <w:gridAfter w:val="1"/>
          <w:wBefore w:w="136" w:type="dxa"/>
          <w:wAfter w:w="283" w:type="dxa"/>
          <w:cantSplit/>
          <w:jc w:val="center"/>
        </w:trPr>
        <w:tc>
          <w:tcPr>
            <w:tcW w:w="1565" w:type="dxa"/>
            <w:tcBorders>
              <w:left w:val="single" w:sz="4" w:space="0" w:color="auto"/>
            </w:tcBorders>
          </w:tcPr>
          <w:p w14:paraId="0ABFA9CD"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r w:rsidRPr="00586272">
              <w:rPr>
                <w:rFonts w:ascii="Calibri" w:hAnsi="Calibri" w:cs="Calibri"/>
                <w:b/>
                <w:sz w:val="18"/>
                <w:szCs w:val="18"/>
                <w:lang w:val="en-US"/>
              </w:rPr>
              <w:t>Date of birth</w:t>
            </w:r>
          </w:p>
        </w:tc>
        <w:tc>
          <w:tcPr>
            <w:tcW w:w="7905" w:type="dxa"/>
            <w:gridSpan w:val="2"/>
            <w:tcBorders>
              <w:left w:val="nil"/>
              <w:right w:val="single" w:sz="4" w:space="0" w:color="auto"/>
            </w:tcBorders>
          </w:tcPr>
          <w:p w14:paraId="75E1C1BC"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p>
        </w:tc>
      </w:tr>
      <w:tr w:rsidR="00EF4BE0" w:rsidRPr="00586272" w14:paraId="45602BF1" w14:textId="77777777" w:rsidTr="0092453B">
        <w:tblPrEx>
          <w:tblLook w:val="0000" w:firstRow="0" w:lastRow="0" w:firstColumn="0" w:lastColumn="0" w:noHBand="0" w:noVBand="0"/>
        </w:tblPrEx>
        <w:trPr>
          <w:gridBefore w:val="1"/>
          <w:gridAfter w:val="1"/>
          <w:wBefore w:w="136" w:type="dxa"/>
          <w:wAfter w:w="283" w:type="dxa"/>
          <w:cantSplit/>
          <w:jc w:val="center"/>
        </w:trPr>
        <w:tc>
          <w:tcPr>
            <w:tcW w:w="1565" w:type="dxa"/>
            <w:tcBorders>
              <w:left w:val="single" w:sz="4" w:space="0" w:color="auto"/>
            </w:tcBorders>
            <w:shd w:val="clear" w:color="auto" w:fill="D9D9D9"/>
          </w:tcPr>
          <w:p w14:paraId="4DDC0AF0"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r w:rsidRPr="00586272">
              <w:rPr>
                <w:rFonts w:ascii="Calibri" w:hAnsi="Calibri" w:cs="Calibri"/>
                <w:b/>
                <w:sz w:val="18"/>
                <w:szCs w:val="18"/>
                <w:lang w:val="en-US"/>
              </w:rPr>
              <w:t>E-mail</w:t>
            </w:r>
          </w:p>
        </w:tc>
        <w:tc>
          <w:tcPr>
            <w:tcW w:w="7905" w:type="dxa"/>
            <w:gridSpan w:val="2"/>
            <w:tcBorders>
              <w:left w:val="nil"/>
              <w:right w:val="single" w:sz="4" w:space="0" w:color="auto"/>
            </w:tcBorders>
            <w:shd w:val="clear" w:color="auto" w:fill="D9D9D9"/>
          </w:tcPr>
          <w:p w14:paraId="0D9C6F22"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p>
        </w:tc>
      </w:tr>
      <w:tr w:rsidR="00EF4BE0" w:rsidRPr="00586272" w14:paraId="630A4939" w14:textId="77777777" w:rsidTr="0092453B">
        <w:tblPrEx>
          <w:tblLook w:val="0000" w:firstRow="0" w:lastRow="0" w:firstColumn="0" w:lastColumn="0" w:noHBand="0" w:noVBand="0"/>
        </w:tblPrEx>
        <w:trPr>
          <w:gridBefore w:val="1"/>
          <w:gridAfter w:val="1"/>
          <w:wBefore w:w="136" w:type="dxa"/>
          <w:wAfter w:w="283" w:type="dxa"/>
          <w:cantSplit/>
          <w:jc w:val="center"/>
        </w:trPr>
        <w:tc>
          <w:tcPr>
            <w:tcW w:w="1565" w:type="dxa"/>
            <w:tcBorders>
              <w:left w:val="single" w:sz="4" w:space="0" w:color="auto"/>
            </w:tcBorders>
          </w:tcPr>
          <w:p w14:paraId="1582860F"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r w:rsidRPr="00586272">
              <w:rPr>
                <w:rFonts w:ascii="Calibri" w:hAnsi="Calibri" w:cs="Calibri"/>
                <w:b/>
                <w:sz w:val="18"/>
                <w:szCs w:val="18"/>
                <w:lang w:val="en-US"/>
              </w:rPr>
              <w:t>Phone</w:t>
            </w:r>
          </w:p>
        </w:tc>
        <w:tc>
          <w:tcPr>
            <w:tcW w:w="7905" w:type="dxa"/>
            <w:gridSpan w:val="2"/>
            <w:tcBorders>
              <w:left w:val="nil"/>
              <w:bottom w:val="single" w:sz="4" w:space="0" w:color="auto"/>
              <w:right w:val="single" w:sz="4" w:space="0" w:color="auto"/>
            </w:tcBorders>
          </w:tcPr>
          <w:p w14:paraId="4B5DA831" w14:textId="77777777" w:rsidR="00EF4BE0" w:rsidRPr="00586272" w:rsidRDefault="00EF4BE0" w:rsidP="0092453B">
            <w:pPr>
              <w:tabs>
                <w:tab w:val="left" w:pos="170"/>
                <w:tab w:val="left" w:pos="1701"/>
                <w:tab w:val="right" w:leader="underscore" w:pos="5954"/>
                <w:tab w:val="left" w:pos="6521"/>
                <w:tab w:val="right" w:leader="underscore" w:pos="10773"/>
              </w:tabs>
              <w:spacing w:before="80" w:after="80"/>
              <w:rPr>
                <w:rFonts w:ascii="Calibri" w:hAnsi="Calibri" w:cs="Calibri"/>
                <w:b/>
                <w:sz w:val="18"/>
                <w:szCs w:val="18"/>
                <w:lang w:val="en-US"/>
              </w:rPr>
            </w:pPr>
          </w:p>
        </w:tc>
      </w:tr>
      <w:tr w:rsidR="00EF4BE0" w:rsidRPr="00586272" w14:paraId="73FBEBE5"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9470" w:type="dxa"/>
            <w:gridSpan w:val="3"/>
            <w:tcBorders>
              <w:top w:val="single" w:sz="4" w:space="0" w:color="auto"/>
            </w:tcBorders>
          </w:tcPr>
          <w:p w14:paraId="1CA7FF5A"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rPr>
                <w:rFonts w:ascii="Calibri" w:hAnsi="Calibri" w:cs="Calibri"/>
                <w:b/>
                <w:bCs/>
                <w:sz w:val="18"/>
                <w:szCs w:val="18"/>
                <w:lang w:val="en-US"/>
              </w:rPr>
            </w:pPr>
            <w:r w:rsidRPr="00586272">
              <w:rPr>
                <w:rFonts w:ascii="Calibri" w:hAnsi="Calibri" w:cs="Calibri"/>
                <w:b/>
                <w:bCs/>
                <w:sz w:val="18"/>
                <w:szCs w:val="18"/>
                <w:lang w:val="en-US"/>
              </w:rPr>
              <w:t>CONDITIONS</w:t>
            </w:r>
          </w:p>
        </w:tc>
      </w:tr>
      <w:tr w:rsidR="00EF4BE0" w:rsidRPr="00586272" w14:paraId="620D5656"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9470" w:type="dxa"/>
            <w:gridSpan w:val="3"/>
          </w:tcPr>
          <w:p w14:paraId="2295A5FB"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40"/>
              <w:rPr>
                <w:rFonts w:ascii="Calibri" w:hAnsi="Calibri" w:cs="Calibri"/>
                <w:b/>
                <w:bCs/>
                <w:sz w:val="18"/>
                <w:szCs w:val="18"/>
                <w:lang w:val="en-US"/>
              </w:rPr>
            </w:pPr>
            <w:r w:rsidRPr="00586272">
              <w:rPr>
                <w:rFonts w:ascii="Calibri" w:hAnsi="Calibri" w:cs="Calibri"/>
                <w:sz w:val="18"/>
                <w:szCs w:val="18"/>
                <w:lang w:val="en-US"/>
              </w:rPr>
              <w:t>1. An e-fellowship includes the cost of connectivity for the duration of a virtual event.</w:t>
            </w:r>
          </w:p>
        </w:tc>
      </w:tr>
      <w:tr w:rsidR="00EF4BE0" w:rsidRPr="00586272" w14:paraId="49B80963"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9470" w:type="dxa"/>
            <w:gridSpan w:val="3"/>
          </w:tcPr>
          <w:p w14:paraId="34B61E60"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40"/>
              <w:rPr>
                <w:rFonts w:ascii="Calibri" w:hAnsi="Calibri" w:cs="Calibri"/>
                <w:b/>
                <w:bCs/>
                <w:sz w:val="18"/>
                <w:szCs w:val="18"/>
                <w:lang w:val="en-US"/>
              </w:rPr>
            </w:pPr>
            <w:r w:rsidRPr="00586272">
              <w:rPr>
                <w:rFonts w:ascii="Calibri" w:hAnsi="Calibri" w:cs="Calibri"/>
                <w:sz w:val="18"/>
                <w:szCs w:val="18"/>
                <w:lang w:val="en-US"/>
              </w:rPr>
              <w:t>2. A pro-forma invoice indicating the number of days and hours of connectivity and cost must be submitted with the e-fellowship request for consideration.</w:t>
            </w:r>
          </w:p>
        </w:tc>
      </w:tr>
      <w:tr w:rsidR="00EF4BE0" w:rsidRPr="00586272" w14:paraId="099A1A84"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9470" w:type="dxa"/>
            <w:gridSpan w:val="3"/>
          </w:tcPr>
          <w:p w14:paraId="344D03DE"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40"/>
              <w:rPr>
                <w:rFonts w:ascii="Calibri" w:hAnsi="Calibri" w:cs="Calibri"/>
                <w:sz w:val="18"/>
                <w:szCs w:val="18"/>
                <w:lang w:val="en-US"/>
              </w:rPr>
            </w:pPr>
            <w:r w:rsidRPr="00586272">
              <w:rPr>
                <w:rFonts w:ascii="Calibri" w:hAnsi="Calibri" w:cs="Calibri"/>
                <w:sz w:val="18"/>
                <w:szCs w:val="18"/>
                <w:lang w:val="en-US"/>
              </w:rPr>
              <w:t>3. Payment will be made on the basis of the pro-forma invoice, and any balance will be settled upon submission of the final invoice.</w:t>
            </w:r>
          </w:p>
        </w:tc>
      </w:tr>
      <w:tr w:rsidR="00EF4BE0" w:rsidRPr="00586272" w14:paraId="7FA3EC60"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9470" w:type="dxa"/>
            <w:gridSpan w:val="3"/>
            <w:tcBorders>
              <w:bottom w:val="nil"/>
            </w:tcBorders>
          </w:tcPr>
          <w:p w14:paraId="77F7FCA3"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40"/>
              <w:rPr>
                <w:rFonts w:ascii="Calibri" w:hAnsi="Calibri" w:cs="Calibri"/>
                <w:b/>
                <w:bCs/>
                <w:sz w:val="18"/>
                <w:szCs w:val="18"/>
                <w:lang w:val="en-US"/>
              </w:rPr>
            </w:pPr>
            <w:r w:rsidRPr="00586272">
              <w:rPr>
                <w:rFonts w:ascii="Calibri" w:hAnsi="Calibri" w:cs="Calibri"/>
                <w:sz w:val="18"/>
                <w:szCs w:val="18"/>
                <w:lang w:val="en-US"/>
              </w:rPr>
              <w:t>4. The beneficiary must attend the entire virtual event.</w:t>
            </w:r>
          </w:p>
        </w:tc>
      </w:tr>
      <w:tr w:rsidR="00EF4BE0" w:rsidRPr="00586272" w14:paraId="56B347DB"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9470" w:type="dxa"/>
            <w:gridSpan w:val="3"/>
            <w:tcBorders>
              <w:bottom w:val="nil"/>
            </w:tcBorders>
          </w:tcPr>
          <w:p w14:paraId="4EB0261F"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40"/>
              <w:rPr>
                <w:rFonts w:ascii="Calibri" w:hAnsi="Calibri" w:cs="Calibri"/>
                <w:sz w:val="18"/>
                <w:szCs w:val="18"/>
                <w:lang w:val="en-US"/>
              </w:rPr>
            </w:pPr>
            <w:r w:rsidRPr="00586272">
              <w:rPr>
                <w:rFonts w:ascii="Calibri" w:hAnsi="Calibri" w:cs="Calibri"/>
                <w:sz w:val="18"/>
                <w:szCs w:val="18"/>
                <w:lang w:val="en-US"/>
              </w:rPr>
              <w:t xml:space="preserve">5. The e-fellowship does not cover equipment (hardware and software). </w:t>
            </w:r>
          </w:p>
        </w:tc>
      </w:tr>
      <w:tr w:rsidR="00EF4BE0" w:rsidRPr="00586272" w14:paraId="797A1EE9"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3266" w:type="dxa"/>
            <w:gridSpan w:val="2"/>
            <w:tcBorders>
              <w:top w:val="nil"/>
              <w:bottom w:val="single" w:sz="4" w:space="0" w:color="auto"/>
            </w:tcBorders>
          </w:tcPr>
          <w:p w14:paraId="36D8792C"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r w:rsidRPr="00586272">
              <w:rPr>
                <w:rFonts w:ascii="Calibri" w:hAnsi="Calibri" w:cs="Calibri"/>
                <w:b/>
                <w:bCs/>
                <w:sz w:val="18"/>
                <w:szCs w:val="18"/>
                <w:lang w:val="en-US"/>
              </w:rPr>
              <w:t>Date</w:t>
            </w:r>
          </w:p>
        </w:tc>
        <w:tc>
          <w:tcPr>
            <w:tcW w:w="6204" w:type="dxa"/>
            <w:tcBorders>
              <w:top w:val="nil"/>
              <w:bottom w:val="single" w:sz="4" w:space="0" w:color="auto"/>
            </w:tcBorders>
          </w:tcPr>
          <w:p w14:paraId="29AD53F1"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p>
        </w:tc>
      </w:tr>
      <w:tr w:rsidR="00EF4BE0" w:rsidRPr="00586272" w14:paraId="03AF22B4"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9470" w:type="dxa"/>
            <w:gridSpan w:val="3"/>
            <w:tcBorders>
              <w:top w:val="nil"/>
              <w:bottom w:val="single" w:sz="4" w:space="0" w:color="auto"/>
            </w:tcBorders>
            <w:shd w:val="clear" w:color="auto" w:fill="D9D9D9"/>
          </w:tcPr>
          <w:p w14:paraId="5D00D318"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r w:rsidRPr="00586272">
              <w:rPr>
                <w:rFonts w:ascii="Calibri" w:hAnsi="Calibri" w:cs="Calibri"/>
                <w:b/>
                <w:bCs/>
                <w:sz w:val="18"/>
                <w:szCs w:val="18"/>
                <w:lang w:val="en-US"/>
              </w:rPr>
              <w:t>Signature of the candidate</w:t>
            </w:r>
          </w:p>
        </w:tc>
      </w:tr>
      <w:tr w:rsidR="00EF4BE0" w:rsidRPr="00586272" w14:paraId="6A6DA7CF"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9470" w:type="dxa"/>
            <w:gridSpan w:val="3"/>
            <w:tcBorders>
              <w:top w:val="nil"/>
              <w:bottom w:val="single" w:sz="4" w:space="0" w:color="auto"/>
            </w:tcBorders>
          </w:tcPr>
          <w:p w14:paraId="70D304D7"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r w:rsidRPr="00586272">
              <w:rPr>
                <w:rFonts w:ascii="Calibri" w:hAnsi="Calibri" w:cs="Calibri"/>
                <w:b/>
                <w:bCs/>
                <w:sz w:val="18"/>
                <w:szCs w:val="18"/>
                <w:lang w:val="en-US"/>
              </w:rPr>
              <w:t>The fellowship candidature shall be considered valid only if it is submitted and duly signed by the national designated focal point of an administration of a Member State.</w:t>
            </w:r>
          </w:p>
        </w:tc>
      </w:tr>
      <w:tr w:rsidR="00EF4BE0" w:rsidRPr="00586272" w14:paraId="7A6FEEDD"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3266" w:type="dxa"/>
            <w:gridSpan w:val="2"/>
            <w:tcBorders>
              <w:top w:val="nil"/>
              <w:bottom w:val="single" w:sz="4" w:space="0" w:color="auto"/>
            </w:tcBorders>
          </w:tcPr>
          <w:p w14:paraId="0BCBAC36"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r w:rsidRPr="00586272">
              <w:rPr>
                <w:rFonts w:ascii="Calibri" w:hAnsi="Calibri" w:cs="Calibri"/>
                <w:b/>
                <w:bCs/>
                <w:sz w:val="18"/>
                <w:szCs w:val="18"/>
                <w:lang w:val="en-US"/>
              </w:rPr>
              <w:t>Date</w:t>
            </w:r>
          </w:p>
        </w:tc>
        <w:tc>
          <w:tcPr>
            <w:tcW w:w="6204" w:type="dxa"/>
            <w:tcBorders>
              <w:top w:val="nil"/>
              <w:bottom w:val="single" w:sz="4" w:space="0" w:color="auto"/>
            </w:tcBorders>
          </w:tcPr>
          <w:p w14:paraId="1F9A3856"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p>
        </w:tc>
      </w:tr>
      <w:tr w:rsidR="00EF4BE0" w:rsidRPr="00586272" w14:paraId="151D459A"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3266" w:type="dxa"/>
            <w:gridSpan w:val="2"/>
            <w:tcBorders>
              <w:top w:val="nil"/>
              <w:bottom w:val="single" w:sz="4" w:space="0" w:color="auto"/>
            </w:tcBorders>
            <w:shd w:val="clear" w:color="auto" w:fill="D9D9D9"/>
          </w:tcPr>
          <w:p w14:paraId="332B9A42"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r w:rsidRPr="00586272">
              <w:rPr>
                <w:rFonts w:ascii="Calibri" w:hAnsi="Calibri" w:cs="Calibri"/>
                <w:b/>
                <w:bCs/>
                <w:sz w:val="18"/>
                <w:szCs w:val="18"/>
                <w:lang w:val="en-US"/>
              </w:rPr>
              <w:t>Name of national designated focal point</w:t>
            </w:r>
          </w:p>
        </w:tc>
        <w:tc>
          <w:tcPr>
            <w:tcW w:w="6204" w:type="dxa"/>
            <w:tcBorders>
              <w:top w:val="nil"/>
              <w:bottom w:val="single" w:sz="4" w:space="0" w:color="auto"/>
            </w:tcBorders>
            <w:shd w:val="clear" w:color="auto" w:fill="D9D9D9"/>
          </w:tcPr>
          <w:p w14:paraId="2AC9A720"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p>
        </w:tc>
      </w:tr>
      <w:tr w:rsidR="00EF4BE0" w:rsidRPr="00586272" w14:paraId="2E785886"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3266" w:type="dxa"/>
            <w:gridSpan w:val="2"/>
            <w:tcBorders>
              <w:top w:val="nil"/>
              <w:bottom w:val="single" w:sz="4" w:space="0" w:color="auto"/>
            </w:tcBorders>
            <w:shd w:val="clear" w:color="auto" w:fill="D9D9D9"/>
          </w:tcPr>
          <w:p w14:paraId="1F03E9A8"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r w:rsidRPr="00586272">
              <w:rPr>
                <w:rFonts w:ascii="Calibri" w:hAnsi="Calibri" w:cs="Calibri"/>
                <w:b/>
                <w:bCs/>
                <w:sz w:val="18"/>
                <w:szCs w:val="18"/>
                <w:lang w:val="en-US"/>
              </w:rPr>
              <w:t>Job title</w:t>
            </w:r>
          </w:p>
        </w:tc>
        <w:tc>
          <w:tcPr>
            <w:tcW w:w="6204" w:type="dxa"/>
            <w:tcBorders>
              <w:top w:val="nil"/>
              <w:bottom w:val="single" w:sz="4" w:space="0" w:color="auto"/>
            </w:tcBorders>
            <w:shd w:val="clear" w:color="auto" w:fill="D9D9D9"/>
          </w:tcPr>
          <w:p w14:paraId="74279B29"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p>
        </w:tc>
      </w:tr>
      <w:tr w:rsidR="00EF4BE0" w:rsidRPr="00586272" w14:paraId="568FD19C"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9470" w:type="dxa"/>
            <w:gridSpan w:val="3"/>
            <w:tcBorders>
              <w:top w:val="nil"/>
              <w:bottom w:val="single" w:sz="4" w:space="0" w:color="auto"/>
            </w:tcBorders>
            <w:shd w:val="clear" w:color="auto" w:fill="D9D9D9"/>
          </w:tcPr>
          <w:p w14:paraId="59E8E46B"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r w:rsidRPr="00586272">
              <w:rPr>
                <w:rFonts w:ascii="Calibri" w:hAnsi="Calibri" w:cs="Calibri"/>
                <w:b/>
                <w:bCs/>
                <w:sz w:val="18"/>
                <w:szCs w:val="18"/>
                <w:lang w:val="en-US"/>
              </w:rPr>
              <w:t>Signature</w:t>
            </w:r>
          </w:p>
        </w:tc>
      </w:tr>
      <w:tr w:rsidR="00EF4BE0" w:rsidRPr="00586272" w14:paraId="0DC075F4"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9470" w:type="dxa"/>
            <w:gridSpan w:val="3"/>
            <w:tcBorders>
              <w:top w:val="nil"/>
              <w:bottom w:val="single" w:sz="4" w:space="0" w:color="auto"/>
            </w:tcBorders>
            <w:shd w:val="clear" w:color="auto" w:fill="D9D9D9"/>
          </w:tcPr>
          <w:p w14:paraId="6669275C"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r w:rsidRPr="00586272">
              <w:rPr>
                <w:rFonts w:ascii="Calibri" w:hAnsi="Calibri" w:cs="Calibri"/>
                <w:b/>
                <w:bCs/>
                <w:sz w:val="18"/>
                <w:szCs w:val="18"/>
                <w:lang w:val="en-US"/>
              </w:rPr>
              <w:t>Stamp of the administration</w:t>
            </w:r>
          </w:p>
          <w:p w14:paraId="6B17DE85"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spacing w:before="80" w:after="80"/>
              <w:rPr>
                <w:rFonts w:ascii="Calibri" w:hAnsi="Calibri" w:cs="Calibri"/>
                <w:b/>
                <w:bCs/>
                <w:sz w:val="18"/>
                <w:szCs w:val="18"/>
                <w:lang w:val="en-US"/>
              </w:rPr>
            </w:pPr>
          </w:p>
        </w:tc>
      </w:tr>
      <w:tr w:rsidR="00EF4BE0" w:rsidRPr="00586272" w14:paraId="14642403" w14:textId="77777777" w:rsidTr="0092453B">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gridBefore w:val="1"/>
          <w:gridAfter w:val="1"/>
          <w:wBefore w:w="136" w:type="dxa"/>
          <w:wAfter w:w="283" w:type="dxa"/>
          <w:cantSplit/>
          <w:jc w:val="center"/>
        </w:trPr>
        <w:tc>
          <w:tcPr>
            <w:tcW w:w="9470" w:type="dxa"/>
            <w:gridSpan w:val="3"/>
            <w:tcBorders>
              <w:top w:val="nil"/>
              <w:bottom w:val="single" w:sz="4" w:space="0" w:color="auto"/>
            </w:tcBorders>
            <w:shd w:val="clear" w:color="auto" w:fill="FFFFFF"/>
          </w:tcPr>
          <w:p w14:paraId="2B79B8D4"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rPr>
                <w:rFonts w:ascii="Calibri" w:hAnsi="Calibri"/>
                <w:b/>
                <w:bCs/>
                <w:i/>
                <w:iCs/>
                <w:sz w:val="18"/>
                <w:szCs w:val="18"/>
                <w:lang w:val="en-US"/>
              </w:rPr>
            </w:pPr>
            <w:r w:rsidRPr="00586272">
              <w:rPr>
                <w:rFonts w:ascii="Calibri" w:hAnsi="Calibri"/>
                <w:b/>
                <w:bCs/>
                <w:i/>
                <w:iCs/>
                <w:sz w:val="18"/>
                <w:szCs w:val="18"/>
                <w:lang w:val="en-US"/>
              </w:rPr>
              <w:t>The form must be duly completed and validated by the relevant authority and must be returned together with any annexes within the established deadline, to:</w:t>
            </w:r>
          </w:p>
          <w:p w14:paraId="77B476C7" w14:textId="77777777" w:rsidR="00EF4BE0" w:rsidRPr="00586272" w:rsidRDefault="00F062FE" w:rsidP="0092453B">
            <w:pPr>
              <w:tabs>
                <w:tab w:val="left" w:pos="170"/>
                <w:tab w:val="left" w:pos="992"/>
                <w:tab w:val="left" w:pos="2977"/>
                <w:tab w:val="right" w:leader="underscore" w:pos="7371"/>
                <w:tab w:val="left" w:pos="7938"/>
                <w:tab w:val="left" w:pos="8647"/>
                <w:tab w:val="right" w:leader="underscore" w:pos="10773"/>
              </w:tabs>
              <w:jc w:val="center"/>
              <w:rPr>
                <w:rFonts w:ascii="Calibri" w:hAnsi="Calibri" w:cs="Calibri"/>
                <w:b/>
                <w:bCs/>
                <w:i/>
                <w:iCs/>
                <w:sz w:val="20"/>
                <w:lang w:val="en-US"/>
              </w:rPr>
            </w:pPr>
            <w:hyperlink r:id="rId44" w:history="1">
              <w:r w:rsidR="00EF4BE0" w:rsidRPr="00586272">
                <w:rPr>
                  <w:rStyle w:val="Hyperlink"/>
                  <w:rFonts w:ascii="Calibri" w:hAnsi="Calibri" w:cs="Calibri"/>
                  <w:b/>
                  <w:bCs/>
                  <w:i/>
                  <w:iCs/>
                  <w:sz w:val="20"/>
                  <w:lang w:val="en-US"/>
                </w:rPr>
                <w:t>fellowships@itu.int</w:t>
              </w:r>
            </w:hyperlink>
            <w:r w:rsidR="00EF4BE0" w:rsidRPr="00586272">
              <w:rPr>
                <w:rFonts w:ascii="Calibri" w:hAnsi="Calibri" w:cs="Calibri"/>
                <w:b/>
                <w:bCs/>
                <w:i/>
                <w:iCs/>
                <w:sz w:val="20"/>
                <w:lang w:val="en-US"/>
              </w:rPr>
              <w:t xml:space="preserve"> or by fax +41 22 730 57 78</w:t>
            </w:r>
          </w:p>
          <w:p w14:paraId="613DA15C" w14:textId="77777777" w:rsidR="00EF4BE0" w:rsidRPr="00586272" w:rsidRDefault="00EF4BE0" w:rsidP="0092453B">
            <w:pPr>
              <w:tabs>
                <w:tab w:val="left" w:pos="170"/>
                <w:tab w:val="left" w:pos="992"/>
                <w:tab w:val="left" w:pos="2977"/>
                <w:tab w:val="right" w:leader="underscore" w:pos="7371"/>
                <w:tab w:val="left" w:pos="7938"/>
                <w:tab w:val="left" w:pos="8647"/>
                <w:tab w:val="right" w:leader="underscore" w:pos="10773"/>
              </w:tabs>
              <w:rPr>
                <w:rFonts w:ascii="Calibri" w:hAnsi="Calibri" w:cs="Calibri"/>
                <w:b/>
                <w:bCs/>
                <w:sz w:val="18"/>
                <w:szCs w:val="18"/>
                <w:lang w:val="en-US"/>
              </w:rPr>
            </w:pPr>
            <w:r w:rsidRPr="00586272">
              <w:rPr>
                <w:rFonts w:ascii="Calibri" w:hAnsi="Calibri"/>
                <w:b/>
                <w:bCs/>
                <w:i/>
                <w:iCs/>
                <w:sz w:val="18"/>
                <w:szCs w:val="18"/>
                <w:lang w:val="en-US"/>
              </w:rPr>
              <w:t>Any request which does not meet the above requirements will not be considered.</w:t>
            </w:r>
          </w:p>
        </w:tc>
      </w:tr>
    </w:tbl>
    <w:p w14:paraId="660ED3F5" w14:textId="77777777" w:rsidR="00EF4BE0" w:rsidRDefault="00EF4BE0">
      <w:pPr>
        <w:jc w:val="center"/>
      </w:pPr>
      <w:r>
        <w:t>______________</w:t>
      </w:r>
    </w:p>
    <w:sectPr w:rsidR="00EF4BE0" w:rsidSect="00B87E9E">
      <w:headerReference w:type="even" r:id="rId45"/>
      <w:headerReference w:type="default" r:id="rId46"/>
      <w:footerReference w:type="even" r:id="rId47"/>
      <w:footerReference w:type="default" r:id="rId48"/>
      <w:headerReference w:type="first" r:id="rId49"/>
      <w:footerReference w:type="first" r:id="rId50"/>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0755E" w14:textId="77777777" w:rsidR="00304E24" w:rsidRDefault="00304E24">
      <w:r>
        <w:separator/>
      </w:r>
    </w:p>
  </w:endnote>
  <w:endnote w:type="continuationSeparator" w:id="0">
    <w:p w14:paraId="105DA8EE" w14:textId="77777777" w:rsidR="00304E24" w:rsidRDefault="0030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7396B" w14:textId="77777777" w:rsidR="00F062FE" w:rsidRDefault="00F06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1801" w14:textId="330E04FD" w:rsidR="009D3827" w:rsidRPr="00F062FE" w:rsidRDefault="009D3827" w:rsidP="00F062FE">
    <w:pPr>
      <w:pStyle w:val="Footer"/>
    </w:pPr>
    <w:bookmarkStart w:id="13" w:name="_GoBack"/>
    <w:bookmarkEnd w:id="1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871FC" w14:textId="607B3556"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Tel</w:t>
    </w:r>
    <w:r w:rsidR="009D3827">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EFB9D" w14:textId="77777777" w:rsidR="00304E24" w:rsidRDefault="00304E24">
      <w:r>
        <w:t>____________________</w:t>
      </w:r>
    </w:p>
  </w:footnote>
  <w:footnote w:type="continuationSeparator" w:id="0">
    <w:p w14:paraId="0B69B98B" w14:textId="77777777" w:rsidR="00304E24" w:rsidRDefault="00304E24">
      <w:r>
        <w:continuationSeparator/>
      </w:r>
    </w:p>
  </w:footnote>
  <w:footnote w:id="1">
    <w:p w14:paraId="0EFAEB6F" w14:textId="46D05F08" w:rsidR="00EF4BE0" w:rsidRPr="00A41990" w:rsidRDefault="00EF4BE0">
      <w:pPr>
        <w:pStyle w:val="FootnoteText"/>
        <w:rPr>
          <w:lang w:val="es-ES"/>
        </w:rPr>
      </w:pPr>
      <w:r>
        <w:rPr>
          <w:rStyle w:val="FootnoteReference"/>
        </w:rPr>
        <w:t>*</w:t>
      </w:r>
      <w:r>
        <w:tab/>
      </w:r>
      <w:r w:rsidR="00DE3D11">
        <w:t>En función de la estructura de comisiones acordada en la Sesión Plenaria</w:t>
      </w:r>
      <w:r w:rsidRPr="00EF4BE0">
        <w:t>.</w:t>
      </w:r>
    </w:p>
  </w:footnote>
  <w:footnote w:id="2">
    <w:p w14:paraId="0E756DC2" w14:textId="37193B88" w:rsidR="00541BAE" w:rsidRPr="00541BAE" w:rsidRDefault="00541BAE" w:rsidP="00541BAE">
      <w:pPr>
        <w:pStyle w:val="FootnoteText"/>
        <w:rPr>
          <w:lang w:val="es-ES"/>
        </w:rPr>
      </w:pPr>
      <w:r w:rsidRPr="00541BAE">
        <w:rPr>
          <w:rStyle w:val="FootnoteReference"/>
          <w:lang w:val="es-ES"/>
        </w:rPr>
        <w:footnoteRef/>
      </w:r>
      <w:r w:rsidRPr="00541BAE">
        <w:rPr>
          <w:lang w:val="es-ES"/>
        </w:rPr>
        <w:tab/>
        <w:t xml:space="preserve">Resolución 165 (Rev. Dubái, 2018) de la Conferencia de Plenipotenciarios "Plazos de presentación de propuestas y procedimientos para la inscripción de participantes en las conferencias y asambleas de la Unión" "resuelve, </w:t>
      </w:r>
      <w:r w:rsidRPr="007800FE">
        <w:rPr>
          <w:u w:val="single"/>
          <w:lang w:val="es-ES"/>
        </w:rPr>
        <w:t xml:space="preserve">con excepción de los plazos mencionados en los </w:t>
      </w:r>
      <w:r w:rsidRPr="007800FE">
        <w:rPr>
          <w:i/>
          <w:iCs/>
          <w:u w:val="single"/>
          <w:lang w:val="es-ES"/>
        </w:rPr>
        <w:t>reconociendo</w:t>
      </w:r>
      <w:r w:rsidRPr="007800FE">
        <w:rPr>
          <w:u w:val="single"/>
          <w:lang w:val="es-ES"/>
        </w:rPr>
        <w:t xml:space="preserve"> a) y b) anterior, </w:t>
      </w:r>
      <w:r w:rsidRPr="00541BAE">
        <w:rPr>
          <w:u w:val="single"/>
          <w:lang w:val="es-ES"/>
        </w:rPr>
        <w:t>establecer para la presentación de todas las contribuciones un plazo fijo máximo de 21 días naturales antes de la apertura de las conferencias y asambleas</w:t>
      </w:r>
      <w:r w:rsidRPr="00541BAE">
        <w:rPr>
          <w:lang w:val="es-ES"/>
        </w:rPr>
        <w:t xml:space="preserve"> de la Unión, con inclusión de las conferencias de plenipotenciarios, a fin de garantizar la traducción a tiempo y el examen detallado de las mismas por las delegaciones" (subrayado añadido).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C079E" w14:textId="77777777" w:rsidR="00F062FE" w:rsidRDefault="00F06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DEE44" w14:textId="6C194866"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F062FE">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D4C4FFF" w14:textId="5073FAAF" w:rsidR="009D3827" w:rsidRPr="00303D62" w:rsidRDefault="009D3827">
    <w:pPr>
      <w:pStyle w:val="Header"/>
      <w:rPr>
        <w:sz w:val="18"/>
        <w:szCs w:val="18"/>
      </w:rPr>
    </w:pPr>
    <w:r w:rsidRPr="009D3827">
      <w:rPr>
        <w:sz w:val="18"/>
        <w:szCs w:val="18"/>
      </w:rPr>
      <w:t>Circular TSB 203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E4B29" w14:textId="77777777" w:rsidR="00F062FE" w:rsidRDefault="00F06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24"/>
    <w:rsid w:val="00002529"/>
    <w:rsid w:val="00002CFF"/>
    <w:rsid w:val="00024EA2"/>
    <w:rsid w:val="00045BAC"/>
    <w:rsid w:val="00085662"/>
    <w:rsid w:val="000C35F1"/>
    <w:rsid w:val="000C382F"/>
    <w:rsid w:val="0011049F"/>
    <w:rsid w:val="00113694"/>
    <w:rsid w:val="001173CC"/>
    <w:rsid w:val="00127D58"/>
    <w:rsid w:val="0014464D"/>
    <w:rsid w:val="00170A0A"/>
    <w:rsid w:val="001A3D7B"/>
    <w:rsid w:val="001A54CC"/>
    <w:rsid w:val="001B3770"/>
    <w:rsid w:val="002549E3"/>
    <w:rsid w:val="00257FB4"/>
    <w:rsid w:val="00273F39"/>
    <w:rsid w:val="002B0187"/>
    <w:rsid w:val="002C2B3B"/>
    <w:rsid w:val="002E496E"/>
    <w:rsid w:val="00303D62"/>
    <w:rsid w:val="00304E24"/>
    <w:rsid w:val="003215DC"/>
    <w:rsid w:val="00335367"/>
    <w:rsid w:val="00370C2D"/>
    <w:rsid w:val="00372E2D"/>
    <w:rsid w:val="00380DA6"/>
    <w:rsid w:val="003C5116"/>
    <w:rsid w:val="003D1E8D"/>
    <w:rsid w:val="003D224B"/>
    <w:rsid w:val="003D673B"/>
    <w:rsid w:val="003F2855"/>
    <w:rsid w:val="00401C20"/>
    <w:rsid w:val="00406008"/>
    <w:rsid w:val="00412531"/>
    <w:rsid w:val="004A7957"/>
    <w:rsid w:val="004C07F7"/>
    <w:rsid w:val="004C4144"/>
    <w:rsid w:val="004E3A1A"/>
    <w:rsid w:val="0053305B"/>
    <w:rsid w:val="00541BAE"/>
    <w:rsid w:val="0055719E"/>
    <w:rsid w:val="005807B1"/>
    <w:rsid w:val="00586272"/>
    <w:rsid w:val="005A7A1B"/>
    <w:rsid w:val="005F25CE"/>
    <w:rsid w:val="006319FF"/>
    <w:rsid w:val="00632A70"/>
    <w:rsid w:val="006969B4"/>
    <w:rsid w:val="006E4F7B"/>
    <w:rsid w:val="007208FF"/>
    <w:rsid w:val="00770A85"/>
    <w:rsid w:val="007800FE"/>
    <w:rsid w:val="00781E2A"/>
    <w:rsid w:val="0078512E"/>
    <w:rsid w:val="007933A2"/>
    <w:rsid w:val="007A6038"/>
    <w:rsid w:val="007B6316"/>
    <w:rsid w:val="00814503"/>
    <w:rsid w:val="008258C2"/>
    <w:rsid w:val="00831C74"/>
    <w:rsid w:val="008505BD"/>
    <w:rsid w:val="00850C78"/>
    <w:rsid w:val="00876165"/>
    <w:rsid w:val="00884D12"/>
    <w:rsid w:val="008C17AD"/>
    <w:rsid w:val="008D02CD"/>
    <w:rsid w:val="008D1A81"/>
    <w:rsid w:val="008E60B2"/>
    <w:rsid w:val="0091370C"/>
    <w:rsid w:val="009150C5"/>
    <w:rsid w:val="009304C4"/>
    <w:rsid w:val="0095172A"/>
    <w:rsid w:val="009A0BA0"/>
    <w:rsid w:val="009A50B0"/>
    <w:rsid w:val="009C1AF3"/>
    <w:rsid w:val="009D3827"/>
    <w:rsid w:val="009E3874"/>
    <w:rsid w:val="009F3A21"/>
    <w:rsid w:val="00A31CE2"/>
    <w:rsid w:val="00A41990"/>
    <w:rsid w:val="00A52184"/>
    <w:rsid w:val="00A5290C"/>
    <w:rsid w:val="00A53852"/>
    <w:rsid w:val="00A54E47"/>
    <w:rsid w:val="00A63362"/>
    <w:rsid w:val="00AB6E3A"/>
    <w:rsid w:val="00AE7093"/>
    <w:rsid w:val="00B422BC"/>
    <w:rsid w:val="00B43F77"/>
    <w:rsid w:val="00B55A3E"/>
    <w:rsid w:val="00B65BED"/>
    <w:rsid w:val="00B87E9E"/>
    <w:rsid w:val="00B95F0A"/>
    <w:rsid w:val="00B96180"/>
    <w:rsid w:val="00BC020F"/>
    <w:rsid w:val="00C0427F"/>
    <w:rsid w:val="00C116FE"/>
    <w:rsid w:val="00C11B28"/>
    <w:rsid w:val="00C17AC0"/>
    <w:rsid w:val="00C34772"/>
    <w:rsid w:val="00C5465A"/>
    <w:rsid w:val="00C55282"/>
    <w:rsid w:val="00CB1183"/>
    <w:rsid w:val="00D05F69"/>
    <w:rsid w:val="00D54642"/>
    <w:rsid w:val="00D6032F"/>
    <w:rsid w:val="00D80CC0"/>
    <w:rsid w:val="00D834E7"/>
    <w:rsid w:val="00D96346"/>
    <w:rsid w:val="00DD77C9"/>
    <w:rsid w:val="00DE3D11"/>
    <w:rsid w:val="00DE52A4"/>
    <w:rsid w:val="00DF3538"/>
    <w:rsid w:val="00E82B71"/>
    <w:rsid w:val="00E839B0"/>
    <w:rsid w:val="00E92C09"/>
    <w:rsid w:val="00EB60FF"/>
    <w:rsid w:val="00EF4BE0"/>
    <w:rsid w:val="00F062FE"/>
    <w:rsid w:val="00F14380"/>
    <w:rsid w:val="00F6461F"/>
    <w:rsid w:val="00FC0A45"/>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5E2B4"/>
  <w15:docId w15:val="{19C692EB-9694-4B1C-BA5F-F612566C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customStyle="1" w:styleId="UnresolvedMention">
    <w:name w:val="Unresolved Mention"/>
    <w:basedOn w:val="DefaultParagraphFont"/>
    <w:uiPriority w:val="99"/>
    <w:semiHidden/>
    <w:unhideWhenUsed/>
    <w:rsid w:val="00304E24"/>
    <w:rPr>
      <w:color w:val="605E5C"/>
      <w:shd w:val="clear" w:color="auto" w:fill="E1DFDD"/>
    </w:rPr>
  </w:style>
  <w:style w:type="paragraph" w:styleId="Revision">
    <w:name w:val="Revision"/>
    <w:hidden/>
    <w:uiPriority w:val="99"/>
    <w:semiHidden/>
    <w:rsid w:val="009D3827"/>
    <w:rPr>
      <w:rFonts w:asciiTheme="minorHAnsi" w:hAnsiTheme="minorHAnsi"/>
      <w:sz w:val="24"/>
      <w:lang w:val="es-ES_tradnl" w:eastAsia="en-US"/>
    </w:rPr>
  </w:style>
  <w:style w:type="paragraph" w:styleId="ListParagraph">
    <w:name w:val="List Paragraph"/>
    <w:basedOn w:val="Normal"/>
    <w:link w:val="ListParagraphChar"/>
    <w:uiPriority w:val="34"/>
    <w:qFormat/>
    <w:rsid w:val="00EF4BE0"/>
    <w:pPr>
      <w:tabs>
        <w:tab w:val="clear" w:pos="794"/>
        <w:tab w:val="clear" w:pos="1191"/>
        <w:tab w:val="clear" w:pos="1588"/>
        <w:tab w:val="clear" w:pos="1985"/>
        <w:tab w:val="left" w:pos="1134"/>
        <w:tab w:val="left" w:pos="1871"/>
        <w:tab w:val="left" w:pos="2268"/>
      </w:tabs>
      <w:ind w:left="720"/>
      <w:contextualSpacing/>
    </w:pPr>
    <w:rPr>
      <w:lang w:val="en-GB"/>
    </w:rPr>
  </w:style>
  <w:style w:type="table" w:styleId="TableGrid">
    <w:name w:val="Table Grid"/>
    <w:basedOn w:val="TableNormal"/>
    <w:uiPriority w:val="59"/>
    <w:rsid w:val="00EF4BE0"/>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F4BE0"/>
    <w:rPr>
      <w:rFonts w:asciiTheme="minorHAnsi" w:hAnsiTheme="minorHAnsi"/>
      <w:sz w:val="24"/>
      <w:lang w:val="en-GB" w:eastAsia="en-US"/>
    </w:rPr>
  </w:style>
  <w:style w:type="paragraph" w:customStyle="1" w:styleId="BDTLogo">
    <w:name w:val="BDT_Logo"/>
    <w:uiPriority w:val="99"/>
    <w:rsid w:val="00EF4BE0"/>
    <w:pPr>
      <w:jc w:val="center"/>
    </w:pPr>
    <w:rPr>
      <w:rFonts w:ascii="Calibri" w:eastAsia="SimHei" w:hAnsi="Calibri" w:cs="Simplified Arabic"/>
      <w:sz w:val="22"/>
      <w:szCs w:val="28"/>
      <w:lang w:val="en-GB" w:eastAsia="en-US"/>
    </w:rPr>
  </w:style>
  <w:style w:type="paragraph" w:customStyle="1" w:styleId="Reasons">
    <w:name w:val="Reasons"/>
    <w:basedOn w:val="Normal"/>
    <w:qFormat/>
    <w:rsid w:val="00EF4BE0"/>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council/pd/convention.html" TargetMode="External"/><Relationship Id="rId18" Type="http://schemas.openxmlformats.org/officeDocument/2006/relationships/hyperlink" Target="https://www.itu.int/md/T17-WTSA.20-C/es" TargetMode="External"/><Relationship Id="rId26" Type="http://schemas.openxmlformats.org/officeDocument/2006/relationships/hyperlink" Target="https://www.itu.int/ties/" TargetMode="External"/><Relationship Id="rId39" Type="http://schemas.openxmlformats.org/officeDocument/2006/relationships/hyperlink" Target="https://www.eda.admin.ch/missions/mission-onu-geneve/en/home/manual-regime-privileges-and-immunities/introduction/manual-visas.html" TargetMode="External"/><Relationship Id="rId21" Type="http://schemas.openxmlformats.org/officeDocument/2006/relationships/hyperlink" Target="https://www.itu.int/es/ITU-T/wtsa20/Pages/default.aspx" TargetMode="External"/><Relationship Id="rId34" Type="http://schemas.openxmlformats.org/officeDocument/2006/relationships/hyperlink" Target="https://www.itu.int/security/covid19" TargetMode="External"/><Relationship Id="rId42" Type="http://schemas.openxmlformats.org/officeDocument/2006/relationships/hyperlink" Target="https://www.itu.int/security/covid1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wtsa-doc@itu.int" TargetMode="External"/><Relationship Id="rId29" Type="http://schemas.openxmlformats.org/officeDocument/2006/relationships/hyperlink" Target="https://www.itu.int/es/ITU-T/wtsa20/Pages/default.aspx" TargetMode="External"/><Relationship Id="rId11" Type="http://schemas.openxmlformats.org/officeDocument/2006/relationships/hyperlink" Target="https://www.itu.int/es/ITU-T/wtsa20/Pages/default.aspx" TargetMode="External"/><Relationship Id="rId24" Type="http://schemas.openxmlformats.org/officeDocument/2006/relationships/hyperlink" Target="https://www.itu.int/itu_xr_main/main/myAccountHomePage.jsf?selectedMyAccountNodeId=I7&amp;wec-appid=USER_REG&amp;page=F6F9DA9A9F75401AAEBB2556A96A4CA0&amp;wec-locale=en_US" TargetMode="External"/><Relationship Id="rId32" Type="http://schemas.openxmlformats.org/officeDocument/2006/relationships/hyperlink" Target="https://www.itu.int/en/fellowships/Documents/2021/List2021.pdf" TargetMode="External"/><Relationship Id="rId37" Type="http://schemas.openxmlformats.org/officeDocument/2006/relationships/hyperlink" Target="https://www.swiss-visa.ch/ivis2/" TargetMode="External"/><Relationship Id="rId40" Type="http://schemas.openxmlformats.org/officeDocument/2006/relationships/hyperlink" Target="https://www.eda.admin.ch/dam/mission-onu-omc-aele-geneve/en/documents/COVID-19-Information-for-people-travelling-to-Switzerland_EN.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net4/Proposals/CPI/WTSA20" TargetMode="External"/><Relationship Id="rId23" Type="http://schemas.openxmlformats.org/officeDocument/2006/relationships/hyperlink" Target="https://www.itu.int/md/S14-PP-C-0175/es" TargetMode="External"/><Relationship Id="rId28" Type="http://schemas.openxmlformats.org/officeDocument/2006/relationships/hyperlink" Target="http://www.itu.int/travel/" TargetMode="External"/><Relationship Id="rId36" Type="http://schemas.openxmlformats.org/officeDocument/2006/relationships/hyperlink" Target="https://www.swiss-visa.ch/ivis2/" TargetMode="External"/><Relationship Id="rId49" Type="http://schemas.openxmlformats.org/officeDocument/2006/relationships/header" Target="header3.xml"/><Relationship Id="rId10" Type="http://schemas.openxmlformats.org/officeDocument/2006/relationships/hyperlink" Target="https://www.itu.int/es/ITU-T/wtsa20/Pages/inv-letters.aspx" TargetMode="External"/><Relationship Id="rId19" Type="http://schemas.openxmlformats.org/officeDocument/2006/relationships/hyperlink" Target="https://www.itu.int/net4/proposals/WTSA20" TargetMode="External"/><Relationship Id="rId31" Type="http://schemas.openxmlformats.org/officeDocument/2006/relationships/hyperlink" Target="mailto:wtsa-reg@itu.int" TargetMode="External"/><Relationship Id="rId44" Type="http://schemas.openxmlformats.org/officeDocument/2006/relationships/hyperlink" Target="mailto:fellowships@itu.in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inhard.scholl@itu.intwtsa@itu.int" TargetMode="External"/><Relationship Id="rId14" Type="http://schemas.openxmlformats.org/officeDocument/2006/relationships/hyperlink" Target="https://www.itu.int/pub/T-RES-T.1-2016/es" TargetMode="External"/><Relationship Id="rId22" Type="http://schemas.openxmlformats.org/officeDocument/2006/relationships/hyperlink" Target="https://www.itu.int/md/T17-WTSA.20-C" TargetMode="External"/><Relationship Id="rId27" Type="http://schemas.openxmlformats.org/officeDocument/2006/relationships/hyperlink" Target="https://www.itu.int/en/ITU-T/wtsa20/gss/Pages/default.aspx" TargetMode="External"/><Relationship Id="rId30" Type="http://schemas.openxmlformats.org/officeDocument/2006/relationships/hyperlink" Target="https://www.itu.int/online/mm/scripts/s/gensel77" TargetMode="External"/><Relationship Id="rId35" Type="http://schemas.openxmlformats.org/officeDocument/2006/relationships/hyperlink" Target="https://www.sem.admin.ch/sem/en/home/publiservice/weisungen-kreisschreiben/visa/liste1_staatsangehoerigkeit.html" TargetMode="External"/><Relationship Id="rId43" Type="http://schemas.openxmlformats.org/officeDocument/2006/relationships/hyperlink" Target="mailto:fellowships@itu.int"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icg.ch/" TargetMode="External"/><Relationship Id="rId17" Type="http://schemas.openxmlformats.org/officeDocument/2006/relationships/hyperlink" Target="https://www.itu.int/en/ITU-T/WTSA20/Documents/CPI/WTSA-20_CPI-UserGuide.pdf" TargetMode="External"/><Relationship Id="rId25" Type="http://schemas.openxmlformats.org/officeDocument/2006/relationships/hyperlink" Target="mailto:wtsa-reg@itu.int" TargetMode="External"/><Relationship Id="rId33" Type="http://schemas.openxmlformats.org/officeDocument/2006/relationships/hyperlink" Target="mailto:fellowships@itu.int" TargetMode="External"/><Relationship Id="rId38" Type="http://schemas.openxmlformats.org/officeDocument/2006/relationships/hyperlink" Target="https://www.fedlex.admin.ch/eli/cc/2020/438/fr" TargetMode="External"/><Relationship Id="rId46" Type="http://schemas.openxmlformats.org/officeDocument/2006/relationships/header" Target="header2.xml"/><Relationship Id="rId20" Type="http://schemas.openxmlformats.org/officeDocument/2006/relationships/hyperlink" Target="https://extranet.itu.int/sites/itu-t/wtsa-20/As%20Received/Forms/ViewAllDocs.aspx" TargetMode="External"/><Relationship Id="rId41" Type="http://schemas.openxmlformats.org/officeDocument/2006/relationships/hyperlink" Target="https://www.dfae.admin.ch/dam/mission-onu-omc-aele-geneve/en/documents/COVID-19-Information-Sheet-on-health-measures-and-border-controls_E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35F8-C8BF-42AC-8A76-240587A9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PS_TSBCIRC.dotx</Template>
  <TotalTime>189</TotalTime>
  <Pages>14</Pages>
  <Words>4675</Words>
  <Characters>30176</Characters>
  <Application>Microsoft Office Word</Application>
  <DocSecurity>0</DocSecurity>
  <Lines>251</Lines>
  <Paragraphs>69</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34782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Al-Mnini, Lara</cp:lastModifiedBy>
  <cp:revision>23</cp:revision>
  <cp:lastPrinted>2011-04-15T08:24:00Z</cp:lastPrinted>
  <dcterms:created xsi:type="dcterms:W3CDTF">2021-11-16T12:56:00Z</dcterms:created>
  <dcterms:modified xsi:type="dcterms:W3CDTF">2021-11-23T10:34:00Z</dcterms:modified>
</cp:coreProperties>
</file>