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1" w:type="dxa"/>
        <w:tblLayout w:type="fixed"/>
        <w:tblCellMar>
          <w:left w:w="0" w:type="dxa"/>
          <w:right w:w="0" w:type="dxa"/>
        </w:tblCellMar>
        <w:tblLook w:val="0000" w:firstRow="0" w:lastRow="0" w:firstColumn="0" w:lastColumn="0" w:noHBand="0" w:noVBand="0"/>
      </w:tblPr>
      <w:tblGrid>
        <w:gridCol w:w="8"/>
        <w:gridCol w:w="822"/>
        <w:gridCol w:w="588"/>
        <w:gridCol w:w="567"/>
        <w:gridCol w:w="2835"/>
        <w:gridCol w:w="2977"/>
        <w:gridCol w:w="2126"/>
        <w:gridCol w:w="8"/>
      </w:tblGrid>
      <w:tr w:rsidR="00036F4F" w:rsidRPr="000021B1" w14:paraId="09D4EDE3" w14:textId="77777777" w:rsidTr="00036F4F">
        <w:trPr>
          <w:gridAfter w:val="1"/>
          <w:wAfter w:w="8" w:type="dxa"/>
          <w:cantSplit/>
        </w:trPr>
        <w:tc>
          <w:tcPr>
            <w:tcW w:w="1418" w:type="dxa"/>
            <w:gridSpan w:val="3"/>
            <w:vAlign w:val="center"/>
          </w:tcPr>
          <w:p w14:paraId="6943B959" w14:textId="77777777" w:rsidR="00036F4F" w:rsidRPr="000021B1" w:rsidRDefault="00036F4F" w:rsidP="00E162D1">
            <w:pPr>
              <w:tabs>
                <w:tab w:val="right" w:pos="8732"/>
              </w:tabs>
              <w:spacing w:before="0"/>
              <w:rPr>
                <w:b/>
                <w:bCs/>
                <w:iCs/>
                <w:color w:val="FFFFFF"/>
                <w:sz w:val="30"/>
                <w:szCs w:val="30"/>
              </w:rPr>
            </w:pPr>
            <w:r w:rsidRPr="000021B1">
              <w:rPr>
                <w:noProof/>
                <w:lang w:eastAsia="zh-CN"/>
              </w:rPr>
              <w:drawing>
                <wp:inline distT="0" distB="0" distL="0" distR="0" wp14:anchorId="293E9FDD" wp14:editId="6287B414">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662A8BC2" w14:textId="77777777" w:rsidR="00036F4F" w:rsidRPr="000021B1" w:rsidRDefault="00036F4F" w:rsidP="00E162D1">
            <w:pPr>
              <w:spacing w:before="0"/>
              <w:rPr>
                <w:rFonts w:cs="Times New Roman Bold"/>
                <w:b/>
                <w:bCs/>
                <w:iCs/>
                <w:smallCaps/>
                <w:sz w:val="34"/>
                <w:szCs w:val="34"/>
              </w:rPr>
            </w:pPr>
            <w:r w:rsidRPr="000021B1">
              <w:rPr>
                <w:rFonts w:cs="Times New Roman Bold"/>
                <w:b/>
                <w:bCs/>
                <w:iCs/>
                <w:smallCaps/>
                <w:sz w:val="34"/>
                <w:szCs w:val="34"/>
              </w:rPr>
              <w:t>Union internationale des télécommunications</w:t>
            </w:r>
          </w:p>
          <w:p w14:paraId="0940780F" w14:textId="77777777" w:rsidR="00036F4F" w:rsidRPr="000021B1" w:rsidRDefault="00036F4F" w:rsidP="00E162D1">
            <w:pPr>
              <w:tabs>
                <w:tab w:val="right" w:pos="8732"/>
              </w:tabs>
              <w:spacing w:before="0"/>
              <w:rPr>
                <w:b/>
                <w:bCs/>
                <w:iCs/>
                <w:color w:val="FFFFFF"/>
                <w:sz w:val="30"/>
                <w:szCs w:val="30"/>
              </w:rPr>
            </w:pPr>
            <w:r w:rsidRPr="000021B1">
              <w:rPr>
                <w:rFonts w:cs="Times New Roman Bold"/>
                <w:b/>
                <w:bCs/>
                <w:iCs/>
                <w:smallCaps/>
                <w:sz w:val="28"/>
                <w:szCs w:val="28"/>
              </w:rPr>
              <w:t>B</w:t>
            </w:r>
            <w:r w:rsidRPr="000021B1">
              <w:rPr>
                <w:b/>
                <w:bCs/>
                <w:iCs/>
                <w:smallCaps/>
                <w:sz w:val="28"/>
                <w:szCs w:val="28"/>
              </w:rPr>
              <w:t>ureau de la Normalisation des Télécommunications</w:t>
            </w:r>
          </w:p>
        </w:tc>
        <w:tc>
          <w:tcPr>
            <w:tcW w:w="2126" w:type="dxa"/>
            <w:vAlign w:val="center"/>
          </w:tcPr>
          <w:p w14:paraId="094A7E1E" w14:textId="77777777" w:rsidR="00036F4F" w:rsidRPr="000021B1" w:rsidRDefault="00036F4F" w:rsidP="00E162D1">
            <w:pPr>
              <w:spacing w:before="0"/>
              <w:jc w:val="right"/>
              <w:rPr>
                <w:color w:val="FFFFFF"/>
                <w:sz w:val="26"/>
                <w:szCs w:val="26"/>
              </w:rPr>
            </w:pPr>
          </w:p>
        </w:tc>
      </w:tr>
      <w:tr w:rsidR="00036F4F" w:rsidRPr="000021B1" w14:paraId="732BED69" w14:textId="77777777" w:rsidTr="00AB5026">
        <w:trPr>
          <w:gridBefore w:val="1"/>
          <w:wBefore w:w="8" w:type="dxa"/>
          <w:cantSplit/>
        </w:trPr>
        <w:tc>
          <w:tcPr>
            <w:tcW w:w="1977" w:type="dxa"/>
            <w:gridSpan w:val="3"/>
          </w:tcPr>
          <w:p w14:paraId="48B6DEA7" w14:textId="77777777" w:rsidR="00036F4F" w:rsidRPr="000021B1" w:rsidRDefault="00036F4F" w:rsidP="00E162D1">
            <w:pPr>
              <w:tabs>
                <w:tab w:val="left" w:pos="4111"/>
              </w:tabs>
              <w:spacing w:before="10"/>
              <w:ind w:left="57"/>
            </w:pPr>
          </w:p>
        </w:tc>
        <w:tc>
          <w:tcPr>
            <w:tcW w:w="2835" w:type="dxa"/>
          </w:tcPr>
          <w:p w14:paraId="2A88878F" w14:textId="77777777" w:rsidR="00036F4F" w:rsidRPr="000021B1" w:rsidRDefault="00036F4F" w:rsidP="00E162D1">
            <w:pPr>
              <w:tabs>
                <w:tab w:val="left" w:pos="4111"/>
              </w:tabs>
              <w:spacing w:before="10"/>
              <w:ind w:left="57"/>
              <w:rPr>
                <w:b/>
              </w:rPr>
            </w:pPr>
          </w:p>
        </w:tc>
        <w:tc>
          <w:tcPr>
            <w:tcW w:w="5111" w:type="dxa"/>
            <w:gridSpan w:val="3"/>
          </w:tcPr>
          <w:p w14:paraId="52C53916" w14:textId="0F50A552" w:rsidR="00036F4F" w:rsidRPr="000021B1" w:rsidRDefault="00036F4F" w:rsidP="00E162D1">
            <w:pPr>
              <w:tabs>
                <w:tab w:val="clear" w:pos="794"/>
                <w:tab w:val="clear" w:pos="1191"/>
                <w:tab w:val="clear" w:pos="1588"/>
                <w:tab w:val="clear" w:pos="1985"/>
                <w:tab w:val="left" w:pos="284"/>
              </w:tabs>
              <w:spacing w:after="120"/>
              <w:ind w:left="284" w:hanging="227"/>
            </w:pPr>
            <w:r w:rsidRPr="000021B1">
              <w:t>Genève, le</w:t>
            </w:r>
            <w:r w:rsidR="00996D13" w:rsidRPr="000021B1">
              <w:t xml:space="preserve"> </w:t>
            </w:r>
            <w:r w:rsidR="00587329" w:rsidRPr="000021B1">
              <w:t xml:space="preserve">4 février </w:t>
            </w:r>
            <w:r w:rsidR="00996D13" w:rsidRPr="000021B1">
              <w:t>202</w:t>
            </w:r>
            <w:r w:rsidR="00587329" w:rsidRPr="000021B1">
              <w:t>1</w:t>
            </w:r>
          </w:p>
        </w:tc>
      </w:tr>
      <w:tr w:rsidR="00036F4F" w:rsidRPr="000021B1" w14:paraId="2B2DBDFE" w14:textId="77777777" w:rsidTr="00AB5026">
        <w:trPr>
          <w:gridBefore w:val="1"/>
          <w:wBefore w:w="8" w:type="dxa"/>
          <w:cantSplit/>
          <w:trHeight w:val="340"/>
        </w:trPr>
        <w:tc>
          <w:tcPr>
            <w:tcW w:w="822" w:type="dxa"/>
          </w:tcPr>
          <w:p w14:paraId="773FCEFA" w14:textId="77777777" w:rsidR="00036F4F" w:rsidRPr="000021B1" w:rsidRDefault="00036F4F" w:rsidP="00E162D1">
            <w:pPr>
              <w:tabs>
                <w:tab w:val="left" w:pos="4111"/>
              </w:tabs>
              <w:spacing w:before="10"/>
              <w:ind w:left="57"/>
              <w:rPr>
                <w:b/>
                <w:bCs/>
              </w:rPr>
            </w:pPr>
            <w:proofErr w:type="gramStart"/>
            <w:r w:rsidRPr="000021B1">
              <w:rPr>
                <w:b/>
                <w:bCs/>
              </w:rPr>
              <w:t>Réf.:</w:t>
            </w:r>
            <w:proofErr w:type="gramEnd"/>
          </w:p>
          <w:p w14:paraId="65F43425" w14:textId="77777777" w:rsidR="00036F4F" w:rsidRPr="000021B1" w:rsidRDefault="00036F4F" w:rsidP="00E162D1">
            <w:pPr>
              <w:tabs>
                <w:tab w:val="left" w:pos="4111"/>
              </w:tabs>
              <w:spacing w:before="10"/>
              <w:ind w:left="57"/>
              <w:rPr>
                <w:b/>
                <w:bCs/>
              </w:rPr>
            </w:pPr>
          </w:p>
        </w:tc>
        <w:tc>
          <w:tcPr>
            <w:tcW w:w="3990" w:type="dxa"/>
            <w:gridSpan w:val="3"/>
          </w:tcPr>
          <w:p w14:paraId="51AE00C1" w14:textId="4BF3611A" w:rsidR="00036F4F" w:rsidRPr="000021B1" w:rsidRDefault="00941666" w:rsidP="00E162D1">
            <w:pPr>
              <w:tabs>
                <w:tab w:val="left" w:pos="4111"/>
              </w:tabs>
              <w:spacing w:before="10"/>
              <w:ind w:left="57"/>
              <w:rPr>
                <w:b/>
              </w:rPr>
            </w:pPr>
            <w:r w:rsidRPr="000021B1">
              <w:rPr>
                <w:b/>
              </w:rPr>
              <w:t xml:space="preserve">Corrigendum </w:t>
            </w:r>
            <w:r w:rsidR="00587329" w:rsidRPr="000021B1">
              <w:rPr>
                <w:b/>
              </w:rPr>
              <w:t>2</w:t>
            </w:r>
            <w:r w:rsidRPr="000021B1">
              <w:rPr>
                <w:b/>
              </w:rPr>
              <w:t xml:space="preserve"> à la</w:t>
            </w:r>
            <w:r w:rsidRPr="000021B1">
              <w:rPr>
                <w:b/>
              </w:rPr>
              <w:br/>
            </w:r>
            <w:r w:rsidR="00036F4F" w:rsidRPr="000021B1">
              <w:rPr>
                <w:b/>
              </w:rPr>
              <w:t xml:space="preserve">Circulaire TSB </w:t>
            </w:r>
            <w:r w:rsidR="00996D13" w:rsidRPr="000021B1">
              <w:rPr>
                <w:b/>
              </w:rPr>
              <w:t>202</w:t>
            </w:r>
          </w:p>
        </w:tc>
        <w:tc>
          <w:tcPr>
            <w:tcW w:w="5111" w:type="dxa"/>
            <w:gridSpan w:val="3"/>
            <w:vMerge w:val="restart"/>
          </w:tcPr>
          <w:p w14:paraId="4A515E25" w14:textId="71DC4D99" w:rsidR="00996D13" w:rsidRPr="000021B1" w:rsidRDefault="00996D13" w:rsidP="00E162D1">
            <w:pPr>
              <w:tabs>
                <w:tab w:val="clear" w:pos="794"/>
                <w:tab w:val="clear" w:pos="1191"/>
                <w:tab w:val="clear" w:pos="1588"/>
                <w:tab w:val="clear" w:pos="1985"/>
                <w:tab w:val="left" w:pos="284"/>
              </w:tabs>
              <w:spacing w:before="0"/>
              <w:ind w:left="284" w:hanging="227"/>
            </w:pPr>
            <w:bookmarkStart w:id="0" w:name="Addressee_F"/>
            <w:bookmarkEnd w:id="0"/>
            <w:r w:rsidRPr="000021B1">
              <w:t>–</w:t>
            </w:r>
            <w:r w:rsidRPr="000021B1">
              <w:tab/>
              <w:t xml:space="preserve">Aux Administrations des États Membres </w:t>
            </w:r>
            <w:r w:rsidRPr="000021B1">
              <w:br/>
              <w:t xml:space="preserve">de </w:t>
            </w:r>
            <w:proofErr w:type="gramStart"/>
            <w:r w:rsidRPr="000021B1">
              <w:t>l'Union;</w:t>
            </w:r>
            <w:proofErr w:type="gramEnd"/>
          </w:p>
          <w:p w14:paraId="1B5FD34B" w14:textId="2E9581EA" w:rsidR="00036F4F" w:rsidRPr="000021B1" w:rsidRDefault="00996D13" w:rsidP="00E162D1">
            <w:pPr>
              <w:tabs>
                <w:tab w:val="clear" w:pos="794"/>
                <w:tab w:val="clear" w:pos="1191"/>
                <w:tab w:val="clear" w:pos="1588"/>
                <w:tab w:val="clear" w:pos="1985"/>
                <w:tab w:val="left" w:pos="284"/>
              </w:tabs>
              <w:spacing w:before="0"/>
              <w:ind w:left="284" w:hanging="227"/>
            </w:pPr>
            <w:r w:rsidRPr="000021B1">
              <w:t>–</w:t>
            </w:r>
            <w:r w:rsidRPr="000021B1">
              <w:tab/>
              <w:t>Aux Membres du Secteur UIT-T</w:t>
            </w:r>
          </w:p>
          <w:p w14:paraId="46399C4B" w14:textId="77777777" w:rsidR="00036F4F" w:rsidRPr="000021B1" w:rsidRDefault="00036F4F" w:rsidP="00E162D1">
            <w:pPr>
              <w:tabs>
                <w:tab w:val="clear" w:pos="794"/>
                <w:tab w:val="clear" w:pos="1191"/>
                <w:tab w:val="clear" w:pos="1588"/>
                <w:tab w:val="clear" w:pos="1985"/>
                <w:tab w:val="left" w:pos="284"/>
              </w:tabs>
              <w:spacing w:before="0"/>
              <w:ind w:left="284" w:hanging="227"/>
            </w:pPr>
          </w:p>
        </w:tc>
      </w:tr>
      <w:tr w:rsidR="00036F4F" w:rsidRPr="000021B1" w14:paraId="05353892" w14:textId="77777777" w:rsidTr="00AB5026">
        <w:trPr>
          <w:gridBefore w:val="1"/>
          <w:wBefore w:w="8" w:type="dxa"/>
          <w:cantSplit/>
        </w:trPr>
        <w:tc>
          <w:tcPr>
            <w:tcW w:w="822" w:type="dxa"/>
          </w:tcPr>
          <w:p w14:paraId="14DE7D76" w14:textId="77777777" w:rsidR="00036F4F" w:rsidRPr="000021B1" w:rsidRDefault="00036F4F" w:rsidP="00E162D1">
            <w:pPr>
              <w:tabs>
                <w:tab w:val="left" w:pos="4111"/>
              </w:tabs>
              <w:spacing w:before="10"/>
              <w:ind w:left="57"/>
              <w:rPr>
                <w:b/>
                <w:bCs/>
                <w:sz w:val="20"/>
              </w:rPr>
            </w:pPr>
            <w:proofErr w:type="gramStart"/>
            <w:r w:rsidRPr="000021B1">
              <w:rPr>
                <w:b/>
                <w:bCs/>
              </w:rPr>
              <w:t>Tél.:</w:t>
            </w:r>
            <w:proofErr w:type="gramEnd"/>
          </w:p>
        </w:tc>
        <w:tc>
          <w:tcPr>
            <w:tcW w:w="3990" w:type="dxa"/>
            <w:gridSpan w:val="3"/>
          </w:tcPr>
          <w:p w14:paraId="367FD695" w14:textId="1B28B522" w:rsidR="00036F4F" w:rsidRPr="000021B1" w:rsidRDefault="00036F4F" w:rsidP="00E162D1">
            <w:pPr>
              <w:tabs>
                <w:tab w:val="left" w:pos="4111"/>
              </w:tabs>
              <w:spacing w:before="0"/>
              <w:ind w:left="57"/>
            </w:pPr>
            <w:r w:rsidRPr="000021B1">
              <w:t>+41 22 730</w:t>
            </w:r>
            <w:r w:rsidR="00996D13" w:rsidRPr="000021B1">
              <w:t xml:space="preserve"> 5852</w:t>
            </w:r>
          </w:p>
        </w:tc>
        <w:tc>
          <w:tcPr>
            <w:tcW w:w="5111" w:type="dxa"/>
            <w:gridSpan w:val="3"/>
            <w:vMerge/>
          </w:tcPr>
          <w:p w14:paraId="6157ED3D" w14:textId="77777777" w:rsidR="00036F4F" w:rsidRPr="000021B1" w:rsidRDefault="00036F4F" w:rsidP="00E162D1">
            <w:pPr>
              <w:tabs>
                <w:tab w:val="left" w:pos="4111"/>
              </w:tabs>
              <w:spacing w:before="0"/>
              <w:rPr>
                <w:b/>
              </w:rPr>
            </w:pPr>
          </w:p>
        </w:tc>
      </w:tr>
      <w:tr w:rsidR="00036F4F" w:rsidRPr="000021B1" w14:paraId="3665FB02" w14:textId="77777777" w:rsidTr="00AB5026">
        <w:trPr>
          <w:gridBefore w:val="1"/>
          <w:wBefore w:w="8" w:type="dxa"/>
          <w:cantSplit/>
        </w:trPr>
        <w:tc>
          <w:tcPr>
            <w:tcW w:w="822" w:type="dxa"/>
          </w:tcPr>
          <w:p w14:paraId="65C7F2BB" w14:textId="77777777" w:rsidR="00036F4F" w:rsidRPr="000021B1" w:rsidRDefault="00036F4F" w:rsidP="00E162D1">
            <w:pPr>
              <w:tabs>
                <w:tab w:val="left" w:pos="4111"/>
              </w:tabs>
              <w:spacing w:before="10"/>
              <w:ind w:left="57"/>
              <w:rPr>
                <w:b/>
                <w:bCs/>
                <w:sz w:val="20"/>
              </w:rPr>
            </w:pPr>
            <w:proofErr w:type="gramStart"/>
            <w:r w:rsidRPr="000021B1">
              <w:rPr>
                <w:b/>
                <w:bCs/>
              </w:rPr>
              <w:t>Fax:</w:t>
            </w:r>
            <w:proofErr w:type="gramEnd"/>
          </w:p>
        </w:tc>
        <w:tc>
          <w:tcPr>
            <w:tcW w:w="3990" w:type="dxa"/>
            <w:gridSpan w:val="3"/>
          </w:tcPr>
          <w:p w14:paraId="42B7EAE4" w14:textId="77777777" w:rsidR="00036F4F" w:rsidRPr="000021B1" w:rsidRDefault="00036F4F" w:rsidP="00E162D1">
            <w:pPr>
              <w:tabs>
                <w:tab w:val="left" w:pos="4111"/>
              </w:tabs>
              <w:spacing w:before="0"/>
              <w:ind w:left="57"/>
            </w:pPr>
            <w:r w:rsidRPr="000021B1">
              <w:t>+41 22 730 5853</w:t>
            </w:r>
          </w:p>
        </w:tc>
        <w:tc>
          <w:tcPr>
            <w:tcW w:w="5111" w:type="dxa"/>
            <w:gridSpan w:val="3"/>
            <w:vMerge/>
          </w:tcPr>
          <w:p w14:paraId="24BB0971" w14:textId="77777777" w:rsidR="00036F4F" w:rsidRPr="000021B1" w:rsidRDefault="00036F4F" w:rsidP="00E162D1">
            <w:pPr>
              <w:tabs>
                <w:tab w:val="left" w:pos="4111"/>
              </w:tabs>
              <w:spacing w:before="0"/>
              <w:rPr>
                <w:b/>
              </w:rPr>
            </w:pPr>
          </w:p>
        </w:tc>
      </w:tr>
      <w:tr w:rsidR="00517A03" w:rsidRPr="000021B1" w14:paraId="3F1A2B9E" w14:textId="77777777" w:rsidTr="00AB5026">
        <w:trPr>
          <w:gridBefore w:val="1"/>
          <w:wBefore w:w="8" w:type="dxa"/>
          <w:cantSplit/>
        </w:trPr>
        <w:tc>
          <w:tcPr>
            <w:tcW w:w="822" w:type="dxa"/>
          </w:tcPr>
          <w:p w14:paraId="015B5618" w14:textId="77777777" w:rsidR="00517A03" w:rsidRPr="000021B1" w:rsidRDefault="00036F4F" w:rsidP="00E162D1">
            <w:pPr>
              <w:tabs>
                <w:tab w:val="left" w:pos="4111"/>
              </w:tabs>
              <w:spacing w:before="10"/>
              <w:ind w:left="57"/>
              <w:rPr>
                <w:b/>
                <w:bCs/>
                <w:sz w:val="20"/>
              </w:rPr>
            </w:pPr>
            <w:proofErr w:type="gramStart"/>
            <w:r w:rsidRPr="000021B1">
              <w:rPr>
                <w:b/>
                <w:bCs/>
              </w:rPr>
              <w:t>E-mail:</w:t>
            </w:r>
            <w:proofErr w:type="gramEnd"/>
          </w:p>
        </w:tc>
        <w:tc>
          <w:tcPr>
            <w:tcW w:w="3990" w:type="dxa"/>
            <w:gridSpan w:val="3"/>
          </w:tcPr>
          <w:p w14:paraId="28028C72" w14:textId="2BB9EC3E" w:rsidR="00517A03" w:rsidRPr="000021B1" w:rsidRDefault="007223D7" w:rsidP="00E162D1">
            <w:pPr>
              <w:tabs>
                <w:tab w:val="left" w:pos="4111"/>
              </w:tabs>
              <w:spacing w:before="0"/>
              <w:ind w:left="57"/>
            </w:pPr>
            <w:hyperlink r:id="rId9" w:history="1">
              <w:r w:rsidR="00996D13" w:rsidRPr="000021B1">
                <w:rPr>
                  <w:rStyle w:val="Hyperlink"/>
                </w:rPr>
                <w:t>tsbdir@itu.int</w:t>
              </w:r>
            </w:hyperlink>
          </w:p>
        </w:tc>
        <w:tc>
          <w:tcPr>
            <w:tcW w:w="5111" w:type="dxa"/>
            <w:gridSpan w:val="3"/>
          </w:tcPr>
          <w:p w14:paraId="04D2ADF6" w14:textId="77777777" w:rsidR="00517A03" w:rsidRPr="000021B1" w:rsidRDefault="00517A03" w:rsidP="00E162D1">
            <w:pPr>
              <w:tabs>
                <w:tab w:val="left" w:pos="4111"/>
              </w:tabs>
              <w:spacing w:before="0"/>
            </w:pPr>
            <w:proofErr w:type="gramStart"/>
            <w:r w:rsidRPr="000021B1">
              <w:rPr>
                <w:b/>
              </w:rPr>
              <w:t>Copie</w:t>
            </w:r>
            <w:r w:rsidRPr="000021B1">
              <w:t>:</w:t>
            </w:r>
            <w:proofErr w:type="gramEnd"/>
          </w:p>
          <w:p w14:paraId="13BC3AA9" w14:textId="69AB55D1" w:rsidR="00996D13" w:rsidRPr="000021B1" w:rsidRDefault="00996D13" w:rsidP="00E162D1">
            <w:pPr>
              <w:tabs>
                <w:tab w:val="clear" w:pos="794"/>
                <w:tab w:val="left" w:pos="226"/>
                <w:tab w:val="left" w:pos="4111"/>
              </w:tabs>
              <w:spacing w:before="0"/>
              <w:ind w:left="226" w:hanging="226"/>
            </w:pPr>
            <w:r w:rsidRPr="000021B1">
              <w:t>–</w:t>
            </w:r>
            <w:r w:rsidRPr="000021B1">
              <w:tab/>
              <w:t>Aux Présidents et Vice-Présidents des Commissions d'études de l'UIT</w:t>
            </w:r>
            <w:r w:rsidRPr="000021B1">
              <w:noBreakHyphen/>
              <w:t>T, du GCNT et du</w:t>
            </w:r>
            <w:r w:rsidR="00AB5026" w:rsidRPr="000021B1">
              <w:t> </w:t>
            </w:r>
            <w:proofErr w:type="gramStart"/>
            <w:r w:rsidRPr="000021B1">
              <w:t>SCV;</w:t>
            </w:r>
            <w:proofErr w:type="gramEnd"/>
          </w:p>
          <w:p w14:paraId="37231F2A" w14:textId="6CBCC5F2" w:rsidR="00996D13" w:rsidRPr="000021B1" w:rsidRDefault="00996D13" w:rsidP="00E162D1">
            <w:pPr>
              <w:tabs>
                <w:tab w:val="clear" w:pos="794"/>
                <w:tab w:val="left" w:pos="226"/>
                <w:tab w:val="left" w:pos="4111"/>
              </w:tabs>
              <w:spacing w:before="0"/>
              <w:ind w:left="226" w:hanging="226"/>
            </w:pPr>
            <w:r w:rsidRPr="000021B1">
              <w:t>–</w:t>
            </w:r>
            <w:r w:rsidRPr="000021B1">
              <w:tab/>
            </w:r>
            <w:r w:rsidR="00774971" w:rsidRPr="000021B1">
              <w:t xml:space="preserve">À la </w:t>
            </w:r>
            <w:r w:rsidRPr="000021B1">
              <w:t>Direct</w:t>
            </w:r>
            <w:r w:rsidR="00774971" w:rsidRPr="000021B1">
              <w:t xml:space="preserve">rice </w:t>
            </w:r>
            <w:r w:rsidRPr="000021B1">
              <w:t xml:space="preserve">du Bureau de développement des </w:t>
            </w:r>
            <w:proofErr w:type="gramStart"/>
            <w:r w:rsidRPr="000021B1">
              <w:t>télécommunications;</w:t>
            </w:r>
            <w:proofErr w:type="gramEnd"/>
          </w:p>
          <w:p w14:paraId="72158848" w14:textId="596F69D2" w:rsidR="00517A03" w:rsidRPr="000021B1" w:rsidRDefault="00996D13" w:rsidP="00E162D1">
            <w:pPr>
              <w:tabs>
                <w:tab w:val="clear" w:pos="794"/>
                <w:tab w:val="left" w:pos="226"/>
                <w:tab w:val="left" w:pos="4111"/>
              </w:tabs>
              <w:spacing w:before="0"/>
              <w:ind w:left="226" w:hanging="226"/>
            </w:pPr>
            <w:r w:rsidRPr="000021B1">
              <w:t>–</w:t>
            </w:r>
            <w:r w:rsidRPr="000021B1">
              <w:tab/>
              <w:t>Au Directeur du Bureau des radiocommunications</w:t>
            </w:r>
          </w:p>
        </w:tc>
      </w:tr>
      <w:tr w:rsidR="00517A03" w:rsidRPr="000021B1" w14:paraId="204E4F0A" w14:textId="77777777" w:rsidTr="00036F4F">
        <w:trPr>
          <w:gridBefore w:val="1"/>
          <w:gridAfter w:val="1"/>
          <w:wBefore w:w="8" w:type="dxa"/>
          <w:wAfter w:w="8" w:type="dxa"/>
          <w:cantSplit/>
          <w:trHeight w:val="680"/>
        </w:trPr>
        <w:tc>
          <w:tcPr>
            <w:tcW w:w="822" w:type="dxa"/>
          </w:tcPr>
          <w:p w14:paraId="6A0810CE" w14:textId="77777777" w:rsidR="00517A03" w:rsidRPr="000021B1" w:rsidRDefault="00517A03" w:rsidP="00E162D1">
            <w:pPr>
              <w:tabs>
                <w:tab w:val="left" w:pos="4111"/>
              </w:tabs>
              <w:ind w:left="57"/>
              <w:rPr>
                <w:b/>
                <w:bCs/>
                <w:szCs w:val="22"/>
              </w:rPr>
            </w:pPr>
            <w:proofErr w:type="gramStart"/>
            <w:r w:rsidRPr="000021B1">
              <w:rPr>
                <w:b/>
                <w:bCs/>
                <w:szCs w:val="22"/>
              </w:rPr>
              <w:t>Objet:</w:t>
            </w:r>
            <w:proofErr w:type="gramEnd"/>
          </w:p>
        </w:tc>
        <w:tc>
          <w:tcPr>
            <w:tcW w:w="9093" w:type="dxa"/>
            <w:gridSpan w:val="5"/>
          </w:tcPr>
          <w:p w14:paraId="5279A8D2" w14:textId="5403B690" w:rsidR="00517A03" w:rsidRPr="000021B1" w:rsidRDefault="00996D13" w:rsidP="00E162D1">
            <w:pPr>
              <w:tabs>
                <w:tab w:val="left" w:pos="4111"/>
              </w:tabs>
              <w:ind w:left="57"/>
              <w:rPr>
                <w:b/>
                <w:bCs/>
                <w:szCs w:val="22"/>
              </w:rPr>
            </w:pPr>
            <w:r w:rsidRPr="000021B1">
              <w:rPr>
                <w:b/>
                <w:bCs/>
                <w:szCs w:val="22"/>
              </w:rPr>
              <w:t xml:space="preserve">Candidats aux fonctions de présidents et vice-présidents des </w:t>
            </w:r>
            <w:r w:rsidR="00AB5026" w:rsidRPr="000021B1">
              <w:rPr>
                <w:b/>
                <w:bCs/>
                <w:szCs w:val="22"/>
              </w:rPr>
              <w:t>C</w:t>
            </w:r>
            <w:r w:rsidRPr="000021B1">
              <w:rPr>
                <w:b/>
                <w:bCs/>
                <w:szCs w:val="22"/>
              </w:rPr>
              <w:t>ommissions d'études de l'UIT</w:t>
            </w:r>
            <w:r w:rsidRPr="000021B1">
              <w:rPr>
                <w:b/>
                <w:bCs/>
                <w:szCs w:val="22"/>
              </w:rPr>
              <w:noBreakHyphen/>
              <w:t xml:space="preserve">T, du Groupe consultatif de la normalisation des télécommunications (GCNT) et du Comité de </w:t>
            </w:r>
            <w:r w:rsidR="00774971" w:rsidRPr="000021B1">
              <w:rPr>
                <w:b/>
                <w:bCs/>
                <w:szCs w:val="22"/>
              </w:rPr>
              <w:t xml:space="preserve">normalisation </w:t>
            </w:r>
            <w:r w:rsidRPr="000021B1">
              <w:rPr>
                <w:b/>
                <w:bCs/>
                <w:szCs w:val="22"/>
              </w:rPr>
              <w:t>pour le vocabulaire (SCV) pour la période 202</w:t>
            </w:r>
            <w:r w:rsidR="00587329" w:rsidRPr="000021B1">
              <w:rPr>
                <w:b/>
                <w:bCs/>
                <w:szCs w:val="22"/>
              </w:rPr>
              <w:t>2</w:t>
            </w:r>
            <w:r w:rsidRPr="000021B1">
              <w:rPr>
                <w:b/>
                <w:bCs/>
                <w:szCs w:val="22"/>
              </w:rPr>
              <w:t>-2024</w:t>
            </w:r>
          </w:p>
        </w:tc>
      </w:tr>
    </w:tbl>
    <w:p w14:paraId="773B08CC" w14:textId="77777777" w:rsidR="00517A03" w:rsidRPr="000021B1" w:rsidRDefault="00517A03" w:rsidP="00E162D1">
      <w:pPr>
        <w:spacing w:before="240"/>
      </w:pPr>
      <w:bookmarkStart w:id="1" w:name="StartTyping_F"/>
      <w:bookmarkEnd w:id="1"/>
      <w:r w:rsidRPr="000021B1">
        <w:t>Madame, Monsieur,</w:t>
      </w:r>
    </w:p>
    <w:p w14:paraId="414E8038" w14:textId="5FFBC11C" w:rsidR="00996D13" w:rsidRPr="000021B1" w:rsidRDefault="00B30DF2" w:rsidP="00E162D1">
      <w:pPr>
        <w:rPr>
          <w:rFonts w:cstheme="minorHAnsi"/>
        </w:rPr>
      </w:pPr>
      <w:r w:rsidRPr="000021B1">
        <w:t xml:space="preserve">En </w:t>
      </w:r>
      <w:r w:rsidR="00C5315F" w:rsidRPr="000021B1">
        <w:t>référence</w:t>
      </w:r>
      <w:r w:rsidR="00F1085C" w:rsidRPr="000021B1">
        <w:t xml:space="preserve"> à la </w:t>
      </w:r>
      <w:hyperlink r:id="rId10" w:history="1">
        <w:r w:rsidR="00587329" w:rsidRPr="000021B1">
          <w:rPr>
            <w:rStyle w:val="Hyperlink"/>
          </w:rPr>
          <w:t>Circulaire CL-21/3</w:t>
        </w:r>
      </w:hyperlink>
      <w:r w:rsidR="00587329" w:rsidRPr="000021B1">
        <w:t xml:space="preserve"> </w:t>
      </w:r>
      <w:r w:rsidR="00F1085C" w:rsidRPr="000021B1">
        <w:t xml:space="preserve">du </w:t>
      </w:r>
      <w:r w:rsidR="00587329" w:rsidRPr="000021B1">
        <w:t xml:space="preserve">3 février </w:t>
      </w:r>
      <w:r w:rsidR="00F1085C" w:rsidRPr="000021B1">
        <w:t>202</w:t>
      </w:r>
      <w:r w:rsidR="00587329" w:rsidRPr="000021B1">
        <w:t>1</w:t>
      </w:r>
      <w:r w:rsidR="00F1085C" w:rsidRPr="000021B1">
        <w:t xml:space="preserve">, </w:t>
      </w:r>
      <w:r w:rsidR="00941666" w:rsidRPr="000021B1">
        <w:t xml:space="preserve">les États Membres de l'UIT ont donné leur </w:t>
      </w:r>
      <w:proofErr w:type="gramStart"/>
      <w:r w:rsidR="00941666" w:rsidRPr="000021B1">
        <w:t>accord</w:t>
      </w:r>
      <w:proofErr w:type="gramEnd"/>
      <w:r w:rsidR="00941666" w:rsidRPr="000021B1">
        <w:t xml:space="preserve"> concernant le report de la prochaine AMNT pour qu'elle se tienne du </w:t>
      </w:r>
      <w:r w:rsidR="00587329" w:rsidRPr="000021B1">
        <w:t>1er</w:t>
      </w:r>
      <w:r w:rsidR="00941666" w:rsidRPr="000021B1">
        <w:t xml:space="preserve"> au </w:t>
      </w:r>
      <w:r w:rsidR="00587329" w:rsidRPr="000021B1">
        <w:t>9</w:t>
      </w:r>
      <w:r w:rsidR="00F1085C" w:rsidRPr="000021B1">
        <w:t> </w:t>
      </w:r>
      <w:r w:rsidR="00941666" w:rsidRPr="000021B1">
        <w:t>mars 202</w:t>
      </w:r>
      <w:r w:rsidR="00587329" w:rsidRPr="000021B1">
        <w:t>2</w:t>
      </w:r>
      <w:r w:rsidR="00941666" w:rsidRPr="000021B1">
        <w:t xml:space="preserve">, </w:t>
      </w:r>
      <w:r w:rsidR="00587329" w:rsidRPr="000021B1">
        <w:t xml:space="preserve">précédée du </w:t>
      </w:r>
      <w:r w:rsidR="00941666" w:rsidRPr="000021B1">
        <w:t>Colloque mondial sur la normalisation qui aura lieu le 2</w:t>
      </w:r>
      <w:r w:rsidR="00587329" w:rsidRPr="000021B1">
        <w:t>8</w:t>
      </w:r>
      <w:r w:rsidR="00941666" w:rsidRPr="000021B1">
        <w:t xml:space="preserve"> février 202</w:t>
      </w:r>
      <w:r w:rsidR="00587329" w:rsidRPr="000021B1">
        <w:t>2</w:t>
      </w:r>
      <w:r w:rsidR="00941666" w:rsidRPr="000021B1">
        <w:t xml:space="preserve"> et sous réserve du rétablissement de conditions de travail et de voyage normales en Inde et dans les autres États Membres</w:t>
      </w:r>
      <w:r w:rsidR="00F1085C" w:rsidRPr="000021B1">
        <w:rPr>
          <w:rFonts w:cstheme="minorHAnsi"/>
        </w:rPr>
        <w:t>. L'AMNT-20</w:t>
      </w:r>
      <w:r w:rsidR="00941666" w:rsidRPr="000021B1">
        <w:rPr>
          <w:rFonts w:cstheme="minorHAnsi"/>
        </w:rPr>
        <w:t xml:space="preserve"> </w:t>
      </w:r>
      <w:r w:rsidR="00774971" w:rsidRPr="000021B1">
        <w:rPr>
          <w:rFonts w:cstheme="minorHAnsi"/>
        </w:rPr>
        <w:t xml:space="preserve">nommera les présidents et </w:t>
      </w:r>
      <w:r w:rsidR="00996D13" w:rsidRPr="000021B1">
        <w:rPr>
          <w:rFonts w:cstheme="minorHAnsi"/>
        </w:rPr>
        <w:t>vice-</w:t>
      </w:r>
      <w:r w:rsidR="00774971" w:rsidRPr="000021B1">
        <w:rPr>
          <w:rFonts w:cstheme="minorHAnsi"/>
        </w:rPr>
        <w:t xml:space="preserve">présidents des </w:t>
      </w:r>
      <w:r w:rsidR="00AB5026" w:rsidRPr="000021B1">
        <w:rPr>
          <w:rFonts w:cstheme="minorHAnsi"/>
        </w:rPr>
        <w:t>C</w:t>
      </w:r>
      <w:r w:rsidR="00774971" w:rsidRPr="000021B1">
        <w:rPr>
          <w:rFonts w:cstheme="minorHAnsi"/>
        </w:rPr>
        <w:t>ommissions d'études de l'UIT</w:t>
      </w:r>
      <w:r w:rsidR="00996D13" w:rsidRPr="000021B1">
        <w:rPr>
          <w:rFonts w:cstheme="minorHAnsi"/>
        </w:rPr>
        <w:t xml:space="preserve">-T, </w:t>
      </w:r>
      <w:r w:rsidR="00774971" w:rsidRPr="000021B1">
        <w:rPr>
          <w:rFonts w:cstheme="minorHAnsi"/>
        </w:rPr>
        <w:t xml:space="preserve">du Groupe consultatif de la normalisation des télécommunications </w:t>
      </w:r>
      <w:r w:rsidR="00996D13" w:rsidRPr="000021B1">
        <w:rPr>
          <w:rFonts w:cstheme="minorHAnsi"/>
        </w:rPr>
        <w:t>(</w:t>
      </w:r>
      <w:r w:rsidR="00774971" w:rsidRPr="000021B1">
        <w:rPr>
          <w:rFonts w:cstheme="minorHAnsi"/>
        </w:rPr>
        <w:t>GCNT</w:t>
      </w:r>
      <w:r w:rsidR="00996D13" w:rsidRPr="000021B1">
        <w:rPr>
          <w:rFonts w:cstheme="minorHAnsi"/>
        </w:rPr>
        <w:t xml:space="preserve">) </w:t>
      </w:r>
      <w:r w:rsidR="00774971" w:rsidRPr="000021B1">
        <w:rPr>
          <w:rFonts w:cstheme="minorHAnsi"/>
        </w:rPr>
        <w:t xml:space="preserve">et du Comité de normalisation pour le vocabulaire </w:t>
      </w:r>
      <w:r w:rsidR="00996D13" w:rsidRPr="000021B1">
        <w:rPr>
          <w:rFonts w:cstheme="minorHAnsi"/>
        </w:rPr>
        <w:t xml:space="preserve">(SCV) </w:t>
      </w:r>
      <w:r w:rsidR="00774971" w:rsidRPr="000021B1">
        <w:rPr>
          <w:rFonts w:cstheme="minorHAnsi"/>
        </w:rPr>
        <w:t xml:space="preserve">pour la période </w:t>
      </w:r>
      <w:r w:rsidR="00996D13" w:rsidRPr="000021B1">
        <w:rPr>
          <w:rFonts w:cstheme="minorHAnsi"/>
        </w:rPr>
        <w:t>202</w:t>
      </w:r>
      <w:r w:rsidR="00587329" w:rsidRPr="000021B1">
        <w:rPr>
          <w:rFonts w:cstheme="minorHAnsi"/>
        </w:rPr>
        <w:t>2</w:t>
      </w:r>
      <w:r w:rsidR="00996D13" w:rsidRPr="000021B1">
        <w:rPr>
          <w:rFonts w:cstheme="minorHAnsi"/>
        </w:rPr>
        <w:t>-2024.</w:t>
      </w:r>
    </w:p>
    <w:p w14:paraId="7B99C0E0" w14:textId="78CEC52A" w:rsidR="00996D13" w:rsidRPr="000021B1" w:rsidRDefault="00774971" w:rsidP="00E162D1">
      <w:pPr>
        <w:rPr>
          <w:rFonts w:cstheme="minorHAnsi"/>
        </w:rPr>
      </w:pPr>
      <w:r w:rsidRPr="000021B1">
        <w:rPr>
          <w:rFonts w:cstheme="minorHAnsi"/>
        </w:rPr>
        <w:t xml:space="preserve">Conformément à la </w:t>
      </w:r>
      <w:r w:rsidR="00996D13" w:rsidRPr="000021B1">
        <w:rPr>
          <w:rFonts w:cstheme="minorHAnsi"/>
        </w:rPr>
        <w:t>R</w:t>
      </w:r>
      <w:r w:rsidRPr="000021B1">
        <w:rPr>
          <w:rFonts w:cstheme="minorHAnsi"/>
        </w:rPr>
        <w:t>é</w:t>
      </w:r>
      <w:r w:rsidR="00996D13" w:rsidRPr="000021B1">
        <w:rPr>
          <w:rFonts w:cstheme="minorHAnsi"/>
        </w:rPr>
        <w:t>solution 208 (R</w:t>
      </w:r>
      <w:r w:rsidRPr="000021B1">
        <w:rPr>
          <w:rFonts w:cstheme="minorHAnsi"/>
        </w:rPr>
        <w:t>é</w:t>
      </w:r>
      <w:r w:rsidR="00996D13" w:rsidRPr="000021B1">
        <w:rPr>
          <w:rFonts w:cstheme="minorHAnsi"/>
        </w:rPr>
        <w:t>v. Duba</w:t>
      </w:r>
      <w:r w:rsidRPr="000021B1">
        <w:rPr>
          <w:rFonts w:cstheme="minorHAnsi"/>
        </w:rPr>
        <w:t>ï</w:t>
      </w:r>
      <w:r w:rsidR="00996D13" w:rsidRPr="000021B1">
        <w:rPr>
          <w:rFonts w:cstheme="minorHAnsi"/>
        </w:rPr>
        <w:t xml:space="preserve">, 2018) </w:t>
      </w:r>
      <w:r w:rsidRPr="000021B1">
        <w:rPr>
          <w:rFonts w:cstheme="minorHAnsi"/>
        </w:rPr>
        <w:t xml:space="preserve">de la Conférence de plénipotentiaires sur la nomination et la durée maximale du mandat des présidents et des vice-présidents des groupes consultatifs, des commissions d'études et des autres groupes des </w:t>
      </w:r>
      <w:r w:rsidR="001C584C" w:rsidRPr="000021B1">
        <w:rPr>
          <w:rFonts w:cstheme="minorHAnsi"/>
        </w:rPr>
        <w:t>S</w:t>
      </w:r>
      <w:r w:rsidRPr="000021B1">
        <w:rPr>
          <w:rFonts w:cstheme="minorHAnsi"/>
        </w:rPr>
        <w:t xml:space="preserve">ecteurs </w:t>
      </w:r>
      <w:r w:rsidR="00996D13" w:rsidRPr="000021B1">
        <w:rPr>
          <w:rFonts w:cstheme="minorHAnsi"/>
        </w:rPr>
        <w:t>(</w:t>
      </w:r>
      <w:r w:rsidRPr="000021B1">
        <w:rPr>
          <w:rFonts w:cstheme="minorHAnsi"/>
        </w:rPr>
        <w:t>voir l'</w:t>
      </w:r>
      <w:r w:rsidR="00996D13" w:rsidRPr="000021B1">
        <w:rPr>
          <w:rFonts w:cstheme="minorHAnsi"/>
        </w:rPr>
        <w:t>Annex</w:t>
      </w:r>
      <w:r w:rsidRPr="000021B1">
        <w:rPr>
          <w:rFonts w:cstheme="minorHAnsi"/>
        </w:rPr>
        <w:t>e</w:t>
      </w:r>
      <w:r w:rsidR="00996D13" w:rsidRPr="000021B1">
        <w:rPr>
          <w:rFonts w:cstheme="minorHAnsi"/>
        </w:rPr>
        <w:t xml:space="preserve"> 1 </w:t>
      </w:r>
      <w:r w:rsidRPr="000021B1">
        <w:rPr>
          <w:rFonts w:cstheme="minorHAnsi"/>
        </w:rPr>
        <w:t xml:space="preserve">de la </w:t>
      </w:r>
      <w:r w:rsidR="00996D13" w:rsidRPr="000021B1">
        <w:rPr>
          <w:rFonts w:cstheme="minorHAnsi"/>
        </w:rPr>
        <w:t>Circula</w:t>
      </w:r>
      <w:r w:rsidRPr="000021B1">
        <w:rPr>
          <w:rFonts w:cstheme="minorHAnsi"/>
        </w:rPr>
        <w:t>ire</w:t>
      </w:r>
      <w:r w:rsidR="00941666" w:rsidRPr="000021B1">
        <w:rPr>
          <w:rFonts w:cstheme="minorHAnsi"/>
        </w:rPr>
        <w:t> 202</w:t>
      </w:r>
      <w:r w:rsidR="00996D13" w:rsidRPr="000021B1">
        <w:rPr>
          <w:rFonts w:cstheme="minorHAnsi"/>
        </w:rPr>
        <w:t xml:space="preserve">) </w:t>
      </w:r>
      <w:r w:rsidRPr="000021B1">
        <w:rPr>
          <w:rFonts w:cstheme="minorHAnsi"/>
        </w:rPr>
        <w:t xml:space="preserve">et à la </w:t>
      </w:r>
      <w:r w:rsidR="00996D13" w:rsidRPr="000021B1">
        <w:rPr>
          <w:rFonts w:cstheme="minorHAnsi"/>
        </w:rPr>
        <w:t>R</w:t>
      </w:r>
      <w:r w:rsidRPr="000021B1">
        <w:rPr>
          <w:rFonts w:cstheme="minorHAnsi"/>
        </w:rPr>
        <w:t>é</w:t>
      </w:r>
      <w:r w:rsidR="00996D13" w:rsidRPr="000021B1">
        <w:rPr>
          <w:rFonts w:cstheme="minorHAnsi"/>
        </w:rPr>
        <w:t>solution 35 (R</w:t>
      </w:r>
      <w:r w:rsidRPr="000021B1">
        <w:rPr>
          <w:rFonts w:cstheme="minorHAnsi"/>
        </w:rPr>
        <w:t>é</w:t>
      </w:r>
      <w:r w:rsidR="00996D13" w:rsidRPr="000021B1">
        <w:rPr>
          <w:rFonts w:cstheme="minorHAnsi"/>
        </w:rPr>
        <w:t xml:space="preserve">v. Hammamet, 2016) </w:t>
      </w:r>
      <w:r w:rsidRPr="000021B1">
        <w:rPr>
          <w:rFonts w:cstheme="minorHAnsi"/>
        </w:rPr>
        <w:t xml:space="preserve">de l'AMNT sur la désignation et la durée maximale du mandat des présidents et </w:t>
      </w:r>
      <w:r w:rsidR="00D117A4" w:rsidRPr="000021B1">
        <w:rPr>
          <w:rFonts w:cstheme="minorHAnsi"/>
        </w:rPr>
        <w:t>vice-présidents</w:t>
      </w:r>
      <w:r w:rsidRPr="000021B1">
        <w:rPr>
          <w:rFonts w:cstheme="minorHAnsi"/>
        </w:rPr>
        <w:t xml:space="preserve"> des </w:t>
      </w:r>
      <w:r w:rsidR="00AB5026" w:rsidRPr="000021B1">
        <w:rPr>
          <w:rFonts w:cstheme="minorHAnsi"/>
        </w:rPr>
        <w:t>C</w:t>
      </w:r>
      <w:r w:rsidRPr="000021B1">
        <w:rPr>
          <w:rFonts w:cstheme="minorHAnsi"/>
        </w:rPr>
        <w:t>ommissions d'études du Secteur de la normalisation des télécommunications de l'UIT et du Groupe consultatif de la normalisation des télécommunications</w:t>
      </w:r>
      <w:r w:rsidR="00996D13" w:rsidRPr="000021B1">
        <w:rPr>
          <w:rFonts w:cstheme="minorHAnsi"/>
        </w:rPr>
        <w:t xml:space="preserve"> (</w:t>
      </w:r>
      <w:r w:rsidRPr="000021B1">
        <w:rPr>
          <w:rFonts w:cstheme="minorHAnsi"/>
        </w:rPr>
        <w:t>voir l'</w:t>
      </w:r>
      <w:r w:rsidR="00996D13" w:rsidRPr="000021B1">
        <w:rPr>
          <w:rFonts w:cstheme="minorHAnsi"/>
        </w:rPr>
        <w:t>Annex</w:t>
      </w:r>
      <w:r w:rsidRPr="000021B1">
        <w:rPr>
          <w:rFonts w:cstheme="minorHAnsi"/>
        </w:rPr>
        <w:t>e</w:t>
      </w:r>
      <w:r w:rsidR="00996D13" w:rsidRPr="000021B1">
        <w:rPr>
          <w:rFonts w:cstheme="minorHAnsi"/>
        </w:rPr>
        <w:t xml:space="preserve"> 2 </w:t>
      </w:r>
      <w:r w:rsidRPr="000021B1">
        <w:rPr>
          <w:rFonts w:cstheme="minorHAnsi"/>
        </w:rPr>
        <w:t xml:space="preserve">de la </w:t>
      </w:r>
      <w:r w:rsidR="00996D13" w:rsidRPr="000021B1">
        <w:rPr>
          <w:rFonts w:cstheme="minorHAnsi"/>
        </w:rPr>
        <w:t>Circula</w:t>
      </w:r>
      <w:r w:rsidRPr="000021B1">
        <w:rPr>
          <w:rFonts w:cstheme="minorHAnsi"/>
        </w:rPr>
        <w:t>ire</w:t>
      </w:r>
      <w:r w:rsidR="00941666" w:rsidRPr="000021B1">
        <w:rPr>
          <w:rFonts w:cstheme="minorHAnsi"/>
        </w:rPr>
        <w:t> 202</w:t>
      </w:r>
      <w:r w:rsidR="00996D13" w:rsidRPr="000021B1">
        <w:rPr>
          <w:rFonts w:cstheme="minorHAnsi"/>
        </w:rPr>
        <w:t xml:space="preserve">), </w:t>
      </w:r>
      <w:r w:rsidR="00AA62E7" w:rsidRPr="000021B1">
        <w:t>afin d'aider l'AMNT à nommer les présidents et les vice</w:t>
      </w:r>
      <w:r w:rsidR="00AA62E7" w:rsidRPr="000021B1">
        <w:noBreakHyphen/>
        <w:t>présidents</w:t>
      </w:r>
      <w:r w:rsidR="00AA62E7" w:rsidRPr="000021B1">
        <w:rPr>
          <w:rFonts w:cstheme="minorHAnsi"/>
        </w:rPr>
        <w:t xml:space="preserve"> des </w:t>
      </w:r>
      <w:r w:rsidR="001C584C" w:rsidRPr="000021B1">
        <w:rPr>
          <w:rFonts w:cstheme="minorHAnsi"/>
        </w:rPr>
        <w:t>C</w:t>
      </w:r>
      <w:r w:rsidR="00AA62E7" w:rsidRPr="000021B1">
        <w:rPr>
          <w:rFonts w:cstheme="minorHAnsi"/>
        </w:rPr>
        <w:t>ommissions d'études de l'UIT-T, du Groupe consultatif de la normalisation des télécommunications (GCNT) et du Comité de normalisation pour le vocabulaire (SCV)</w:t>
      </w:r>
      <w:r w:rsidR="00733843" w:rsidRPr="000021B1">
        <w:rPr>
          <w:rFonts w:cstheme="minorHAnsi"/>
        </w:rPr>
        <w:t xml:space="preserve">, </w:t>
      </w:r>
      <w:r w:rsidR="00733843" w:rsidRPr="000021B1">
        <w:t>les États Membres</w:t>
      </w:r>
      <w:r w:rsidR="001C584C" w:rsidRPr="000021B1">
        <w:t xml:space="preserve"> et</w:t>
      </w:r>
      <w:r w:rsidR="00733843" w:rsidRPr="000021B1">
        <w:t xml:space="preserve"> les Membres du Secteur de l'UIT</w:t>
      </w:r>
      <w:r w:rsidR="00733843" w:rsidRPr="000021B1">
        <w:noBreakHyphen/>
        <w:t xml:space="preserve">T </w:t>
      </w:r>
      <w:r w:rsidR="001C584C" w:rsidRPr="000021B1">
        <w:t>ainsi que</w:t>
      </w:r>
      <w:r w:rsidR="00733843" w:rsidRPr="000021B1">
        <w:t xml:space="preserve"> les commissions d'études concernées</w:t>
      </w:r>
      <w:r w:rsidR="001C584C" w:rsidRPr="000021B1">
        <w:t xml:space="preserve"> et le GCNT</w:t>
      </w:r>
      <w:r w:rsidR="00733843" w:rsidRPr="000021B1">
        <w:t xml:space="preserve"> sont invités à faire connaître les candidats qualifiés</w:t>
      </w:r>
      <w:r w:rsidR="00996D13" w:rsidRPr="000021B1">
        <w:rPr>
          <w:rFonts w:cstheme="minorHAnsi"/>
        </w:rPr>
        <w:t>.</w:t>
      </w:r>
    </w:p>
    <w:p w14:paraId="1113021A" w14:textId="3264B206" w:rsidR="001C7420" w:rsidRPr="000021B1" w:rsidRDefault="00C95C71" w:rsidP="00E162D1">
      <w:pPr>
        <w:rPr>
          <w:bCs/>
        </w:rPr>
      </w:pPr>
      <w:r w:rsidRPr="000021B1">
        <w:rPr>
          <w:bCs/>
        </w:rPr>
        <w:t>La</w:t>
      </w:r>
      <w:r w:rsidR="00F1085C" w:rsidRPr="000021B1">
        <w:rPr>
          <w:bCs/>
        </w:rPr>
        <w:t xml:space="preserve"> page web </w:t>
      </w:r>
      <w:hyperlink r:id="rId11" w:history="1">
        <w:r w:rsidR="00F1085C" w:rsidRPr="000021B1">
          <w:rPr>
            <w:rStyle w:val="Hyperlink"/>
            <w:bCs/>
          </w:rPr>
          <w:t>https://www.itu.int/en/ITU-T/wtsa20/candidates</w:t>
        </w:r>
      </w:hyperlink>
      <w:r w:rsidRPr="000021B1">
        <w:rPr>
          <w:bCs/>
        </w:rPr>
        <w:t xml:space="preserve"> contient la liste des candidatures qui ont déjà été présentées par d</w:t>
      </w:r>
      <w:r w:rsidR="00B8158F" w:rsidRPr="000021B1">
        <w:rPr>
          <w:bCs/>
        </w:rPr>
        <w:t>iverses</w:t>
      </w:r>
      <w:r w:rsidRPr="000021B1">
        <w:rPr>
          <w:bCs/>
        </w:rPr>
        <w:t xml:space="preserve"> administrations/organisations.</w:t>
      </w:r>
      <w:r w:rsidR="00F1085C" w:rsidRPr="000021B1">
        <w:rPr>
          <w:bCs/>
        </w:rPr>
        <w:t xml:space="preserve"> </w:t>
      </w:r>
      <w:r w:rsidR="00996D13" w:rsidRPr="000021B1">
        <w:rPr>
          <w:bCs/>
        </w:rPr>
        <w:t xml:space="preserve">Si votre administration/organisation souhaite </w:t>
      </w:r>
      <w:r w:rsidR="00715D79" w:rsidRPr="000021B1">
        <w:rPr>
          <w:bCs/>
        </w:rPr>
        <w:t xml:space="preserve">elle </w:t>
      </w:r>
      <w:r w:rsidR="00DC6497" w:rsidRPr="000021B1">
        <w:rPr>
          <w:bCs/>
        </w:rPr>
        <w:t xml:space="preserve">aussi </w:t>
      </w:r>
      <w:r w:rsidR="00996D13" w:rsidRPr="000021B1">
        <w:rPr>
          <w:bCs/>
        </w:rPr>
        <w:t xml:space="preserve">proposer un candidat à la fonction de président ou de vice-président d'une </w:t>
      </w:r>
      <w:r w:rsidR="001C584C" w:rsidRPr="000021B1">
        <w:rPr>
          <w:bCs/>
        </w:rPr>
        <w:t>C</w:t>
      </w:r>
      <w:r w:rsidR="00996D13" w:rsidRPr="000021B1">
        <w:rPr>
          <w:bCs/>
        </w:rPr>
        <w:t>ommission d'études de l'UIT</w:t>
      </w:r>
      <w:r w:rsidR="00996D13" w:rsidRPr="000021B1">
        <w:rPr>
          <w:bCs/>
        </w:rPr>
        <w:noBreakHyphen/>
        <w:t xml:space="preserve">T, du GCNT ou du SCV, ou exprimer son </w:t>
      </w:r>
      <w:r w:rsidR="001C7420" w:rsidRPr="000021B1">
        <w:rPr>
          <w:bCs/>
        </w:rPr>
        <w:br w:type="page"/>
      </w:r>
    </w:p>
    <w:p w14:paraId="639259B0" w14:textId="6031146D" w:rsidR="00996D13" w:rsidRPr="000021B1" w:rsidRDefault="00996D13" w:rsidP="00E162D1">
      <w:pPr>
        <w:rPr>
          <w:bCs/>
        </w:rPr>
      </w:pPr>
      <w:proofErr w:type="gramStart"/>
      <w:r w:rsidRPr="000021B1">
        <w:rPr>
          <w:bCs/>
        </w:rPr>
        <w:lastRenderedPageBreak/>
        <w:t>soutien</w:t>
      </w:r>
      <w:proofErr w:type="gramEnd"/>
      <w:r w:rsidRPr="000021B1">
        <w:rPr>
          <w:bCs/>
        </w:rPr>
        <w:t xml:space="preserve"> à un président ou à un vice-président actuellement en fonction, je vous serais extrêmement reconnaissant de bien vouloir me faire parvenir d'ici le </w:t>
      </w:r>
      <w:r w:rsidR="00587329" w:rsidRPr="000021B1">
        <w:rPr>
          <w:b/>
        </w:rPr>
        <w:t>30</w:t>
      </w:r>
      <w:r w:rsidR="00941666" w:rsidRPr="000021B1">
        <w:rPr>
          <w:b/>
        </w:rPr>
        <w:t> novembre </w:t>
      </w:r>
      <w:r w:rsidRPr="000021B1">
        <w:rPr>
          <w:b/>
        </w:rPr>
        <w:t>202</w:t>
      </w:r>
      <w:r w:rsidR="00587329" w:rsidRPr="000021B1">
        <w:rPr>
          <w:b/>
        </w:rPr>
        <w:t>1</w:t>
      </w:r>
      <w:r w:rsidRPr="000021B1">
        <w:rPr>
          <w:bCs/>
        </w:rPr>
        <w:t xml:space="preserve">, </w:t>
      </w:r>
      <w:r w:rsidR="00733843" w:rsidRPr="000021B1">
        <w:rPr>
          <w:bCs/>
        </w:rPr>
        <w:t>et au plus tard le</w:t>
      </w:r>
      <w:r w:rsidR="001C584C" w:rsidRPr="000021B1">
        <w:rPr>
          <w:bCs/>
        </w:rPr>
        <w:t> </w:t>
      </w:r>
      <w:r w:rsidR="00587329" w:rsidRPr="000021B1">
        <w:rPr>
          <w:b/>
        </w:rPr>
        <w:t>14</w:t>
      </w:r>
      <w:r w:rsidR="00941666" w:rsidRPr="000021B1">
        <w:rPr>
          <w:b/>
        </w:rPr>
        <w:t> février 202</w:t>
      </w:r>
      <w:r w:rsidR="00587329" w:rsidRPr="000021B1">
        <w:rPr>
          <w:b/>
        </w:rPr>
        <w:t>2</w:t>
      </w:r>
      <w:r w:rsidR="00733843" w:rsidRPr="000021B1">
        <w:rPr>
          <w:bCs/>
        </w:rPr>
        <w:t xml:space="preserve">, </w:t>
      </w:r>
      <w:r w:rsidRPr="000021B1">
        <w:rPr>
          <w:bCs/>
        </w:rPr>
        <w:t>le nom et une notice biographique de la personne concernée, faisant ressortir ses qualifications.</w:t>
      </w:r>
    </w:p>
    <w:p w14:paraId="0087B19F" w14:textId="2BBC34F0" w:rsidR="00996D13" w:rsidRPr="000021B1" w:rsidRDefault="00733843" w:rsidP="00E162D1">
      <w:pPr>
        <w:rPr>
          <w:bCs/>
        </w:rPr>
      </w:pPr>
      <w:r w:rsidRPr="000021B1">
        <w:rPr>
          <w:bCs/>
        </w:rPr>
        <w:t>U</w:t>
      </w:r>
      <w:r w:rsidR="00996D13" w:rsidRPr="000021B1">
        <w:rPr>
          <w:bCs/>
        </w:rPr>
        <w:t xml:space="preserve">ne réunion de responsables avec les Présidents et Vice-Présidents nouvellement </w:t>
      </w:r>
      <w:r w:rsidRPr="000021B1">
        <w:rPr>
          <w:bCs/>
        </w:rPr>
        <w:t xml:space="preserve">nommés aura lieu le </w:t>
      </w:r>
      <w:r w:rsidR="00587329" w:rsidRPr="000021B1">
        <w:rPr>
          <w:bCs/>
        </w:rPr>
        <w:t>10</w:t>
      </w:r>
      <w:r w:rsidR="00941666" w:rsidRPr="000021B1">
        <w:rPr>
          <w:bCs/>
        </w:rPr>
        <w:t> mars 202</w:t>
      </w:r>
      <w:r w:rsidR="00587329" w:rsidRPr="000021B1">
        <w:rPr>
          <w:bCs/>
        </w:rPr>
        <w:t>2</w:t>
      </w:r>
      <w:r w:rsidRPr="000021B1">
        <w:rPr>
          <w:bCs/>
        </w:rPr>
        <w:t xml:space="preserve">, </w:t>
      </w:r>
      <w:r w:rsidR="00516426" w:rsidRPr="000021B1">
        <w:rPr>
          <w:bCs/>
        </w:rPr>
        <w:t>c'est-à-dire le lendemain de la plénière de clôture de l'AMNT-20</w:t>
      </w:r>
      <w:r w:rsidR="00996D13" w:rsidRPr="000021B1">
        <w:rPr>
          <w:bCs/>
        </w:rPr>
        <w:t>.</w:t>
      </w:r>
    </w:p>
    <w:p w14:paraId="40013750" w14:textId="371E0D5D" w:rsidR="00996D13" w:rsidRPr="000021B1" w:rsidRDefault="00516426" w:rsidP="00E162D1">
      <w:pPr>
        <w:rPr>
          <w:bCs/>
        </w:rPr>
      </w:pPr>
      <w:r w:rsidRPr="000021B1">
        <w:rPr>
          <w:bCs/>
        </w:rPr>
        <w:t>J</w:t>
      </w:r>
      <w:r w:rsidR="00996D13" w:rsidRPr="000021B1">
        <w:rPr>
          <w:bCs/>
        </w:rPr>
        <w:t xml:space="preserve">e tiens à attirer votre attention sur la procédure de </w:t>
      </w:r>
      <w:r w:rsidRPr="000021B1">
        <w:rPr>
          <w:bCs/>
        </w:rPr>
        <w:t xml:space="preserve">nomination </w:t>
      </w:r>
      <w:r w:rsidR="00996D13" w:rsidRPr="000021B1">
        <w:rPr>
          <w:bCs/>
        </w:rPr>
        <w:t xml:space="preserve">des présidents et vice-présidents décrite dans la Résolution </w:t>
      </w:r>
      <w:r w:rsidRPr="000021B1">
        <w:rPr>
          <w:bCs/>
        </w:rPr>
        <w:t xml:space="preserve">208 (Rév. Dubaï, 2018) </w:t>
      </w:r>
      <w:r w:rsidR="00996D13" w:rsidRPr="000021B1">
        <w:rPr>
          <w:bCs/>
        </w:rPr>
        <w:t xml:space="preserve">de </w:t>
      </w:r>
      <w:r w:rsidRPr="000021B1">
        <w:rPr>
          <w:bCs/>
        </w:rPr>
        <w:t xml:space="preserve">la Conférence de plénipotentiaires </w:t>
      </w:r>
      <w:r w:rsidR="00996D13" w:rsidRPr="000021B1">
        <w:rPr>
          <w:bCs/>
        </w:rPr>
        <w:t>(</w:t>
      </w:r>
      <w:r w:rsidRPr="000021B1">
        <w:rPr>
          <w:bCs/>
        </w:rPr>
        <w:t>voir l'</w:t>
      </w:r>
      <w:r w:rsidR="00996D13" w:rsidRPr="000021B1">
        <w:rPr>
          <w:bCs/>
        </w:rPr>
        <w:t>Annexe 1 de la Circulaire</w:t>
      </w:r>
      <w:r w:rsidR="00BE55C2" w:rsidRPr="000021B1">
        <w:rPr>
          <w:bCs/>
        </w:rPr>
        <w:t> 202</w:t>
      </w:r>
      <w:r w:rsidR="00996D13" w:rsidRPr="000021B1">
        <w:rPr>
          <w:bCs/>
        </w:rPr>
        <w:t>). En outre, conformément au § 3.2 de la Résolution 1 (Rév.</w:t>
      </w:r>
      <w:r w:rsidR="001C584C" w:rsidRPr="000021B1">
        <w:rPr>
          <w:bCs/>
        </w:rPr>
        <w:t> </w:t>
      </w:r>
      <w:r w:rsidRPr="000021B1">
        <w:rPr>
          <w:bCs/>
        </w:rPr>
        <w:t>Hammamet</w:t>
      </w:r>
      <w:r w:rsidR="00996D13" w:rsidRPr="000021B1">
        <w:rPr>
          <w:bCs/>
        </w:rPr>
        <w:t>, 201</w:t>
      </w:r>
      <w:r w:rsidRPr="000021B1">
        <w:rPr>
          <w:bCs/>
        </w:rPr>
        <w:t>6</w:t>
      </w:r>
      <w:r w:rsidR="00996D13" w:rsidRPr="000021B1">
        <w:rPr>
          <w:bCs/>
        </w:rPr>
        <w:t>)</w:t>
      </w:r>
      <w:r w:rsidRPr="000021B1">
        <w:rPr>
          <w:bCs/>
        </w:rPr>
        <w:t xml:space="preserve"> de l'AMNT</w:t>
      </w:r>
      <w:r w:rsidR="00996D13" w:rsidRPr="000021B1">
        <w:rPr>
          <w:bCs/>
        </w:rPr>
        <w:t>, "</w:t>
      </w:r>
      <w:r w:rsidRPr="000021B1">
        <w:rPr>
          <w:bCs/>
        </w:rPr>
        <w:t>La désignation des présidents et des vice-présidents s'appuie sur des considérations de compétences établies à la fois dans le domaine technique de la commission d'études considérée et en ce qui concerne les talents d'organisateur nécessaires, compte tenu de la nécessité de promouvoir une répartition géographique équitable, l'équilibre hommes/femmes et la participation des pays en développement. Les personnes désignées devraient être actives dans le domaine de la commission d'études concernée et engagées dans ses travaux. Les autres considérations sont secondaires, y compris l'occupation antérieure par le candidat de la charge en question</w:t>
      </w:r>
      <w:r w:rsidR="00996D13" w:rsidRPr="000021B1">
        <w:rPr>
          <w:bCs/>
        </w:rPr>
        <w:t>"</w:t>
      </w:r>
      <w:r w:rsidR="001C584C" w:rsidRPr="000021B1">
        <w:rPr>
          <w:bCs/>
        </w:rPr>
        <w:t>.</w:t>
      </w:r>
    </w:p>
    <w:p w14:paraId="09B3CED5" w14:textId="77777777" w:rsidR="00996D13" w:rsidRPr="000021B1" w:rsidRDefault="00996D13" w:rsidP="00E162D1">
      <w:pPr>
        <w:rPr>
          <w:bCs/>
        </w:rPr>
      </w:pPr>
      <w:r w:rsidRPr="000021B1">
        <w:rPr>
          <w:bCs/>
        </w:rPr>
        <w:t xml:space="preserve">Aux termes du numéro 242 de la Convention de </w:t>
      </w:r>
      <w:proofErr w:type="gramStart"/>
      <w:r w:rsidRPr="000021B1">
        <w:rPr>
          <w:bCs/>
        </w:rPr>
        <w:t>l'UIT:</w:t>
      </w:r>
      <w:proofErr w:type="gramEnd"/>
      <w:r w:rsidRPr="000021B1">
        <w:rPr>
          <w:bCs/>
        </w:rPr>
        <w:t xml:space="preserve"> "[…] l'assemblée mondiale de normalisation des télécommunications […] nomment le président de chaque commission d'études et un ou plusieurs vice-présidents. Lors de la nomination des présidents et des vice-présidents, on tiendra compte tout particulièrement des critères de compétence et de l'exigence d'une répartition géographique équitable, ainsi que de la nécessité de favoriser une participation plus efficace des pays en développement".</w:t>
      </w:r>
    </w:p>
    <w:p w14:paraId="3E403F52" w14:textId="1C59355D" w:rsidR="00B5785C" w:rsidRPr="000021B1" w:rsidRDefault="00516426" w:rsidP="00E162D1">
      <w:pPr>
        <w:rPr>
          <w:bCs/>
        </w:rPr>
      </w:pPr>
      <w:r w:rsidRPr="000021B1">
        <w:rPr>
          <w:rFonts w:cstheme="minorHAnsi"/>
        </w:rPr>
        <w:t>Outre la Résolution 208 (Rév. Dubaï, 2018) de la Conférence de plénipotentiaires et la Résolution</w:t>
      </w:r>
      <w:r w:rsidR="001C584C" w:rsidRPr="000021B1">
        <w:rPr>
          <w:rFonts w:cstheme="minorHAnsi"/>
        </w:rPr>
        <w:t> </w:t>
      </w:r>
      <w:r w:rsidRPr="000021B1">
        <w:rPr>
          <w:rFonts w:cstheme="minorHAnsi"/>
        </w:rPr>
        <w:t xml:space="preserve">35 (Rév. Hammamet, 2016) de l'AMNT, je tiens également à attirer votre </w:t>
      </w:r>
      <w:r w:rsidR="00996D13" w:rsidRPr="000021B1">
        <w:rPr>
          <w:bCs/>
        </w:rPr>
        <w:t xml:space="preserve">attention sur la Résolution 55 (Rév. </w:t>
      </w:r>
      <w:r w:rsidRPr="000021B1">
        <w:rPr>
          <w:bCs/>
        </w:rPr>
        <w:t>Hammamet</w:t>
      </w:r>
      <w:r w:rsidR="00996D13" w:rsidRPr="000021B1">
        <w:rPr>
          <w:bCs/>
        </w:rPr>
        <w:t>, 201</w:t>
      </w:r>
      <w:r w:rsidRPr="000021B1">
        <w:rPr>
          <w:bCs/>
        </w:rPr>
        <w:t>6</w:t>
      </w:r>
      <w:r w:rsidR="00996D13" w:rsidRPr="000021B1">
        <w:rPr>
          <w:bCs/>
        </w:rPr>
        <w:t>) de l'AMNT "</w:t>
      </w:r>
      <w:r w:rsidRPr="000021B1">
        <w:rPr>
          <w:bCs/>
        </w:rPr>
        <w:t>Promouvoir l'égalité entre les femmes et les hommes dans les activités du Secteur de la normalisation des télécommunications de l'UIT</w:t>
      </w:r>
      <w:r w:rsidR="00996D13" w:rsidRPr="000021B1">
        <w:rPr>
          <w:bCs/>
        </w:rPr>
        <w:t>"</w:t>
      </w:r>
      <w:r w:rsidRPr="000021B1">
        <w:rPr>
          <w:bCs/>
        </w:rPr>
        <w:t>,</w:t>
      </w:r>
      <w:r w:rsidR="00996D13" w:rsidRPr="000021B1">
        <w:rPr>
          <w:bCs/>
        </w:rPr>
        <w:t xml:space="preserve"> par laquelle les </w:t>
      </w:r>
      <w:r w:rsidRPr="000021B1">
        <w:rPr>
          <w:bCs/>
        </w:rPr>
        <w:t>É</w:t>
      </w:r>
      <w:r w:rsidR="00996D13" w:rsidRPr="000021B1">
        <w:rPr>
          <w:bCs/>
        </w:rPr>
        <w:t xml:space="preserve">tats Membres et les Membres de Secteur sont invités </w:t>
      </w:r>
      <w:r w:rsidR="00B5785C" w:rsidRPr="000021B1">
        <w:rPr>
          <w:bCs/>
        </w:rPr>
        <w:t>à présenter des candidatures aux fonctions de président et de vice-président en tenant compte de la participation active de femmes et d'hommes dans les groupes et activités de normalisation</w:t>
      </w:r>
      <w:r w:rsidR="001C584C" w:rsidRPr="000021B1">
        <w:rPr>
          <w:bCs/>
        </w:rPr>
        <w:t>.</w:t>
      </w:r>
    </w:p>
    <w:p w14:paraId="2B0DF0BB" w14:textId="77777777" w:rsidR="00996D13" w:rsidRPr="000021B1" w:rsidRDefault="00996D13" w:rsidP="00E162D1">
      <w:pPr>
        <w:rPr>
          <w:bCs/>
        </w:rPr>
      </w:pPr>
      <w:r w:rsidRPr="000021B1">
        <w:rPr>
          <w:bCs/>
        </w:rPr>
        <w:t xml:space="preserve">Compte tenu de l'expérience acquise, je souhaite apporter les précisions </w:t>
      </w:r>
      <w:proofErr w:type="gramStart"/>
      <w:r w:rsidRPr="000021B1">
        <w:rPr>
          <w:bCs/>
        </w:rPr>
        <w:t>suivantes:</w:t>
      </w:r>
      <w:proofErr w:type="gramEnd"/>
    </w:p>
    <w:p w14:paraId="50D8F4CC" w14:textId="502F7EFF" w:rsidR="00996D13" w:rsidRPr="000021B1" w:rsidRDefault="00996D13" w:rsidP="00E162D1">
      <w:pPr>
        <w:pStyle w:val="enumlev1"/>
      </w:pPr>
      <w:r w:rsidRPr="000021B1">
        <w:t>–</w:t>
      </w:r>
      <w:r w:rsidRPr="000021B1">
        <w:tab/>
        <w:t>Les fonctions de président ou de vice-président d'une commission d'études ne sont pas exercées à titre honoraire.</w:t>
      </w:r>
    </w:p>
    <w:p w14:paraId="2E341F29" w14:textId="77777777" w:rsidR="00996D13" w:rsidRPr="000021B1" w:rsidRDefault="00996D13" w:rsidP="00E162D1">
      <w:pPr>
        <w:pStyle w:val="enumlev1"/>
      </w:pPr>
      <w:r w:rsidRPr="000021B1">
        <w:t>–</w:t>
      </w:r>
      <w:r w:rsidRPr="000021B1">
        <w:tab/>
        <w:t>Les engagements pris, en ce qui concerne le temps et les ressources nécessaires à l'exercice de la fonction de président ou de vice-président, par les candidats eux-mêmes et par l'administration qui les a proposés devraient être respectés.</w:t>
      </w:r>
    </w:p>
    <w:p w14:paraId="209C34B3" w14:textId="059D1EBA" w:rsidR="00996D13" w:rsidRPr="000021B1" w:rsidRDefault="00996D13" w:rsidP="00E162D1">
      <w:pPr>
        <w:pStyle w:val="enumlev1"/>
      </w:pPr>
      <w:r w:rsidRPr="000021B1">
        <w:t>–</w:t>
      </w:r>
      <w:r w:rsidRPr="000021B1">
        <w:tab/>
        <w:t xml:space="preserve">Les administrations sont priées de ne proposer qu'un nombre limité de candidats, notamment pour exercer la fonction de président, et de s'abstenir de soumettre des candidatures au poste de vice-président d'une commission d'études pour laquelle ils présentent un candidat au poste de président. Le fait qu'un candidat ne soit pas </w:t>
      </w:r>
      <w:r w:rsidR="001C584C" w:rsidRPr="000021B1">
        <w:t>nommé</w:t>
      </w:r>
      <w:r w:rsidRPr="000021B1">
        <w:t xml:space="preserve"> au poste de président ne lui donnera pas automatiquement le droit de prétendre à un poste de vice-président.</w:t>
      </w:r>
    </w:p>
    <w:p w14:paraId="239E7179" w14:textId="67C3A8B1" w:rsidR="00996D13" w:rsidRPr="000021B1" w:rsidRDefault="00996D13" w:rsidP="00E162D1">
      <w:pPr>
        <w:pStyle w:val="enumlev1"/>
      </w:pPr>
      <w:r w:rsidRPr="000021B1">
        <w:t>–</w:t>
      </w:r>
      <w:r w:rsidRPr="000021B1">
        <w:tab/>
        <w:t xml:space="preserve">Seules les candidatures présentées à l'avance seront prises en considération dans le processus de </w:t>
      </w:r>
      <w:r w:rsidR="001C584C" w:rsidRPr="000021B1">
        <w:t>nomination</w:t>
      </w:r>
      <w:r w:rsidRPr="000021B1">
        <w:t>.</w:t>
      </w:r>
    </w:p>
    <w:p w14:paraId="02FAD62E" w14:textId="77777777" w:rsidR="001C7420" w:rsidRPr="000021B1" w:rsidRDefault="001C7420" w:rsidP="00E162D1">
      <w:pPr>
        <w:rPr>
          <w:bCs/>
        </w:rPr>
      </w:pPr>
      <w:r w:rsidRPr="000021B1">
        <w:rPr>
          <w:bCs/>
        </w:rPr>
        <w:br w:type="page"/>
      </w:r>
    </w:p>
    <w:p w14:paraId="1073FC83" w14:textId="569DE8DA" w:rsidR="00996D13" w:rsidRPr="000021B1" w:rsidRDefault="00996D13" w:rsidP="00E162D1">
      <w:pPr>
        <w:rPr>
          <w:bCs/>
        </w:rPr>
      </w:pPr>
      <w:r w:rsidRPr="000021B1">
        <w:rPr>
          <w:bCs/>
        </w:rPr>
        <w:lastRenderedPageBreak/>
        <w:t xml:space="preserve">Veuillez noter que l'AMNT-12 a décidé que les </w:t>
      </w:r>
      <w:r w:rsidR="00AB5026" w:rsidRPr="000021B1">
        <w:rPr>
          <w:bCs/>
        </w:rPr>
        <w:t>p</w:t>
      </w:r>
      <w:r w:rsidRPr="000021B1">
        <w:rPr>
          <w:bCs/>
        </w:rPr>
        <w:t xml:space="preserve">résidents et </w:t>
      </w:r>
      <w:r w:rsidR="00AB5026" w:rsidRPr="000021B1">
        <w:rPr>
          <w:bCs/>
        </w:rPr>
        <w:t>v</w:t>
      </w:r>
      <w:r w:rsidRPr="000021B1">
        <w:rPr>
          <w:bCs/>
        </w:rPr>
        <w:t>ice-</w:t>
      </w:r>
      <w:r w:rsidR="00AB5026" w:rsidRPr="000021B1">
        <w:rPr>
          <w:bCs/>
        </w:rPr>
        <w:t>p</w:t>
      </w:r>
      <w:r w:rsidRPr="000021B1">
        <w:rPr>
          <w:bCs/>
        </w:rPr>
        <w:t xml:space="preserve">résidents de tous les groupes régionaux des commissions d'études (y compris ceux des groupes régionaux de la Commission d'études 3 de l'UIT-T) seront désignés directement par celles-ci et non plus par l'AMNT (voir les Actes de l'AMNT-12, Rapport </w:t>
      </w:r>
      <w:proofErr w:type="gramStart"/>
      <w:r w:rsidRPr="000021B1">
        <w:rPr>
          <w:bCs/>
        </w:rPr>
        <w:t>des 4ème</w:t>
      </w:r>
      <w:proofErr w:type="gramEnd"/>
      <w:r w:rsidRPr="000021B1">
        <w:rPr>
          <w:bCs/>
        </w:rPr>
        <w:t xml:space="preserve"> à 7ème séances plénières et de la cérémonie de clôture, section 8.2).</w:t>
      </w:r>
    </w:p>
    <w:p w14:paraId="4CAAE0FD" w14:textId="3C63FCAB" w:rsidR="00996D13" w:rsidRPr="000021B1" w:rsidRDefault="00996D13" w:rsidP="00E162D1">
      <w:pPr>
        <w:rPr>
          <w:bCs/>
        </w:rPr>
      </w:pPr>
      <w:r w:rsidRPr="000021B1">
        <w:rPr>
          <w:bCs/>
        </w:rPr>
        <w:t xml:space="preserve">Certains des </w:t>
      </w:r>
      <w:r w:rsidR="00AB5026" w:rsidRPr="000021B1">
        <w:rPr>
          <w:bCs/>
        </w:rPr>
        <w:t>p</w:t>
      </w:r>
      <w:r w:rsidRPr="000021B1">
        <w:rPr>
          <w:bCs/>
        </w:rPr>
        <w:t xml:space="preserve">résidents et </w:t>
      </w:r>
      <w:r w:rsidR="00AB5026" w:rsidRPr="000021B1">
        <w:rPr>
          <w:bCs/>
        </w:rPr>
        <w:t>v</w:t>
      </w:r>
      <w:r w:rsidRPr="000021B1">
        <w:rPr>
          <w:bCs/>
        </w:rPr>
        <w:t>ice-</w:t>
      </w:r>
      <w:r w:rsidR="00AB5026" w:rsidRPr="000021B1">
        <w:rPr>
          <w:bCs/>
        </w:rPr>
        <w:t>p</w:t>
      </w:r>
      <w:r w:rsidRPr="000021B1">
        <w:rPr>
          <w:bCs/>
        </w:rPr>
        <w:t xml:space="preserve">résidents actuels des commissions d'études et du GCNT auront effectué deux mandats complets avant la prochaine AMNT </w:t>
      </w:r>
      <w:r w:rsidR="00B5785C" w:rsidRPr="000021B1">
        <w:rPr>
          <w:bCs/>
        </w:rPr>
        <w:t xml:space="preserve">et ne seront pas rééligibles au même poste </w:t>
      </w:r>
      <w:r w:rsidRPr="000021B1">
        <w:rPr>
          <w:bCs/>
        </w:rPr>
        <w:t xml:space="preserve">(voir l'Annexe 3 de la </w:t>
      </w:r>
      <w:r w:rsidR="001C584C" w:rsidRPr="000021B1">
        <w:rPr>
          <w:bCs/>
        </w:rPr>
        <w:t>C</w:t>
      </w:r>
      <w:r w:rsidRPr="000021B1">
        <w:rPr>
          <w:bCs/>
        </w:rPr>
        <w:t>irculaire</w:t>
      </w:r>
      <w:r w:rsidR="00BE55C2" w:rsidRPr="000021B1">
        <w:rPr>
          <w:bCs/>
        </w:rPr>
        <w:t> 202</w:t>
      </w:r>
      <w:r w:rsidRPr="000021B1">
        <w:rPr>
          <w:bCs/>
        </w:rPr>
        <w:t xml:space="preserve">). Il n'y a pas de limite concernant le nombre de mandats pour le Président et </w:t>
      </w:r>
      <w:r w:rsidR="00B5785C" w:rsidRPr="000021B1">
        <w:rPr>
          <w:bCs/>
        </w:rPr>
        <w:t xml:space="preserve">les </w:t>
      </w:r>
      <w:r w:rsidRPr="000021B1">
        <w:rPr>
          <w:bCs/>
        </w:rPr>
        <w:t>Vice</w:t>
      </w:r>
      <w:r w:rsidRPr="000021B1">
        <w:rPr>
          <w:bCs/>
        </w:rPr>
        <w:noBreakHyphen/>
        <w:t>Présidents du SCV.</w:t>
      </w:r>
    </w:p>
    <w:p w14:paraId="02916656" w14:textId="5C51C74A" w:rsidR="00996D13" w:rsidRPr="000021B1" w:rsidRDefault="00996D13" w:rsidP="00E162D1">
      <w:pPr>
        <w:rPr>
          <w:bCs/>
        </w:rPr>
      </w:pPr>
      <w:r w:rsidRPr="000021B1">
        <w:rPr>
          <w:bCs/>
        </w:rPr>
        <w:t>En attendant de vous rencontrer à l'occasion de l'AMNT-20, je vous prie d'agréer, Madame, Monsieur, l'assurance de ma considération distinguée.</w:t>
      </w:r>
    </w:p>
    <w:p w14:paraId="06AB5D4C" w14:textId="5366735A" w:rsidR="00036F4F" w:rsidRPr="000021B1" w:rsidRDefault="00036F4F" w:rsidP="00E162D1">
      <w:pPr>
        <w:keepNext/>
        <w:keepLines/>
        <w:spacing w:before="480" w:after="480"/>
        <w:rPr>
          <w:i/>
          <w:iCs/>
        </w:rPr>
      </w:pPr>
      <w:r w:rsidRPr="000021B1">
        <w:rPr>
          <w:i/>
          <w:iCs/>
        </w:rPr>
        <w:t>(</w:t>
      </w:r>
      <w:proofErr w:type="gramStart"/>
      <w:r w:rsidRPr="000021B1">
        <w:rPr>
          <w:i/>
          <w:iCs/>
        </w:rPr>
        <w:t>signé</w:t>
      </w:r>
      <w:proofErr w:type="gramEnd"/>
      <w:r w:rsidRPr="000021B1">
        <w:rPr>
          <w:i/>
          <w:iCs/>
        </w:rPr>
        <w:t>)</w:t>
      </w:r>
    </w:p>
    <w:p w14:paraId="0BE4CCAD" w14:textId="3FCFCB8C" w:rsidR="00996D13" w:rsidRPr="000021B1" w:rsidRDefault="00036F4F" w:rsidP="000021B1">
      <w:pPr>
        <w:keepNext/>
        <w:keepLines/>
        <w:spacing w:before="360"/>
        <w:ind w:right="-284"/>
        <w:rPr>
          <w:b/>
        </w:rPr>
      </w:pPr>
      <w:r w:rsidRPr="000021B1">
        <w:t>Chaesub Lee</w:t>
      </w:r>
      <w:r w:rsidRPr="000021B1">
        <w:br/>
        <w:t xml:space="preserve">Directeur du Bureau de la normalisation </w:t>
      </w:r>
      <w:r w:rsidRPr="000021B1">
        <w:br/>
        <w:t>des télécommunications</w:t>
      </w:r>
      <w:r w:rsidRPr="000021B1">
        <w:rPr>
          <w:b/>
        </w:rPr>
        <w:t xml:space="preserve"> </w:t>
      </w:r>
    </w:p>
    <w:sectPr w:rsidR="00996D13" w:rsidRPr="000021B1" w:rsidSect="00A15179">
      <w:headerReference w:type="even" r:id="rId12"/>
      <w:headerReference w:type="default" r:id="rId13"/>
      <w:footerReference w:type="even" r:id="rId14"/>
      <w:footerReference w:type="default" r:id="rId15"/>
      <w:headerReference w:type="firs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3206C" w14:textId="77777777" w:rsidR="00F42423" w:rsidRDefault="00F42423">
      <w:r>
        <w:separator/>
      </w:r>
    </w:p>
  </w:endnote>
  <w:endnote w:type="continuationSeparator" w:id="0">
    <w:p w14:paraId="720FE855" w14:textId="77777777" w:rsidR="00F42423" w:rsidRDefault="00F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CD44" w14:textId="77777777" w:rsidR="007223D7" w:rsidRDefault="0072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2BAC3" w14:textId="19EBDFF9" w:rsidR="008279CB" w:rsidRPr="007223D7" w:rsidRDefault="008279CB" w:rsidP="00722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B702" w14:textId="77777777" w:rsidR="00F42423" w:rsidRPr="00F632E9" w:rsidRDefault="00F42423" w:rsidP="00085F5A">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w:t>
    </w:r>
    <w:r>
      <w:rPr>
        <w:sz w:val="18"/>
        <w:szCs w:val="18"/>
        <w:lang w:val="fr-CH"/>
      </w:rPr>
      <w:t xml:space="preserve"> </w:t>
    </w:r>
    <w:r w:rsidRPr="00F632E9">
      <w:rPr>
        <w:sz w:val="18"/>
        <w:szCs w:val="18"/>
        <w:lang w:val="fr-CH"/>
      </w:rPr>
      <w:t>• CH</w:t>
    </w:r>
    <w:r w:rsidRPr="00F632E9">
      <w:rPr>
        <w:sz w:val="18"/>
        <w:szCs w:val="18"/>
        <w:lang w:val="fr-CH"/>
      </w:rPr>
      <w:noBreakHyphen/>
      <w:t>1211 Genève 20</w:t>
    </w:r>
    <w:r>
      <w:rPr>
        <w:sz w:val="18"/>
        <w:szCs w:val="18"/>
        <w:lang w:val="fr-CH"/>
      </w:rPr>
      <w:t xml:space="preserve"> </w:t>
    </w:r>
    <w:r w:rsidRPr="00F632E9">
      <w:rPr>
        <w:sz w:val="18"/>
        <w:szCs w:val="18"/>
        <w:lang w:val="fr-CH"/>
      </w:rPr>
      <w:t xml:space="preserve">• Suisse </w:t>
    </w:r>
    <w:r w:rsidRPr="00F632E9">
      <w:rPr>
        <w:sz w:val="18"/>
        <w:szCs w:val="18"/>
        <w:lang w:val="fr-CH"/>
      </w:rPr>
      <w:br/>
    </w:r>
    <w:proofErr w:type="gramStart"/>
    <w:r w:rsidRPr="00F632E9">
      <w:rPr>
        <w:sz w:val="18"/>
        <w:szCs w:val="18"/>
        <w:lang w:val="fr-CH"/>
      </w:rPr>
      <w:t>Tél</w:t>
    </w:r>
    <w:r>
      <w:rPr>
        <w:sz w:val="18"/>
        <w:szCs w:val="18"/>
        <w:lang w:val="fr-CH"/>
      </w:rPr>
      <w:t>.</w:t>
    </w:r>
    <w:r w:rsidRPr="00F632E9">
      <w:rPr>
        <w:sz w:val="18"/>
        <w:szCs w:val="18"/>
        <w:lang w:val="fr-CH"/>
      </w:rPr>
      <w:t>:</w:t>
    </w:r>
    <w:proofErr w:type="gramEnd"/>
    <w:r w:rsidRPr="00F632E9">
      <w:rPr>
        <w:sz w:val="18"/>
        <w:szCs w:val="18"/>
        <w:lang w:val="fr-CH"/>
      </w:rPr>
      <w:t xml:space="preserve"> +41 22 730 5111 • Fax: +41 22 733 7256 • Courriel: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45875" w14:textId="77777777" w:rsidR="00F42423" w:rsidRDefault="00F42423">
      <w:r>
        <w:t>____________________</w:t>
      </w:r>
    </w:p>
  </w:footnote>
  <w:footnote w:type="continuationSeparator" w:id="0">
    <w:p w14:paraId="525F702A" w14:textId="77777777" w:rsidR="00F42423" w:rsidRDefault="00F4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C439B" w14:textId="77777777" w:rsidR="007223D7" w:rsidRDefault="0072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8E4D" w14:textId="34027F15" w:rsidR="00F42423" w:rsidRDefault="007223D7"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F42423">
          <w:rPr>
            <w:sz w:val="18"/>
            <w:szCs w:val="16"/>
          </w:rPr>
          <w:t>-</w:t>
        </w:r>
        <w:r w:rsidR="00F42423" w:rsidRPr="00697BC1">
          <w:rPr>
            <w:sz w:val="18"/>
            <w:szCs w:val="16"/>
          </w:rPr>
          <w:t xml:space="preserve"> </w:t>
        </w:r>
        <w:r w:rsidR="00F42423" w:rsidRPr="00697BC1">
          <w:rPr>
            <w:sz w:val="18"/>
            <w:szCs w:val="16"/>
          </w:rPr>
          <w:fldChar w:fldCharType="begin"/>
        </w:r>
        <w:r w:rsidR="00F42423" w:rsidRPr="00697BC1">
          <w:rPr>
            <w:sz w:val="18"/>
            <w:szCs w:val="16"/>
          </w:rPr>
          <w:instrText xml:space="preserve"> PAGE   \* MERGEFORMAT </w:instrText>
        </w:r>
        <w:r w:rsidR="00F42423" w:rsidRPr="00697BC1">
          <w:rPr>
            <w:sz w:val="18"/>
            <w:szCs w:val="16"/>
          </w:rPr>
          <w:fldChar w:fldCharType="separate"/>
        </w:r>
        <w:r w:rsidR="00F42423">
          <w:rPr>
            <w:noProof/>
            <w:sz w:val="18"/>
            <w:szCs w:val="16"/>
          </w:rPr>
          <w:t>2</w:t>
        </w:r>
        <w:r w:rsidR="00F42423" w:rsidRPr="00697BC1">
          <w:rPr>
            <w:noProof/>
            <w:sz w:val="18"/>
            <w:szCs w:val="16"/>
          </w:rPr>
          <w:fldChar w:fldCharType="end"/>
        </w:r>
      </w:sdtContent>
    </w:sdt>
    <w:r w:rsidR="00F42423" w:rsidRPr="00697BC1">
      <w:rPr>
        <w:noProof/>
        <w:sz w:val="18"/>
        <w:szCs w:val="16"/>
      </w:rPr>
      <w:t xml:space="preserve"> </w:t>
    </w:r>
    <w:r w:rsidR="00F42423">
      <w:rPr>
        <w:noProof/>
        <w:sz w:val="18"/>
        <w:szCs w:val="16"/>
      </w:rPr>
      <w:t>-</w:t>
    </w:r>
  </w:p>
  <w:p w14:paraId="5ED221A4" w14:textId="56C92F4B" w:rsidR="00F42423" w:rsidRPr="00697BC1" w:rsidRDefault="00BD5AE3" w:rsidP="00697BC1">
    <w:pPr>
      <w:pStyle w:val="Header"/>
      <w:rPr>
        <w:sz w:val="18"/>
        <w:szCs w:val="16"/>
      </w:rPr>
    </w:pPr>
    <w:r>
      <w:rPr>
        <w:noProof/>
        <w:sz w:val="18"/>
        <w:szCs w:val="16"/>
      </w:rPr>
      <w:t xml:space="preserve">Corrigendum </w:t>
    </w:r>
    <w:r w:rsidR="008279CB">
      <w:rPr>
        <w:noProof/>
        <w:sz w:val="18"/>
        <w:szCs w:val="16"/>
      </w:rPr>
      <w:t>2</w:t>
    </w:r>
    <w:r>
      <w:rPr>
        <w:noProof/>
        <w:sz w:val="18"/>
        <w:szCs w:val="16"/>
      </w:rPr>
      <w:t xml:space="preserve"> à la </w:t>
    </w:r>
    <w:r w:rsidR="00F42423">
      <w:rPr>
        <w:noProof/>
        <w:sz w:val="18"/>
        <w:szCs w:val="16"/>
      </w:rPr>
      <w:t>Circulaire TSB 202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64AC" w14:textId="77777777" w:rsidR="007223D7" w:rsidRDefault="0072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F4"/>
    <w:rsid w:val="000021B1"/>
    <w:rsid w:val="000039EE"/>
    <w:rsid w:val="00005622"/>
    <w:rsid w:val="0002519E"/>
    <w:rsid w:val="00035B43"/>
    <w:rsid w:val="00036F4F"/>
    <w:rsid w:val="000758B3"/>
    <w:rsid w:val="00085F5A"/>
    <w:rsid w:val="000A17A4"/>
    <w:rsid w:val="000B0D96"/>
    <w:rsid w:val="000B59D8"/>
    <w:rsid w:val="000C1F6B"/>
    <w:rsid w:val="000C25CC"/>
    <w:rsid w:val="000C56BE"/>
    <w:rsid w:val="001026FD"/>
    <w:rsid w:val="001077FD"/>
    <w:rsid w:val="00115DD7"/>
    <w:rsid w:val="00160573"/>
    <w:rsid w:val="00167472"/>
    <w:rsid w:val="00167CC7"/>
    <w:rsid w:val="00167F92"/>
    <w:rsid w:val="00173738"/>
    <w:rsid w:val="001B79A3"/>
    <w:rsid w:val="001C584C"/>
    <w:rsid w:val="001C7420"/>
    <w:rsid w:val="002152A3"/>
    <w:rsid w:val="002E395D"/>
    <w:rsid w:val="0030510B"/>
    <w:rsid w:val="003131F0"/>
    <w:rsid w:val="00333A80"/>
    <w:rsid w:val="00341117"/>
    <w:rsid w:val="00364E95"/>
    <w:rsid w:val="00372875"/>
    <w:rsid w:val="003B1E80"/>
    <w:rsid w:val="003B66E8"/>
    <w:rsid w:val="003D3F7E"/>
    <w:rsid w:val="004033F1"/>
    <w:rsid w:val="00414B0C"/>
    <w:rsid w:val="00423C21"/>
    <w:rsid w:val="004257AC"/>
    <w:rsid w:val="0043711B"/>
    <w:rsid w:val="004977C9"/>
    <w:rsid w:val="004B732E"/>
    <w:rsid w:val="004C296D"/>
    <w:rsid w:val="004D51F4"/>
    <w:rsid w:val="004D64E0"/>
    <w:rsid w:val="00500517"/>
    <w:rsid w:val="005120A2"/>
    <w:rsid w:val="0051210D"/>
    <w:rsid w:val="005136D2"/>
    <w:rsid w:val="00516426"/>
    <w:rsid w:val="00517A03"/>
    <w:rsid w:val="00587329"/>
    <w:rsid w:val="005A3DD9"/>
    <w:rsid w:val="005B1DFC"/>
    <w:rsid w:val="005C2DA1"/>
    <w:rsid w:val="00601682"/>
    <w:rsid w:val="0060332D"/>
    <w:rsid w:val="00603470"/>
    <w:rsid w:val="006106F4"/>
    <w:rsid w:val="00625E79"/>
    <w:rsid w:val="00632D15"/>
    <w:rsid w:val="006333F7"/>
    <w:rsid w:val="006427A1"/>
    <w:rsid w:val="00644741"/>
    <w:rsid w:val="00692079"/>
    <w:rsid w:val="00697BC1"/>
    <w:rsid w:val="006A6FFE"/>
    <w:rsid w:val="006C5A91"/>
    <w:rsid w:val="00715D79"/>
    <w:rsid w:val="00716BBC"/>
    <w:rsid w:val="007223D7"/>
    <w:rsid w:val="007321BC"/>
    <w:rsid w:val="00733843"/>
    <w:rsid w:val="00760063"/>
    <w:rsid w:val="00774971"/>
    <w:rsid w:val="00775E4B"/>
    <w:rsid w:val="0079553B"/>
    <w:rsid w:val="00795679"/>
    <w:rsid w:val="00795E80"/>
    <w:rsid w:val="007A40FE"/>
    <w:rsid w:val="00810105"/>
    <w:rsid w:val="008157E0"/>
    <w:rsid w:val="008279CB"/>
    <w:rsid w:val="00850477"/>
    <w:rsid w:val="00854E1D"/>
    <w:rsid w:val="00887FA6"/>
    <w:rsid w:val="008C4397"/>
    <w:rsid w:val="008C465A"/>
    <w:rsid w:val="008E19DD"/>
    <w:rsid w:val="008F2C9B"/>
    <w:rsid w:val="00923CD6"/>
    <w:rsid w:val="00935AA8"/>
    <w:rsid w:val="00941666"/>
    <w:rsid w:val="0095183F"/>
    <w:rsid w:val="00971C9A"/>
    <w:rsid w:val="00996D13"/>
    <w:rsid w:val="009D51FA"/>
    <w:rsid w:val="009F1E23"/>
    <w:rsid w:val="009F20F1"/>
    <w:rsid w:val="00A15179"/>
    <w:rsid w:val="00A25B44"/>
    <w:rsid w:val="00A33CB0"/>
    <w:rsid w:val="00A51537"/>
    <w:rsid w:val="00A5280F"/>
    <w:rsid w:val="00A5645A"/>
    <w:rsid w:val="00A60FC1"/>
    <w:rsid w:val="00A97C37"/>
    <w:rsid w:val="00AA131B"/>
    <w:rsid w:val="00AA62E7"/>
    <w:rsid w:val="00AB5026"/>
    <w:rsid w:val="00AC084F"/>
    <w:rsid w:val="00AC37B5"/>
    <w:rsid w:val="00AD752F"/>
    <w:rsid w:val="00AF08A4"/>
    <w:rsid w:val="00B05694"/>
    <w:rsid w:val="00B27B41"/>
    <w:rsid w:val="00B30DF2"/>
    <w:rsid w:val="00B42659"/>
    <w:rsid w:val="00B5785C"/>
    <w:rsid w:val="00B6745D"/>
    <w:rsid w:val="00B8158F"/>
    <w:rsid w:val="00B8573E"/>
    <w:rsid w:val="00BB24C0"/>
    <w:rsid w:val="00BD5AE3"/>
    <w:rsid w:val="00BD6ECF"/>
    <w:rsid w:val="00BE55C2"/>
    <w:rsid w:val="00C059D9"/>
    <w:rsid w:val="00C26F2E"/>
    <w:rsid w:val="00C302E3"/>
    <w:rsid w:val="00C45376"/>
    <w:rsid w:val="00C5315F"/>
    <w:rsid w:val="00C9028F"/>
    <w:rsid w:val="00C93245"/>
    <w:rsid w:val="00C95C71"/>
    <w:rsid w:val="00CA0416"/>
    <w:rsid w:val="00CB1125"/>
    <w:rsid w:val="00CD042E"/>
    <w:rsid w:val="00CF2560"/>
    <w:rsid w:val="00CF5B46"/>
    <w:rsid w:val="00D117A4"/>
    <w:rsid w:val="00D46B68"/>
    <w:rsid w:val="00D542A5"/>
    <w:rsid w:val="00DC3D47"/>
    <w:rsid w:val="00DC6497"/>
    <w:rsid w:val="00DD77DA"/>
    <w:rsid w:val="00DF4A9E"/>
    <w:rsid w:val="00E06C61"/>
    <w:rsid w:val="00E13DB3"/>
    <w:rsid w:val="00E162D1"/>
    <w:rsid w:val="00E2408B"/>
    <w:rsid w:val="00E572D4"/>
    <w:rsid w:val="00E62CEA"/>
    <w:rsid w:val="00E72AE1"/>
    <w:rsid w:val="00ED6A7A"/>
    <w:rsid w:val="00EE4C36"/>
    <w:rsid w:val="00F1085C"/>
    <w:rsid w:val="00F26245"/>
    <w:rsid w:val="00F346CE"/>
    <w:rsid w:val="00F34F98"/>
    <w:rsid w:val="00F40540"/>
    <w:rsid w:val="00F42423"/>
    <w:rsid w:val="00F62CDB"/>
    <w:rsid w:val="00F67402"/>
    <w:rsid w:val="00F766A2"/>
    <w:rsid w:val="00F9451D"/>
    <w:rsid w:val="00FB2097"/>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8894BA"/>
  <w15:docId w15:val="{A977F23F-672B-4DFD-BAE9-57EE14B6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996D13"/>
    <w:rPr>
      <w:color w:val="605E5C"/>
      <w:shd w:val="clear" w:color="auto" w:fill="E1DFDD"/>
    </w:rPr>
  </w:style>
  <w:style w:type="paragraph" w:customStyle="1" w:styleId="Res">
    <w:name w:val="Res"/>
    <w:basedOn w:val="Normal"/>
    <w:rsid w:val="00996D13"/>
    <w:rPr>
      <w:lang w:val="fr-CH"/>
    </w:rPr>
  </w:style>
  <w:style w:type="paragraph" w:customStyle="1" w:styleId="Reasons">
    <w:name w:val="Reasons"/>
    <w:basedOn w:val="Normal"/>
    <w:qFormat/>
    <w:rsid w:val="00DF4A9E"/>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FollowedHyperlink">
    <w:name w:val="FollowedHyperlink"/>
    <w:basedOn w:val="DefaultParagraphFont"/>
    <w:semiHidden/>
    <w:unhideWhenUsed/>
    <w:rsid w:val="00F10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wtsa20/candidates/Pages/defaul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meetingdoc.asp?lang=en&amp;parent=S21-SG-CIR-00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dir@itu.in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4D8F-9DD6-4E0F-A2B7-1309DB3E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5</TotalTime>
  <Pages>3</Pages>
  <Words>1104</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7590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Al-Mnini, Lara</cp:lastModifiedBy>
  <cp:revision>4</cp:revision>
  <cp:lastPrinted>2020-01-24T07:37:00Z</cp:lastPrinted>
  <dcterms:created xsi:type="dcterms:W3CDTF">2021-02-05T14:07:00Z</dcterms:created>
  <dcterms:modified xsi:type="dcterms:W3CDTF">2021-02-18T13:30:00Z</dcterms:modified>
</cp:coreProperties>
</file>