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9A2042" w14:paraId="02821DFD" w14:textId="77777777" w:rsidTr="007103D2">
        <w:trPr>
          <w:gridAfter w:val="1"/>
          <w:wAfter w:w="8" w:type="dxa"/>
          <w:cantSplit/>
          <w:jc w:val="center"/>
        </w:trPr>
        <w:tc>
          <w:tcPr>
            <w:tcW w:w="1418" w:type="dxa"/>
            <w:gridSpan w:val="3"/>
            <w:vAlign w:val="center"/>
          </w:tcPr>
          <w:p w14:paraId="4D7427A2" w14:textId="77777777" w:rsidR="00036F4F" w:rsidRPr="009A2042" w:rsidRDefault="00036F4F" w:rsidP="000203E4">
            <w:pPr>
              <w:tabs>
                <w:tab w:val="right" w:pos="8732"/>
              </w:tabs>
              <w:spacing w:before="0"/>
              <w:rPr>
                <w:b/>
                <w:bCs/>
                <w:iCs/>
                <w:color w:val="FFFFFF"/>
                <w:sz w:val="30"/>
                <w:szCs w:val="30"/>
              </w:rPr>
            </w:pPr>
            <w:r w:rsidRPr="009A2042">
              <w:rPr>
                <w:noProof/>
                <w:lang w:val="en-GB" w:eastAsia="en-GB"/>
              </w:rPr>
              <w:drawing>
                <wp:inline distT="0" distB="0" distL="0" distR="0" wp14:anchorId="498FD14A" wp14:editId="2D5CF02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C215D72" w14:textId="77777777" w:rsidR="00036F4F" w:rsidRPr="009A2042" w:rsidRDefault="00036F4F" w:rsidP="000203E4">
            <w:pPr>
              <w:spacing w:before="0"/>
              <w:rPr>
                <w:rFonts w:cs="Times New Roman Bold"/>
                <w:b/>
                <w:bCs/>
                <w:iCs/>
                <w:smallCaps/>
                <w:sz w:val="34"/>
                <w:szCs w:val="34"/>
              </w:rPr>
            </w:pPr>
            <w:r w:rsidRPr="009A2042">
              <w:rPr>
                <w:rFonts w:cs="Times New Roman Bold"/>
                <w:b/>
                <w:bCs/>
                <w:iCs/>
                <w:smallCaps/>
                <w:sz w:val="34"/>
                <w:szCs w:val="34"/>
              </w:rPr>
              <w:t>Union internationale des télécommunications</w:t>
            </w:r>
          </w:p>
          <w:p w14:paraId="270AD853" w14:textId="77777777" w:rsidR="00036F4F" w:rsidRPr="009A2042" w:rsidRDefault="00036F4F" w:rsidP="000203E4">
            <w:pPr>
              <w:tabs>
                <w:tab w:val="right" w:pos="8732"/>
              </w:tabs>
              <w:spacing w:before="0"/>
              <w:rPr>
                <w:b/>
                <w:bCs/>
                <w:iCs/>
                <w:color w:val="FFFFFF"/>
                <w:sz w:val="30"/>
                <w:szCs w:val="30"/>
              </w:rPr>
            </w:pPr>
            <w:r w:rsidRPr="009A2042">
              <w:rPr>
                <w:rFonts w:cs="Times New Roman Bold"/>
                <w:b/>
                <w:bCs/>
                <w:iCs/>
                <w:smallCaps/>
                <w:sz w:val="28"/>
                <w:szCs w:val="28"/>
              </w:rPr>
              <w:t>B</w:t>
            </w:r>
            <w:r w:rsidRPr="009A2042">
              <w:rPr>
                <w:b/>
                <w:bCs/>
                <w:iCs/>
                <w:smallCaps/>
                <w:sz w:val="28"/>
                <w:szCs w:val="28"/>
              </w:rPr>
              <w:t>ureau de la Normalisation des Télécommunications</w:t>
            </w:r>
          </w:p>
        </w:tc>
        <w:tc>
          <w:tcPr>
            <w:tcW w:w="2126" w:type="dxa"/>
            <w:vAlign w:val="center"/>
          </w:tcPr>
          <w:p w14:paraId="6619B002" w14:textId="77777777" w:rsidR="00036F4F" w:rsidRPr="009A2042" w:rsidRDefault="00036F4F" w:rsidP="000203E4">
            <w:pPr>
              <w:spacing w:before="0"/>
              <w:jc w:val="right"/>
              <w:rPr>
                <w:color w:val="FFFFFF"/>
                <w:sz w:val="26"/>
                <w:szCs w:val="26"/>
              </w:rPr>
            </w:pPr>
          </w:p>
        </w:tc>
      </w:tr>
      <w:tr w:rsidR="00036F4F" w:rsidRPr="009A2042" w14:paraId="49E2D3E7" w14:textId="77777777" w:rsidTr="007103D2">
        <w:trPr>
          <w:gridBefore w:val="1"/>
          <w:wBefore w:w="8" w:type="dxa"/>
          <w:cantSplit/>
          <w:jc w:val="center"/>
        </w:trPr>
        <w:tc>
          <w:tcPr>
            <w:tcW w:w="1977" w:type="dxa"/>
            <w:gridSpan w:val="3"/>
          </w:tcPr>
          <w:p w14:paraId="54C51D8B" w14:textId="77777777" w:rsidR="00036F4F" w:rsidRPr="009A2042" w:rsidRDefault="00036F4F" w:rsidP="000203E4">
            <w:pPr>
              <w:tabs>
                <w:tab w:val="left" w:pos="4111"/>
              </w:tabs>
              <w:spacing w:before="10"/>
              <w:ind w:left="57"/>
            </w:pPr>
          </w:p>
        </w:tc>
        <w:tc>
          <w:tcPr>
            <w:tcW w:w="2900" w:type="dxa"/>
          </w:tcPr>
          <w:p w14:paraId="290B44E7" w14:textId="77777777" w:rsidR="00036F4F" w:rsidRPr="009A2042" w:rsidRDefault="00036F4F" w:rsidP="000203E4">
            <w:pPr>
              <w:tabs>
                <w:tab w:val="left" w:pos="4111"/>
              </w:tabs>
              <w:spacing w:before="10"/>
              <w:ind w:left="57"/>
              <w:rPr>
                <w:b/>
              </w:rPr>
            </w:pPr>
          </w:p>
        </w:tc>
        <w:tc>
          <w:tcPr>
            <w:tcW w:w="5046" w:type="dxa"/>
            <w:gridSpan w:val="3"/>
          </w:tcPr>
          <w:p w14:paraId="305F0F83" w14:textId="6DC2633F" w:rsidR="00036F4F" w:rsidRPr="009A2042" w:rsidRDefault="00036F4F" w:rsidP="000203E4">
            <w:pPr>
              <w:tabs>
                <w:tab w:val="clear" w:pos="794"/>
                <w:tab w:val="clear" w:pos="1191"/>
                <w:tab w:val="clear" w:pos="1588"/>
                <w:tab w:val="clear" w:pos="1985"/>
                <w:tab w:val="left" w:pos="284"/>
              </w:tabs>
              <w:spacing w:after="120"/>
              <w:ind w:left="284" w:hanging="227"/>
            </w:pPr>
            <w:r w:rsidRPr="009A2042">
              <w:t>Genève, le</w:t>
            </w:r>
            <w:r w:rsidR="005C003E" w:rsidRPr="009A2042">
              <w:t xml:space="preserve"> 2</w:t>
            </w:r>
            <w:r w:rsidR="00B61199" w:rsidRPr="009A2042">
              <w:t>9 novembre</w:t>
            </w:r>
            <w:r w:rsidR="00C1248C" w:rsidRPr="009A2042">
              <w:t xml:space="preserve"> </w:t>
            </w:r>
            <w:r w:rsidR="005C003E" w:rsidRPr="009A2042">
              <w:t>2019</w:t>
            </w:r>
          </w:p>
        </w:tc>
      </w:tr>
      <w:tr w:rsidR="00036F4F" w:rsidRPr="009A2042" w14:paraId="0112EFCD" w14:textId="77777777" w:rsidTr="007103D2">
        <w:trPr>
          <w:gridBefore w:val="1"/>
          <w:wBefore w:w="8" w:type="dxa"/>
          <w:cantSplit/>
          <w:trHeight w:val="340"/>
          <w:jc w:val="center"/>
        </w:trPr>
        <w:tc>
          <w:tcPr>
            <w:tcW w:w="1126" w:type="dxa"/>
          </w:tcPr>
          <w:p w14:paraId="1DE8316B" w14:textId="77777777" w:rsidR="00036F4F" w:rsidRPr="009A2042" w:rsidRDefault="00036F4F" w:rsidP="000203E4">
            <w:pPr>
              <w:tabs>
                <w:tab w:val="left" w:pos="4111"/>
              </w:tabs>
              <w:spacing w:before="10"/>
              <w:ind w:left="57"/>
              <w:rPr>
                <w:b/>
                <w:bCs/>
              </w:rPr>
            </w:pPr>
            <w:r w:rsidRPr="009A2042">
              <w:rPr>
                <w:b/>
                <w:bCs/>
              </w:rPr>
              <w:t>Réf.:</w:t>
            </w:r>
          </w:p>
          <w:p w14:paraId="6FBC89F2" w14:textId="77777777" w:rsidR="00036F4F" w:rsidRPr="009A2042" w:rsidRDefault="00036F4F" w:rsidP="000203E4">
            <w:pPr>
              <w:tabs>
                <w:tab w:val="left" w:pos="4111"/>
              </w:tabs>
              <w:spacing w:before="10"/>
              <w:ind w:left="57"/>
              <w:rPr>
                <w:b/>
                <w:bCs/>
              </w:rPr>
            </w:pPr>
          </w:p>
        </w:tc>
        <w:tc>
          <w:tcPr>
            <w:tcW w:w="3751" w:type="dxa"/>
            <w:gridSpan w:val="3"/>
          </w:tcPr>
          <w:p w14:paraId="2F04EBF8" w14:textId="0A0088B2" w:rsidR="00036F4F" w:rsidRPr="009A2042" w:rsidRDefault="005C003E" w:rsidP="000203E4">
            <w:pPr>
              <w:tabs>
                <w:tab w:val="left" w:pos="4111"/>
              </w:tabs>
              <w:spacing w:before="10"/>
              <w:ind w:left="57"/>
              <w:rPr>
                <w:b/>
              </w:rPr>
            </w:pPr>
            <w:r w:rsidRPr="009A2042">
              <w:rPr>
                <w:b/>
              </w:rPr>
              <w:t>Circulaire TSB 1</w:t>
            </w:r>
            <w:r w:rsidR="00B61199" w:rsidRPr="009A2042">
              <w:rPr>
                <w:b/>
              </w:rPr>
              <w:t>95</w:t>
            </w:r>
          </w:p>
          <w:p w14:paraId="6ADD6807" w14:textId="4F91553C" w:rsidR="00036F4F" w:rsidRPr="009A2042" w:rsidRDefault="000203E4" w:rsidP="000203E4">
            <w:pPr>
              <w:tabs>
                <w:tab w:val="left" w:pos="4111"/>
              </w:tabs>
              <w:spacing w:before="10"/>
              <w:ind w:left="57"/>
              <w:rPr>
                <w:b/>
              </w:rPr>
            </w:pPr>
            <w:r w:rsidRPr="009A2042">
              <w:t xml:space="preserve">CE </w:t>
            </w:r>
            <w:r w:rsidR="00442474" w:rsidRPr="009A2042">
              <w:t>17</w:t>
            </w:r>
            <w:r w:rsidR="00036F4F" w:rsidRPr="009A2042">
              <w:t>/</w:t>
            </w:r>
            <w:r w:rsidR="00442474" w:rsidRPr="009A2042">
              <w:t>XY</w:t>
            </w:r>
          </w:p>
        </w:tc>
        <w:tc>
          <w:tcPr>
            <w:tcW w:w="5046" w:type="dxa"/>
            <w:gridSpan w:val="3"/>
            <w:vMerge w:val="restart"/>
          </w:tcPr>
          <w:p w14:paraId="4AECB3B4" w14:textId="4EC3BA78" w:rsidR="00036F4F" w:rsidRPr="009A2042" w:rsidRDefault="000203E4" w:rsidP="000203E4">
            <w:pPr>
              <w:tabs>
                <w:tab w:val="clear" w:pos="794"/>
                <w:tab w:val="clear" w:pos="1191"/>
                <w:tab w:val="clear" w:pos="1588"/>
                <w:tab w:val="clear" w:pos="1985"/>
                <w:tab w:val="left" w:pos="284"/>
              </w:tabs>
              <w:spacing w:before="0"/>
              <w:ind w:left="284" w:hanging="227"/>
            </w:pPr>
            <w:bookmarkStart w:id="0" w:name="Addressee_F"/>
            <w:bookmarkEnd w:id="0"/>
            <w:r w:rsidRPr="009A2042">
              <w:t>–</w:t>
            </w:r>
            <w:r w:rsidR="00036F4F" w:rsidRPr="009A2042">
              <w:tab/>
              <w:t xml:space="preserve">Aux </w:t>
            </w:r>
            <w:r w:rsidR="00726F49" w:rsidRPr="009A2042">
              <w:t>A</w:t>
            </w:r>
            <w:r w:rsidR="00036F4F" w:rsidRPr="009A2042">
              <w:t xml:space="preserve">dministrations des </w:t>
            </w:r>
            <w:r w:rsidR="00E22541" w:rsidRPr="009A2042">
              <w:t>États</w:t>
            </w:r>
            <w:r w:rsidR="00036F4F" w:rsidRPr="009A2042">
              <w:t xml:space="preserve"> Membres de l'Union</w:t>
            </w:r>
            <w:r w:rsidR="00B61199" w:rsidRPr="009A2042">
              <w:t>;</w:t>
            </w:r>
          </w:p>
          <w:p w14:paraId="2939094B" w14:textId="65DC07E0" w:rsidR="00B61199" w:rsidRPr="009A2042" w:rsidRDefault="000203E4" w:rsidP="000203E4">
            <w:pPr>
              <w:tabs>
                <w:tab w:val="clear" w:pos="794"/>
                <w:tab w:val="left" w:pos="226"/>
                <w:tab w:val="left" w:pos="4111"/>
              </w:tabs>
              <w:spacing w:before="0"/>
            </w:pPr>
            <w:r w:rsidRPr="009A2042">
              <w:t>–</w:t>
            </w:r>
            <w:r w:rsidR="00B61199" w:rsidRPr="009A2042">
              <w:tab/>
              <w:t>Aux Membres du Secteur UIT-T;</w:t>
            </w:r>
          </w:p>
          <w:p w14:paraId="0C2642EA" w14:textId="03DFE0B9" w:rsidR="00B61199" w:rsidRPr="009A2042" w:rsidRDefault="000203E4" w:rsidP="000203E4">
            <w:pPr>
              <w:tabs>
                <w:tab w:val="clear" w:pos="794"/>
                <w:tab w:val="left" w:pos="226"/>
                <w:tab w:val="left" w:pos="4111"/>
              </w:tabs>
              <w:spacing w:before="0"/>
              <w:ind w:left="226" w:hanging="226"/>
            </w:pPr>
            <w:r w:rsidRPr="009A2042">
              <w:t>–</w:t>
            </w:r>
            <w:r w:rsidR="00B61199" w:rsidRPr="009A2042">
              <w:tab/>
              <w:t>Aux Associés participant aux travaux de la Commission d'études 17 de l'UIT-T;</w:t>
            </w:r>
          </w:p>
          <w:p w14:paraId="5A95B27F" w14:textId="45D568DB" w:rsidR="00036F4F" w:rsidRPr="009A2042" w:rsidRDefault="000203E4" w:rsidP="000203E4">
            <w:pPr>
              <w:tabs>
                <w:tab w:val="clear" w:pos="794"/>
                <w:tab w:val="left" w:pos="226"/>
                <w:tab w:val="left" w:pos="4111"/>
              </w:tabs>
              <w:spacing w:before="0"/>
              <w:ind w:left="226" w:hanging="226"/>
            </w:pPr>
            <w:r w:rsidRPr="009A2042">
              <w:t>–</w:t>
            </w:r>
            <w:r w:rsidR="00B61199" w:rsidRPr="009A2042">
              <w:tab/>
              <w:t>Aux établissements universitaires participant aux travaux de l'UIT</w:t>
            </w:r>
          </w:p>
          <w:p w14:paraId="75B6CE3D" w14:textId="6F3B8CCE" w:rsidR="00B61199" w:rsidRPr="009A2042" w:rsidRDefault="00B61199" w:rsidP="000203E4">
            <w:pPr>
              <w:tabs>
                <w:tab w:val="clear" w:pos="794"/>
                <w:tab w:val="left" w:pos="226"/>
                <w:tab w:val="left" w:pos="4111"/>
              </w:tabs>
              <w:spacing w:before="0"/>
              <w:ind w:left="226" w:hanging="226"/>
            </w:pPr>
          </w:p>
        </w:tc>
      </w:tr>
      <w:tr w:rsidR="00036F4F" w:rsidRPr="009A2042" w14:paraId="3767ED37" w14:textId="77777777" w:rsidTr="007103D2">
        <w:trPr>
          <w:gridBefore w:val="1"/>
          <w:wBefore w:w="8" w:type="dxa"/>
          <w:cantSplit/>
          <w:jc w:val="center"/>
        </w:trPr>
        <w:tc>
          <w:tcPr>
            <w:tcW w:w="1126" w:type="dxa"/>
          </w:tcPr>
          <w:p w14:paraId="4E8645D7" w14:textId="77777777" w:rsidR="00036F4F" w:rsidRPr="009A2042" w:rsidRDefault="00036F4F" w:rsidP="000203E4">
            <w:pPr>
              <w:tabs>
                <w:tab w:val="left" w:pos="4111"/>
              </w:tabs>
              <w:spacing w:before="10"/>
              <w:ind w:left="57"/>
              <w:rPr>
                <w:b/>
                <w:bCs/>
                <w:sz w:val="20"/>
              </w:rPr>
            </w:pPr>
            <w:r w:rsidRPr="009A2042">
              <w:rPr>
                <w:b/>
                <w:bCs/>
              </w:rPr>
              <w:t>Tél.:</w:t>
            </w:r>
          </w:p>
        </w:tc>
        <w:tc>
          <w:tcPr>
            <w:tcW w:w="3751" w:type="dxa"/>
            <w:gridSpan w:val="3"/>
          </w:tcPr>
          <w:p w14:paraId="1032360E" w14:textId="481C4174" w:rsidR="00036F4F" w:rsidRPr="009A2042" w:rsidRDefault="00036F4F" w:rsidP="000203E4">
            <w:pPr>
              <w:tabs>
                <w:tab w:val="left" w:pos="4111"/>
              </w:tabs>
              <w:spacing w:before="0"/>
              <w:ind w:left="57"/>
            </w:pPr>
            <w:r w:rsidRPr="009A2042">
              <w:t>+41 22 730</w:t>
            </w:r>
            <w:r w:rsidR="005C003E" w:rsidRPr="009A2042">
              <w:t xml:space="preserve"> </w:t>
            </w:r>
            <w:r w:rsidR="00952E17" w:rsidRPr="009A2042">
              <w:t>6206</w:t>
            </w:r>
          </w:p>
        </w:tc>
        <w:tc>
          <w:tcPr>
            <w:tcW w:w="5046" w:type="dxa"/>
            <w:gridSpan w:val="3"/>
            <w:vMerge/>
          </w:tcPr>
          <w:p w14:paraId="71507A12" w14:textId="77777777" w:rsidR="00036F4F" w:rsidRPr="009A2042" w:rsidRDefault="00036F4F" w:rsidP="000203E4">
            <w:pPr>
              <w:tabs>
                <w:tab w:val="left" w:pos="4111"/>
              </w:tabs>
              <w:spacing w:before="0"/>
              <w:rPr>
                <w:b/>
              </w:rPr>
            </w:pPr>
          </w:p>
        </w:tc>
      </w:tr>
      <w:tr w:rsidR="00036F4F" w:rsidRPr="009A2042" w14:paraId="5EECC627" w14:textId="77777777" w:rsidTr="007103D2">
        <w:trPr>
          <w:gridBefore w:val="1"/>
          <w:wBefore w:w="8" w:type="dxa"/>
          <w:cantSplit/>
          <w:jc w:val="center"/>
        </w:trPr>
        <w:tc>
          <w:tcPr>
            <w:tcW w:w="1126" w:type="dxa"/>
          </w:tcPr>
          <w:p w14:paraId="29042761" w14:textId="77777777" w:rsidR="00036F4F" w:rsidRPr="009A2042" w:rsidRDefault="00627443" w:rsidP="000203E4">
            <w:pPr>
              <w:tabs>
                <w:tab w:val="left" w:pos="4111"/>
              </w:tabs>
              <w:spacing w:before="10"/>
              <w:ind w:left="57"/>
              <w:rPr>
                <w:b/>
                <w:bCs/>
                <w:sz w:val="20"/>
              </w:rPr>
            </w:pPr>
            <w:r w:rsidRPr="009A2042">
              <w:rPr>
                <w:b/>
                <w:bCs/>
              </w:rPr>
              <w:t>Télécopie</w:t>
            </w:r>
            <w:r w:rsidR="00036F4F" w:rsidRPr="009A2042">
              <w:rPr>
                <w:b/>
                <w:bCs/>
              </w:rPr>
              <w:t>:</w:t>
            </w:r>
          </w:p>
        </w:tc>
        <w:tc>
          <w:tcPr>
            <w:tcW w:w="3751" w:type="dxa"/>
            <w:gridSpan w:val="3"/>
          </w:tcPr>
          <w:p w14:paraId="1F678A42" w14:textId="77777777" w:rsidR="00036F4F" w:rsidRPr="009A2042" w:rsidRDefault="00036F4F" w:rsidP="000203E4">
            <w:pPr>
              <w:tabs>
                <w:tab w:val="left" w:pos="4111"/>
              </w:tabs>
              <w:spacing w:before="0"/>
              <w:ind w:left="57"/>
            </w:pPr>
            <w:r w:rsidRPr="009A2042">
              <w:t>+41 22 730 5853</w:t>
            </w:r>
          </w:p>
        </w:tc>
        <w:tc>
          <w:tcPr>
            <w:tcW w:w="5046" w:type="dxa"/>
            <w:gridSpan w:val="3"/>
            <w:vMerge/>
          </w:tcPr>
          <w:p w14:paraId="622FCD88" w14:textId="77777777" w:rsidR="00036F4F" w:rsidRPr="009A2042" w:rsidRDefault="00036F4F" w:rsidP="000203E4">
            <w:pPr>
              <w:tabs>
                <w:tab w:val="left" w:pos="4111"/>
              </w:tabs>
              <w:spacing w:before="0"/>
              <w:rPr>
                <w:b/>
              </w:rPr>
            </w:pPr>
          </w:p>
        </w:tc>
      </w:tr>
      <w:tr w:rsidR="00517A03" w:rsidRPr="009A2042" w14:paraId="222EDDE3" w14:textId="77777777" w:rsidTr="007103D2">
        <w:trPr>
          <w:gridBefore w:val="1"/>
          <w:wBefore w:w="8" w:type="dxa"/>
          <w:cantSplit/>
          <w:jc w:val="center"/>
        </w:trPr>
        <w:tc>
          <w:tcPr>
            <w:tcW w:w="1126" w:type="dxa"/>
          </w:tcPr>
          <w:p w14:paraId="3C7AA7A6" w14:textId="77777777" w:rsidR="00517A03" w:rsidRPr="009A2042" w:rsidRDefault="00627443" w:rsidP="000203E4">
            <w:pPr>
              <w:tabs>
                <w:tab w:val="left" w:pos="4111"/>
              </w:tabs>
              <w:spacing w:before="10"/>
              <w:ind w:left="57"/>
              <w:rPr>
                <w:b/>
                <w:bCs/>
                <w:sz w:val="20"/>
              </w:rPr>
            </w:pPr>
            <w:r w:rsidRPr="009A2042">
              <w:rPr>
                <w:b/>
                <w:bCs/>
              </w:rPr>
              <w:t>Courriel</w:t>
            </w:r>
            <w:r w:rsidR="00036F4F" w:rsidRPr="009A2042">
              <w:rPr>
                <w:b/>
                <w:bCs/>
              </w:rPr>
              <w:t>:</w:t>
            </w:r>
          </w:p>
        </w:tc>
        <w:tc>
          <w:tcPr>
            <w:tcW w:w="3751" w:type="dxa"/>
            <w:gridSpan w:val="3"/>
          </w:tcPr>
          <w:p w14:paraId="487E7135" w14:textId="00959653" w:rsidR="00517A03" w:rsidRPr="009A2042" w:rsidRDefault="00FB46FE" w:rsidP="000203E4">
            <w:pPr>
              <w:tabs>
                <w:tab w:val="left" w:pos="4111"/>
              </w:tabs>
              <w:spacing w:before="0"/>
              <w:ind w:left="57"/>
            </w:pPr>
            <w:hyperlink r:id="rId9" w:history="1">
              <w:r w:rsidR="00442474" w:rsidRPr="009A2042">
                <w:rPr>
                  <w:rStyle w:val="Hyperlink"/>
                </w:rPr>
                <w:t>tsbsg17@itu.int</w:t>
              </w:r>
            </w:hyperlink>
          </w:p>
        </w:tc>
        <w:tc>
          <w:tcPr>
            <w:tcW w:w="5046" w:type="dxa"/>
            <w:gridSpan w:val="3"/>
          </w:tcPr>
          <w:p w14:paraId="35C9D94B" w14:textId="77777777" w:rsidR="00517A03" w:rsidRPr="009A2042" w:rsidRDefault="00517A03" w:rsidP="000203E4">
            <w:pPr>
              <w:tabs>
                <w:tab w:val="left" w:pos="4111"/>
              </w:tabs>
              <w:spacing w:before="0"/>
            </w:pPr>
            <w:r w:rsidRPr="009A2042">
              <w:rPr>
                <w:b/>
              </w:rPr>
              <w:t>Copie</w:t>
            </w:r>
            <w:r w:rsidRPr="009A2042">
              <w:t>:</w:t>
            </w:r>
          </w:p>
          <w:p w14:paraId="791CD831" w14:textId="17926CA5" w:rsidR="005C003E" w:rsidRPr="009A2042" w:rsidRDefault="000203E4" w:rsidP="000203E4">
            <w:pPr>
              <w:tabs>
                <w:tab w:val="clear" w:pos="794"/>
                <w:tab w:val="left" w:pos="226"/>
                <w:tab w:val="left" w:pos="4111"/>
              </w:tabs>
              <w:spacing w:before="0"/>
              <w:ind w:left="226" w:hanging="226"/>
            </w:pPr>
            <w:r w:rsidRPr="009A2042">
              <w:t>–</w:t>
            </w:r>
            <w:r w:rsidR="005C003E" w:rsidRPr="009A2042">
              <w:tab/>
              <w:t>Aux Président et Vice-Présidents de la Commission d'études 1</w:t>
            </w:r>
            <w:r w:rsidR="00B61199" w:rsidRPr="009A2042">
              <w:t>7</w:t>
            </w:r>
            <w:r w:rsidR="005C003E" w:rsidRPr="009A2042">
              <w:t xml:space="preserve"> de l'UIT-T;</w:t>
            </w:r>
          </w:p>
          <w:p w14:paraId="629ED1BA" w14:textId="37034F1F" w:rsidR="005C003E" w:rsidRPr="009A2042" w:rsidRDefault="000203E4" w:rsidP="000203E4">
            <w:pPr>
              <w:tabs>
                <w:tab w:val="clear" w:pos="794"/>
                <w:tab w:val="left" w:pos="226"/>
                <w:tab w:val="left" w:pos="4111"/>
              </w:tabs>
              <w:spacing w:before="0"/>
              <w:ind w:left="226" w:hanging="226"/>
            </w:pPr>
            <w:r w:rsidRPr="009A2042">
              <w:t>–</w:t>
            </w:r>
            <w:r w:rsidR="005C003E" w:rsidRPr="009A2042">
              <w:tab/>
            </w:r>
            <w:r w:rsidR="00DA68B9" w:rsidRPr="009A2042">
              <w:t>À la Directrice</w:t>
            </w:r>
            <w:r w:rsidR="005C003E" w:rsidRPr="009A2042">
              <w:t xml:space="preserve"> du Bureau de développement des télécommunications;</w:t>
            </w:r>
          </w:p>
          <w:p w14:paraId="01E0A537" w14:textId="196EEC72" w:rsidR="00517A03" w:rsidRPr="009A2042" w:rsidRDefault="000203E4" w:rsidP="000203E4">
            <w:pPr>
              <w:tabs>
                <w:tab w:val="clear" w:pos="794"/>
                <w:tab w:val="left" w:pos="226"/>
                <w:tab w:val="left" w:pos="4111"/>
              </w:tabs>
              <w:spacing w:before="0"/>
              <w:ind w:left="226" w:hanging="226"/>
            </w:pPr>
            <w:r w:rsidRPr="009A2042">
              <w:t>–</w:t>
            </w:r>
            <w:r w:rsidR="005C003E" w:rsidRPr="009A2042">
              <w:tab/>
              <w:t xml:space="preserve">Au Directeur du Bureau </w:t>
            </w:r>
            <w:r w:rsidR="005C003E" w:rsidRPr="009A2042">
              <w:br/>
              <w:t>des radiocommunications</w:t>
            </w:r>
          </w:p>
        </w:tc>
      </w:tr>
      <w:tr w:rsidR="00517A03" w:rsidRPr="009A2042" w14:paraId="7EB56BE3" w14:textId="77777777" w:rsidTr="007103D2">
        <w:trPr>
          <w:gridBefore w:val="1"/>
          <w:gridAfter w:val="1"/>
          <w:wBefore w:w="8" w:type="dxa"/>
          <w:wAfter w:w="8" w:type="dxa"/>
          <w:cantSplit/>
          <w:trHeight w:val="680"/>
          <w:jc w:val="center"/>
        </w:trPr>
        <w:tc>
          <w:tcPr>
            <w:tcW w:w="1126" w:type="dxa"/>
          </w:tcPr>
          <w:p w14:paraId="7B031C10" w14:textId="77777777" w:rsidR="00517A03" w:rsidRPr="009A2042" w:rsidRDefault="00517A03" w:rsidP="000203E4">
            <w:pPr>
              <w:tabs>
                <w:tab w:val="left" w:pos="4111"/>
              </w:tabs>
              <w:ind w:left="57"/>
              <w:rPr>
                <w:b/>
                <w:bCs/>
                <w:szCs w:val="22"/>
              </w:rPr>
            </w:pPr>
            <w:r w:rsidRPr="009A2042">
              <w:rPr>
                <w:b/>
                <w:bCs/>
                <w:szCs w:val="22"/>
              </w:rPr>
              <w:t>Objet:</w:t>
            </w:r>
          </w:p>
        </w:tc>
        <w:tc>
          <w:tcPr>
            <w:tcW w:w="8789" w:type="dxa"/>
            <w:gridSpan w:val="5"/>
          </w:tcPr>
          <w:p w14:paraId="41589769" w14:textId="4DD77F3C" w:rsidR="00517A03" w:rsidRPr="009A2042" w:rsidRDefault="005C003E" w:rsidP="000203E4">
            <w:pPr>
              <w:tabs>
                <w:tab w:val="left" w:pos="4111"/>
              </w:tabs>
              <w:ind w:left="57"/>
              <w:rPr>
                <w:b/>
                <w:bCs/>
                <w:szCs w:val="22"/>
              </w:rPr>
            </w:pPr>
            <w:r w:rsidRPr="009A2042">
              <w:rPr>
                <w:b/>
              </w:rPr>
              <w:t xml:space="preserve">Consultation des </w:t>
            </w:r>
            <w:r w:rsidR="00E22541" w:rsidRPr="009A2042">
              <w:rPr>
                <w:b/>
              </w:rPr>
              <w:t>États</w:t>
            </w:r>
            <w:r w:rsidRPr="009A2042">
              <w:rPr>
                <w:b/>
              </w:rPr>
              <w:t xml:space="preserve"> Membres au sujet </w:t>
            </w:r>
            <w:r w:rsidR="009A2042" w:rsidRPr="009A2042">
              <w:rPr>
                <w:b/>
              </w:rPr>
              <w:t xml:space="preserve">des </w:t>
            </w:r>
            <w:r w:rsidRPr="009A2042">
              <w:rPr>
                <w:b/>
              </w:rPr>
              <w:t>texte</w:t>
            </w:r>
            <w:r w:rsidR="009A2042" w:rsidRPr="009A2042">
              <w:rPr>
                <w:b/>
              </w:rPr>
              <w:t>s</w:t>
            </w:r>
            <w:r w:rsidRPr="009A2042">
              <w:rPr>
                <w:b/>
              </w:rPr>
              <w:t xml:space="preserve"> déterminé</w:t>
            </w:r>
            <w:r w:rsidR="009A2042" w:rsidRPr="009A2042">
              <w:rPr>
                <w:b/>
              </w:rPr>
              <w:t>s</w:t>
            </w:r>
            <w:r w:rsidRPr="009A2042">
              <w:rPr>
                <w:b/>
              </w:rPr>
              <w:t xml:space="preserve"> d</w:t>
            </w:r>
            <w:r w:rsidR="003849C4" w:rsidRPr="009A2042">
              <w:rPr>
                <w:b/>
              </w:rPr>
              <w:t>es</w:t>
            </w:r>
            <w:r w:rsidRPr="009A2042">
              <w:rPr>
                <w:b/>
              </w:rPr>
              <w:t xml:space="preserve"> projet</w:t>
            </w:r>
            <w:r w:rsidR="003849C4" w:rsidRPr="009A2042">
              <w:rPr>
                <w:b/>
              </w:rPr>
              <w:t>s</w:t>
            </w:r>
            <w:r w:rsidRPr="009A2042">
              <w:rPr>
                <w:b/>
              </w:rPr>
              <w:t xml:space="preserve"> de </w:t>
            </w:r>
            <w:r w:rsidR="00DA68B9" w:rsidRPr="009A2042">
              <w:rPr>
                <w:b/>
              </w:rPr>
              <w:t>nouvelle</w:t>
            </w:r>
            <w:r w:rsidR="00442474" w:rsidRPr="009A2042">
              <w:rPr>
                <w:b/>
              </w:rPr>
              <w:t>s</w:t>
            </w:r>
            <w:r w:rsidRPr="009A2042">
              <w:rPr>
                <w:b/>
              </w:rPr>
              <w:t xml:space="preserve"> Recommandation</w:t>
            </w:r>
            <w:r w:rsidR="00442474" w:rsidRPr="009A2042">
              <w:rPr>
                <w:b/>
              </w:rPr>
              <w:t>s</w:t>
            </w:r>
            <w:r w:rsidRPr="009A2042">
              <w:rPr>
                <w:b/>
              </w:rPr>
              <w:t xml:space="preserve"> UIT-T </w:t>
            </w:r>
            <w:r w:rsidR="003849C4" w:rsidRPr="009A2042">
              <w:rPr>
                <w:b/>
              </w:rPr>
              <w:t>X.1332 (X.sgsec-3), X.1365 (X.ibc-iot), X.1372 (X.itssec-2), X.1604 (X.SRNaaS) et X.1605 (X.SRIaaS)</w:t>
            </w:r>
            <w:r w:rsidRPr="009A2042">
              <w:rPr>
                <w:b/>
              </w:rPr>
              <w:t>, qu'il est proposé d'approuver à la réunion de la Commission d'études</w:t>
            </w:r>
            <w:r w:rsidR="009A2042" w:rsidRPr="009A2042">
              <w:rPr>
                <w:b/>
              </w:rPr>
              <w:t xml:space="preserve"> </w:t>
            </w:r>
            <w:r w:rsidRPr="009A2042">
              <w:rPr>
                <w:b/>
              </w:rPr>
              <w:t>1</w:t>
            </w:r>
            <w:r w:rsidR="003849C4" w:rsidRPr="009A2042">
              <w:rPr>
                <w:b/>
              </w:rPr>
              <w:t>7</w:t>
            </w:r>
            <w:r w:rsidRPr="009A2042">
              <w:rPr>
                <w:b/>
              </w:rPr>
              <w:t xml:space="preserve"> de l'UIT-T (Genève</w:t>
            </w:r>
            <w:r w:rsidR="00E22541" w:rsidRPr="009A2042">
              <w:rPr>
                <w:b/>
              </w:rPr>
              <w:t xml:space="preserve">, </w:t>
            </w:r>
            <w:r w:rsidR="003849C4" w:rsidRPr="009A2042">
              <w:rPr>
                <w:b/>
              </w:rPr>
              <w:t xml:space="preserve">17-26 mars </w:t>
            </w:r>
            <w:r w:rsidR="00E22541" w:rsidRPr="009A2042">
              <w:rPr>
                <w:b/>
              </w:rPr>
              <w:t>2020)</w:t>
            </w:r>
          </w:p>
        </w:tc>
      </w:tr>
    </w:tbl>
    <w:p w14:paraId="10F8CE04" w14:textId="77777777" w:rsidR="00517A03" w:rsidRPr="009A2042" w:rsidRDefault="00517A03" w:rsidP="009A2042">
      <w:pPr>
        <w:pStyle w:val="Normalaftertitle"/>
      </w:pPr>
      <w:bookmarkStart w:id="1" w:name="StartTyping_F"/>
      <w:bookmarkEnd w:id="1"/>
      <w:r w:rsidRPr="009A2042">
        <w:t>Madame, Monsieur,</w:t>
      </w:r>
    </w:p>
    <w:p w14:paraId="34042E52" w14:textId="1A215779" w:rsidR="005C003E" w:rsidRPr="009A2042" w:rsidRDefault="005C003E" w:rsidP="000203E4">
      <w:pPr>
        <w:rPr>
          <w:szCs w:val="22"/>
        </w:rPr>
      </w:pPr>
      <w:r w:rsidRPr="009A2042">
        <w:t>1</w:t>
      </w:r>
      <w:r w:rsidRPr="009A2042">
        <w:tab/>
      </w:r>
      <w:r w:rsidR="00BF542D" w:rsidRPr="009A2042">
        <w:rPr>
          <w:color w:val="000000"/>
        </w:rPr>
        <w:t>La Commission d'études 17 de l'UIT-T (Sécurité)</w:t>
      </w:r>
      <w:r w:rsidRPr="009A2042">
        <w:t xml:space="preserve"> a l'intention d'appliquer la procédure d'approbation traditionnelle énoncée à la section 9 de la Résolution 1 (</w:t>
      </w:r>
      <w:proofErr w:type="spellStart"/>
      <w:r w:rsidRPr="009A2042">
        <w:t>Rév.Hammamet</w:t>
      </w:r>
      <w:proofErr w:type="spellEnd"/>
      <w:r w:rsidRPr="009A2042">
        <w:t xml:space="preserve">, 2016) de l'AMNT pour l'approbation </w:t>
      </w:r>
      <w:r w:rsidR="00DA68B9" w:rsidRPr="009A2042">
        <w:t>des</w:t>
      </w:r>
      <w:r w:rsidRPr="009A2042">
        <w:t xml:space="preserve"> projet</w:t>
      </w:r>
      <w:r w:rsidR="00DA68B9" w:rsidRPr="009A2042">
        <w:t>s</w:t>
      </w:r>
      <w:r w:rsidRPr="009A2042">
        <w:t xml:space="preserve"> de Recommandation</w:t>
      </w:r>
      <w:r w:rsidR="00DA68B9" w:rsidRPr="009A2042">
        <w:t>s</w:t>
      </w:r>
      <w:r w:rsidRPr="009A2042">
        <w:t xml:space="preserve"> mentionné</w:t>
      </w:r>
      <w:r w:rsidR="00DA68B9" w:rsidRPr="009A2042">
        <w:t>s</w:t>
      </w:r>
      <w:r w:rsidR="00403593" w:rsidRPr="009A2042">
        <w:t xml:space="preserve"> ci-dessus</w:t>
      </w:r>
      <w:r w:rsidRPr="009A2042">
        <w:t xml:space="preserve"> à sa prochaine réunion, qui se tiendra à Genève </w:t>
      </w:r>
      <w:r w:rsidR="00E22541" w:rsidRPr="009A2042">
        <w:t xml:space="preserve">du </w:t>
      </w:r>
      <w:r w:rsidR="00BF542D" w:rsidRPr="009A2042">
        <w:t>17 au 26 mars</w:t>
      </w:r>
      <w:r w:rsidR="00E22541" w:rsidRPr="009A2042">
        <w:t xml:space="preserve"> 2020</w:t>
      </w:r>
      <w:r w:rsidRPr="009A2042">
        <w:t>. L'ordre du jour ainsi que tous les renseignements pertinents concernant la réunion de la Commission d'études 1</w:t>
      </w:r>
      <w:r w:rsidR="00BF542D" w:rsidRPr="009A2042">
        <w:t>7</w:t>
      </w:r>
      <w:r w:rsidRPr="009A2042">
        <w:t xml:space="preserve"> de l'UIT-T seront disponibles dans la Lettre collective </w:t>
      </w:r>
      <w:r w:rsidR="00BF542D" w:rsidRPr="009A2042">
        <w:t>7</w:t>
      </w:r>
      <w:r w:rsidRPr="009A2042">
        <w:t>/1</w:t>
      </w:r>
      <w:r w:rsidR="00BF542D" w:rsidRPr="009A2042">
        <w:t>7</w:t>
      </w:r>
      <w:r w:rsidRPr="009A2042">
        <w:t>.</w:t>
      </w:r>
      <w:bookmarkStart w:id="2" w:name="_GoBack"/>
      <w:bookmarkEnd w:id="2"/>
    </w:p>
    <w:p w14:paraId="1F71C27A" w14:textId="7F9945AD" w:rsidR="005C003E" w:rsidRPr="009A2042" w:rsidRDefault="005C003E" w:rsidP="000203E4">
      <w:r w:rsidRPr="009A2042">
        <w:t>2</w:t>
      </w:r>
      <w:r w:rsidRPr="009A2042">
        <w:tab/>
        <w:t>Vous trouverez dans l'</w:t>
      </w:r>
      <w:r w:rsidRPr="009A2042">
        <w:rPr>
          <w:b/>
          <w:bCs/>
        </w:rPr>
        <w:t>Annexe 1</w:t>
      </w:r>
      <w:r w:rsidRPr="009A2042">
        <w:t xml:space="preserve"> le titre, le résumé et la localisation </w:t>
      </w:r>
      <w:r w:rsidR="00DA68B9" w:rsidRPr="009A2042">
        <w:t>des</w:t>
      </w:r>
      <w:r w:rsidRPr="009A2042">
        <w:t xml:space="preserve"> projet</w:t>
      </w:r>
      <w:r w:rsidR="00DA68B9" w:rsidRPr="009A2042">
        <w:t>s</w:t>
      </w:r>
      <w:r w:rsidRPr="009A2042">
        <w:t xml:space="preserve"> de </w:t>
      </w:r>
      <w:r w:rsidR="006F60FA" w:rsidRPr="009A2042">
        <w:t xml:space="preserve">nouvelles </w:t>
      </w:r>
      <w:r w:rsidRPr="009A2042">
        <w:t>Recommandation</w:t>
      </w:r>
      <w:r w:rsidR="00DA68B9" w:rsidRPr="009A2042">
        <w:t>s</w:t>
      </w:r>
      <w:r w:rsidRPr="009A2042">
        <w:t xml:space="preserve"> UIT-T </w:t>
      </w:r>
      <w:r w:rsidR="00DF3790" w:rsidRPr="009A2042">
        <w:rPr>
          <w:bCs/>
        </w:rPr>
        <w:t>X.1332 (X.sgsec-3), X.1365 (X.ibc-iot), X.1372 (X.itssec-2), X.1604 (X.SRNaaS) et X.1605 (X.SRIaaS)</w:t>
      </w:r>
      <w:r w:rsidR="00DF3790" w:rsidRPr="009A2042">
        <w:rPr>
          <w:b/>
        </w:rPr>
        <w:t xml:space="preserve"> </w:t>
      </w:r>
      <w:r w:rsidRPr="009A2042">
        <w:t>qu'il est proposé d'approuver.</w:t>
      </w:r>
    </w:p>
    <w:p w14:paraId="74D892B8" w14:textId="08A9CFB7" w:rsidR="00231E85" w:rsidRPr="009A2042" w:rsidRDefault="00231E85" w:rsidP="009A2042">
      <w:pPr>
        <w:pStyle w:val="Note"/>
      </w:pPr>
      <w:r w:rsidRPr="009A2042">
        <w:t xml:space="preserve">NOTE 1 DU TSB – À la date de la présente Circulaire, le TSB n'a reçu aucune déclaration concernant les droits de propriété intellectuelle relative à </w:t>
      </w:r>
      <w:r w:rsidR="00952E17" w:rsidRPr="009A2042">
        <w:t>ces projets de texte</w:t>
      </w:r>
      <w:r w:rsidRPr="009A2042">
        <w:t>.</w:t>
      </w:r>
      <w:r w:rsidR="00952E17" w:rsidRPr="009A2042">
        <w:t xml:space="preserve"> </w:t>
      </w:r>
      <w:r w:rsidRPr="009A2042">
        <w:t>Pour obtenir des renseignements actualisés, les membres sont invités à consulter la base de données relative aux droits de propriété intellectuelle à l'adresse</w:t>
      </w:r>
      <w:r w:rsidRPr="009A2042">
        <w:rPr>
          <w:rStyle w:val="Hyperlink"/>
        </w:rPr>
        <w:t xml:space="preserve"> </w:t>
      </w:r>
      <w:hyperlink r:id="rId10" w:history="1">
        <w:r w:rsidRPr="009A2042">
          <w:rPr>
            <w:rStyle w:val="Hyperlink"/>
          </w:rPr>
          <w:t>www.itu.int/ipr/</w:t>
        </w:r>
      </w:hyperlink>
      <w:r w:rsidRPr="009A2042">
        <w:t>.</w:t>
      </w:r>
    </w:p>
    <w:p w14:paraId="23418C95" w14:textId="10BB856C" w:rsidR="00DB2673" w:rsidRPr="009A2042" w:rsidRDefault="00A9514D" w:rsidP="009A2042">
      <w:pPr>
        <w:pStyle w:val="Note"/>
      </w:pPr>
      <w:r w:rsidRPr="009A2042">
        <w:rPr>
          <w:rFonts w:cstheme="minorHAnsi"/>
          <w:szCs w:val="24"/>
        </w:rPr>
        <w:t>NOTE 2 DU TSB</w:t>
      </w:r>
      <w:r w:rsidR="00DB2673" w:rsidRPr="009A2042">
        <w:rPr>
          <w:rFonts w:cstheme="minorHAnsi"/>
          <w:szCs w:val="24"/>
        </w:rPr>
        <w:t xml:space="preserve"> – </w:t>
      </w:r>
      <w:r w:rsidR="00EF45C3" w:rsidRPr="009A2042">
        <w:rPr>
          <w:rFonts w:cstheme="minorHAnsi"/>
          <w:szCs w:val="24"/>
        </w:rPr>
        <w:t xml:space="preserve">Mis à part </w:t>
      </w:r>
      <w:r w:rsidR="0051082E" w:rsidRPr="009A2042">
        <w:rPr>
          <w:rFonts w:cstheme="minorHAnsi"/>
          <w:szCs w:val="24"/>
        </w:rPr>
        <w:t xml:space="preserve">pour </w:t>
      </w:r>
      <w:r w:rsidR="00EF45C3" w:rsidRPr="009A2042">
        <w:rPr>
          <w:rFonts w:cstheme="minorHAnsi"/>
          <w:szCs w:val="24"/>
        </w:rPr>
        <w:t>le projet de Recommandation</w:t>
      </w:r>
      <w:r w:rsidR="007945E0" w:rsidRPr="009A2042">
        <w:rPr>
          <w:rFonts w:cstheme="minorHAnsi"/>
          <w:szCs w:val="24"/>
        </w:rPr>
        <w:t xml:space="preserve"> UIT-T</w:t>
      </w:r>
      <w:r w:rsidR="00DB2673" w:rsidRPr="009A2042">
        <w:rPr>
          <w:rFonts w:cstheme="minorHAnsi"/>
          <w:szCs w:val="24"/>
        </w:rPr>
        <w:t xml:space="preserve"> X.1365 (X.ibc-iot), </w:t>
      </w:r>
      <w:r w:rsidR="0051082E" w:rsidRPr="009A2042">
        <w:t xml:space="preserve">aucun document de justification UIT-T A.5 n'a été élaboré pour </w:t>
      </w:r>
      <w:r w:rsidR="009A2042" w:rsidRPr="009A2042">
        <w:t xml:space="preserve">les </w:t>
      </w:r>
      <w:r w:rsidR="0051082E" w:rsidRPr="009A2042">
        <w:t xml:space="preserve">autres projets de </w:t>
      </w:r>
      <w:r w:rsidR="00373CFD" w:rsidRPr="009A2042">
        <w:t xml:space="preserve">texte </w:t>
      </w:r>
      <w:r w:rsidR="0051082E" w:rsidRPr="009A2042">
        <w:t>déterminé.</w:t>
      </w:r>
    </w:p>
    <w:p w14:paraId="6A3E8F1F" w14:textId="1E028765" w:rsidR="005C003E" w:rsidRPr="009A2042" w:rsidRDefault="005C003E" w:rsidP="000203E4">
      <w:r w:rsidRPr="009A2042">
        <w:t>3</w:t>
      </w:r>
      <w:r w:rsidRPr="009A2042">
        <w:tab/>
        <w:t>La présente Circulaire a pour objet d'engager le process</w:t>
      </w:r>
      <w:r w:rsidR="00E30C36" w:rsidRPr="009A2042">
        <w:t>us de consultation formelle des</w:t>
      </w:r>
      <w:r w:rsidR="009A2042" w:rsidRPr="009A2042">
        <w:t xml:space="preserve"> </w:t>
      </w:r>
      <w:r w:rsidR="001D4A19" w:rsidRPr="009A2042">
        <w:t>États</w:t>
      </w:r>
      <w:r w:rsidRPr="009A2042">
        <w:t xml:space="preserve"> Membres de l'UIT, qui devront indiquer si ce</w:t>
      </w:r>
      <w:r w:rsidR="009A2042" w:rsidRPr="009A2042">
        <w:t>s</w:t>
      </w:r>
      <w:r w:rsidRPr="009A2042">
        <w:t xml:space="preserve"> texte</w:t>
      </w:r>
      <w:r w:rsidR="009A2042" w:rsidRPr="009A2042">
        <w:t>s</w:t>
      </w:r>
      <w:r w:rsidRPr="009A2042">
        <w:t xml:space="preserve"> </w:t>
      </w:r>
      <w:r w:rsidR="00E30C36" w:rsidRPr="009A2042">
        <w:t>peu</w:t>
      </w:r>
      <w:r w:rsidR="009A2042" w:rsidRPr="009A2042">
        <w:t>ven</w:t>
      </w:r>
      <w:r w:rsidR="00E30C36" w:rsidRPr="009A2042">
        <w:t>t être examiné</w:t>
      </w:r>
      <w:r w:rsidR="009A2042" w:rsidRPr="009A2042">
        <w:t>s</w:t>
      </w:r>
      <w:r w:rsidR="00E30C36" w:rsidRPr="009A2042">
        <w:t xml:space="preserve"> en vue de </w:t>
      </w:r>
      <w:r w:rsidR="009A2042" w:rsidRPr="009A2042">
        <w:t>leur</w:t>
      </w:r>
      <w:r w:rsidR="00726F49">
        <w:t> </w:t>
      </w:r>
      <w:r w:rsidRPr="009A2042">
        <w:t>approbation à la prochaine réunion, conformément au paragra</w:t>
      </w:r>
      <w:r w:rsidR="00E30C36" w:rsidRPr="009A2042">
        <w:t>phe 9.4 de la Résolution 1. Les</w:t>
      </w:r>
      <w:r w:rsidR="00726F49">
        <w:t> </w:t>
      </w:r>
      <w:r w:rsidR="00E22541" w:rsidRPr="009A2042">
        <w:t>États</w:t>
      </w:r>
      <w:r w:rsidRPr="009A2042">
        <w:t xml:space="preserve"> Membres sont priés de remplir le formulaire de l'</w:t>
      </w:r>
      <w:r w:rsidRPr="009A2042">
        <w:rPr>
          <w:b/>
          <w:bCs/>
        </w:rPr>
        <w:t>Annexe 2</w:t>
      </w:r>
      <w:r w:rsidRPr="009A2042">
        <w:t xml:space="preserve"> et de le renvoyer</w:t>
      </w:r>
      <w:r w:rsidR="00E30C36" w:rsidRPr="009A2042">
        <w:t xml:space="preserve"> d'ici au</w:t>
      </w:r>
      <w:r w:rsidR="00726F49">
        <w:t> </w:t>
      </w:r>
      <w:r w:rsidR="00565A03" w:rsidRPr="009A2042">
        <w:rPr>
          <w:b/>
          <w:bCs/>
        </w:rPr>
        <w:t>29</w:t>
      </w:r>
      <w:r w:rsidR="00726F49">
        <w:rPr>
          <w:b/>
          <w:bCs/>
        </w:rPr>
        <w:t> </w:t>
      </w:r>
      <w:r w:rsidR="00565A03" w:rsidRPr="009A2042">
        <w:rPr>
          <w:b/>
          <w:bCs/>
        </w:rPr>
        <w:t>février</w:t>
      </w:r>
      <w:r w:rsidR="009A2042" w:rsidRPr="009A2042">
        <w:rPr>
          <w:b/>
          <w:bCs/>
        </w:rPr>
        <w:t xml:space="preserve"> </w:t>
      </w:r>
      <w:r w:rsidR="00E22541" w:rsidRPr="009A2042">
        <w:rPr>
          <w:b/>
          <w:bCs/>
        </w:rPr>
        <w:t>2020</w:t>
      </w:r>
      <w:r w:rsidRPr="009A2042">
        <w:t xml:space="preserve"> à</w:t>
      </w:r>
      <w:r w:rsidR="009A2042" w:rsidRPr="009A2042">
        <w:t xml:space="preserve"> </w:t>
      </w:r>
      <w:r w:rsidRPr="009A2042">
        <w:t>23 h 59 (UTC)</w:t>
      </w:r>
      <w:r w:rsidRPr="009A2042">
        <w:rPr>
          <w:rStyle w:val="CommentReference"/>
        </w:rPr>
        <w:t>.</w:t>
      </w:r>
    </w:p>
    <w:p w14:paraId="56027517" w14:textId="636FA108" w:rsidR="005C003E" w:rsidRPr="009A2042" w:rsidRDefault="005C003E" w:rsidP="000203E4">
      <w:pPr>
        <w:keepLines/>
      </w:pPr>
      <w:r w:rsidRPr="009A2042">
        <w:lastRenderedPageBreak/>
        <w:t>4</w:t>
      </w:r>
      <w:r w:rsidRPr="009A2042">
        <w:tab/>
        <w:t xml:space="preserve">Si au moins 70% des réponses des </w:t>
      </w:r>
      <w:r w:rsidR="00E22541" w:rsidRPr="009A2042">
        <w:t>États</w:t>
      </w:r>
      <w:r w:rsidRPr="009A2042">
        <w:t xml:space="preserve"> Membres sont en faveur de l'examen, aux fins d'approbation, de ce</w:t>
      </w:r>
      <w:r w:rsidR="009A2042" w:rsidRPr="009A2042">
        <w:t>s</w:t>
      </w:r>
      <w:r w:rsidRPr="009A2042">
        <w:t xml:space="preserve"> texte</w:t>
      </w:r>
      <w:r w:rsidR="009A2042" w:rsidRPr="009A2042">
        <w:t>s</w:t>
      </w:r>
      <w:r w:rsidRPr="009A2042">
        <w:t xml:space="preserve">, une séance plénière sera consacrée à l'application de la procédure d'approbation. Les </w:t>
      </w:r>
      <w:r w:rsidR="00E22541" w:rsidRPr="009A2042">
        <w:t>États</w:t>
      </w:r>
      <w:r w:rsidRPr="009A2042">
        <w:t xml:space="preserve"> Membres qui n'autorisent pas la commission d'études à procéder ainsi doivent informer le Directeur du TSB des motifs de cette décision et lui faire part des éventuelles modifications qui permettraient la poursuite des travaux.</w:t>
      </w:r>
    </w:p>
    <w:p w14:paraId="3752CD32" w14:textId="77777777" w:rsidR="005C003E" w:rsidRPr="009A2042" w:rsidRDefault="005C003E" w:rsidP="000203E4">
      <w:r w:rsidRPr="009A2042">
        <w:t>Veuillez agréer, Madame, Monsieur, l'assurance de ma considération distinguée.</w:t>
      </w:r>
    </w:p>
    <w:p w14:paraId="7E96C8D5" w14:textId="77777777" w:rsidR="005C003E" w:rsidRPr="009A2042" w:rsidRDefault="005C003E" w:rsidP="000203E4">
      <w:pPr>
        <w:spacing w:before="480" w:after="480"/>
        <w:rPr>
          <w:i/>
          <w:iCs/>
        </w:rPr>
      </w:pPr>
      <w:r w:rsidRPr="009A2042">
        <w:rPr>
          <w:i/>
          <w:iCs/>
        </w:rPr>
        <w:t>(signé)</w:t>
      </w:r>
    </w:p>
    <w:p w14:paraId="79A39321" w14:textId="77777777" w:rsidR="005C003E" w:rsidRPr="009A2042" w:rsidRDefault="005C003E" w:rsidP="000203E4">
      <w:r w:rsidRPr="009A2042">
        <w:t>Chaesub Lee</w:t>
      </w:r>
      <w:r w:rsidRPr="009A2042">
        <w:br/>
        <w:t xml:space="preserve">Directeur du Bureau de la normalisation </w:t>
      </w:r>
      <w:r w:rsidRPr="009A2042">
        <w:br/>
        <w:t>des télécommunications</w:t>
      </w:r>
    </w:p>
    <w:p w14:paraId="13504DA8" w14:textId="77777777" w:rsidR="005C003E" w:rsidRPr="009A2042" w:rsidRDefault="005C003E" w:rsidP="00726F49">
      <w:pPr>
        <w:spacing w:before="2400" w:after="120"/>
      </w:pPr>
      <w:r w:rsidRPr="009A2042">
        <w:rPr>
          <w:b/>
        </w:rPr>
        <w:t>Annexes</w:t>
      </w:r>
      <w:r w:rsidRPr="009A2042">
        <w:rPr>
          <w:bCs/>
        </w:rPr>
        <w:t>: 2</w:t>
      </w:r>
    </w:p>
    <w:p w14:paraId="0ABFD278" w14:textId="77777777" w:rsidR="005C003E" w:rsidRPr="009A2042" w:rsidRDefault="005C003E" w:rsidP="000203E4">
      <w:pPr>
        <w:tabs>
          <w:tab w:val="clear" w:pos="794"/>
          <w:tab w:val="clear" w:pos="1191"/>
          <w:tab w:val="clear" w:pos="1588"/>
          <w:tab w:val="clear" w:pos="1985"/>
        </w:tabs>
        <w:overflowPunct/>
        <w:autoSpaceDE/>
        <w:autoSpaceDN/>
        <w:adjustRightInd/>
        <w:spacing w:before="0"/>
        <w:textAlignment w:val="auto"/>
        <w:rPr>
          <w:bCs/>
        </w:rPr>
      </w:pPr>
      <w:r w:rsidRPr="009A2042">
        <w:rPr>
          <w:bCs/>
        </w:rPr>
        <w:br w:type="page"/>
      </w:r>
    </w:p>
    <w:p w14:paraId="3F6467EB" w14:textId="71250363" w:rsidR="00231E85" w:rsidRPr="009A2042" w:rsidRDefault="00F426F2" w:rsidP="000203E4">
      <w:pPr>
        <w:pStyle w:val="Annextitle0"/>
        <w:rPr>
          <w:lang w:val="fr-FR"/>
        </w:rPr>
      </w:pPr>
      <w:r w:rsidRPr="009A2042">
        <w:rPr>
          <w:lang w:val="fr-FR"/>
        </w:rPr>
        <w:lastRenderedPageBreak/>
        <w:t xml:space="preserve">ANNEXE </w:t>
      </w:r>
      <w:r w:rsidR="005C003E" w:rsidRPr="009A2042">
        <w:rPr>
          <w:lang w:val="fr-FR"/>
        </w:rPr>
        <w:t>1</w:t>
      </w:r>
      <w:r w:rsidR="005C003E" w:rsidRPr="009A2042">
        <w:rPr>
          <w:lang w:val="fr-FR"/>
        </w:rPr>
        <w:br/>
      </w:r>
      <w:r w:rsidR="005C003E" w:rsidRPr="009A2042">
        <w:rPr>
          <w:lang w:val="fr-FR"/>
        </w:rPr>
        <w:br/>
      </w:r>
      <w:r w:rsidR="00A1734A" w:rsidRPr="009A2042">
        <w:rPr>
          <w:lang w:val="fr-FR"/>
        </w:rPr>
        <w:t xml:space="preserve">Résumé et localisation </w:t>
      </w:r>
      <w:r w:rsidR="009A2042" w:rsidRPr="009A2042">
        <w:rPr>
          <w:lang w:val="fr-FR"/>
        </w:rPr>
        <w:t xml:space="preserve">des </w:t>
      </w:r>
      <w:r w:rsidR="00A1734A" w:rsidRPr="009A2042">
        <w:rPr>
          <w:lang w:val="fr-FR"/>
        </w:rPr>
        <w:t>texte</w:t>
      </w:r>
      <w:r w:rsidR="009A2042" w:rsidRPr="009A2042">
        <w:rPr>
          <w:lang w:val="fr-FR"/>
        </w:rPr>
        <w:t>s</w:t>
      </w:r>
      <w:r w:rsidR="00A1734A" w:rsidRPr="009A2042">
        <w:rPr>
          <w:lang w:val="fr-FR"/>
        </w:rPr>
        <w:t xml:space="preserve"> déterminé</w:t>
      </w:r>
      <w:r w:rsidR="009A2042" w:rsidRPr="009A2042">
        <w:rPr>
          <w:lang w:val="fr-FR"/>
        </w:rPr>
        <w:t>s</w:t>
      </w:r>
      <w:r w:rsidR="00A1734A" w:rsidRPr="009A2042">
        <w:rPr>
          <w:lang w:val="fr-FR"/>
        </w:rPr>
        <w:t xml:space="preserve"> des projets</w:t>
      </w:r>
      <w:r w:rsidR="00231E85" w:rsidRPr="009A2042">
        <w:rPr>
          <w:lang w:val="fr-FR"/>
        </w:rPr>
        <w:t xml:space="preserve"> </w:t>
      </w:r>
      <w:r w:rsidR="002210E7" w:rsidRPr="009A2042">
        <w:rPr>
          <w:lang w:val="fr-FR"/>
        </w:rPr>
        <w:t xml:space="preserve">de </w:t>
      </w:r>
      <w:r w:rsidR="00A1734A" w:rsidRPr="009A2042">
        <w:rPr>
          <w:lang w:val="fr-FR"/>
        </w:rPr>
        <w:t>Recommandations</w:t>
      </w:r>
      <w:r w:rsidR="00231E85" w:rsidRPr="009A2042">
        <w:rPr>
          <w:lang w:val="fr-FR"/>
        </w:rPr>
        <w:t xml:space="preserve"> </w:t>
      </w:r>
      <w:r w:rsidR="009503BF" w:rsidRPr="009A2042">
        <w:rPr>
          <w:lang w:val="fr-FR"/>
        </w:rPr>
        <w:t>UIT</w:t>
      </w:r>
      <w:r w:rsidR="00231E85" w:rsidRPr="009A2042">
        <w:rPr>
          <w:lang w:val="fr-FR"/>
        </w:rPr>
        <w:t>-T X1332 (X.sgsec-3), X.1365 (X.ibc</w:t>
      </w:r>
      <w:r w:rsidR="00231E85" w:rsidRPr="009A2042">
        <w:rPr>
          <w:lang w:val="fr-FR"/>
        </w:rPr>
        <w:noBreakHyphen/>
        <w:t xml:space="preserve">iot), X.1372 (X.itssec-2), </w:t>
      </w:r>
      <w:r w:rsidR="009A2042" w:rsidRPr="009A2042">
        <w:rPr>
          <w:lang w:val="fr-FR"/>
        </w:rPr>
        <w:br/>
      </w:r>
      <w:r w:rsidR="00231E85" w:rsidRPr="009A2042">
        <w:rPr>
          <w:lang w:val="fr-FR"/>
        </w:rPr>
        <w:t xml:space="preserve">X.1604 (X.SRNaaS) </w:t>
      </w:r>
      <w:r w:rsidR="00A77AAA" w:rsidRPr="009A2042">
        <w:rPr>
          <w:lang w:val="fr-FR"/>
        </w:rPr>
        <w:t xml:space="preserve">et </w:t>
      </w:r>
      <w:r w:rsidR="00231E85" w:rsidRPr="009A2042">
        <w:rPr>
          <w:lang w:val="fr-FR"/>
        </w:rPr>
        <w:t xml:space="preserve">X1605 (X.SRIaaS) </w:t>
      </w:r>
    </w:p>
    <w:p w14:paraId="09F36A9B" w14:textId="526411B0" w:rsidR="00231E85" w:rsidRPr="00726F49" w:rsidRDefault="00231E85" w:rsidP="000203E4">
      <w:pPr>
        <w:pStyle w:val="Heading1"/>
        <w:rPr>
          <w:sz w:val="28"/>
          <w:szCs w:val="28"/>
        </w:rPr>
      </w:pPr>
      <w:r w:rsidRPr="00726F49">
        <w:rPr>
          <w:sz w:val="28"/>
          <w:szCs w:val="28"/>
        </w:rPr>
        <w:t>1</w:t>
      </w:r>
      <w:r w:rsidRPr="00726F49">
        <w:rPr>
          <w:sz w:val="28"/>
          <w:szCs w:val="28"/>
        </w:rPr>
        <w:tab/>
      </w:r>
      <w:r w:rsidR="00442474" w:rsidRPr="00726F49">
        <w:rPr>
          <w:sz w:val="28"/>
          <w:szCs w:val="28"/>
        </w:rPr>
        <w:t>Projet de nouvelle</w:t>
      </w:r>
      <w:r w:rsidRPr="00726F49">
        <w:rPr>
          <w:sz w:val="28"/>
          <w:szCs w:val="28"/>
        </w:rPr>
        <w:t xml:space="preserve"> </w:t>
      </w:r>
      <w:r w:rsidR="00442474" w:rsidRPr="00726F49">
        <w:rPr>
          <w:sz w:val="28"/>
          <w:szCs w:val="28"/>
        </w:rPr>
        <w:t>Recommandation UIT-T</w:t>
      </w:r>
      <w:r w:rsidRPr="00726F49">
        <w:rPr>
          <w:sz w:val="28"/>
          <w:szCs w:val="28"/>
        </w:rPr>
        <w:t xml:space="preserve"> X.1332 (X.sgsec-3) [</w:t>
      </w:r>
      <w:hyperlink r:id="rId11" w:history="1">
        <w:r w:rsidRPr="00726F49">
          <w:rPr>
            <w:rStyle w:val="Hyperlink"/>
            <w:sz w:val="28"/>
            <w:szCs w:val="28"/>
          </w:rPr>
          <w:t>R046</w:t>
        </w:r>
      </w:hyperlink>
      <w:r w:rsidRPr="00726F49">
        <w:rPr>
          <w:sz w:val="28"/>
          <w:szCs w:val="28"/>
        </w:rPr>
        <w:t>]</w:t>
      </w:r>
    </w:p>
    <w:p w14:paraId="5A4D73AE" w14:textId="58600B29" w:rsidR="00231E85" w:rsidRPr="009A2042" w:rsidRDefault="009503BF" w:rsidP="000203E4">
      <w:pPr>
        <w:pStyle w:val="Headingb0"/>
        <w:rPr>
          <w:lang w:val="fr-FR"/>
        </w:rPr>
      </w:pPr>
      <w:r w:rsidRPr="009A2042">
        <w:rPr>
          <w:lang w:val="fr-FR"/>
        </w:rPr>
        <w:t>Lignes directrices relatives à la sécurité des services de compteurs intelligents dans les réseaux électriques intelligents</w:t>
      </w:r>
      <w:r w:rsidR="00231E85" w:rsidRPr="009A2042">
        <w:rPr>
          <w:lang w:val="fr-FR"/>
        </w:rPr>
        <w:t xml:space="preserve"> </w:t>
      </w:r>
    </w:p>
    <w:p w14:paraId="685BBCF7" w14:textId="4493F26F" w:rsidR="00231E85" w:rsidRPr="009A2042" w:rsidRDefault="00442474" w:rsidP="000203E4">
      <w:pPr>
        <w:pStyle w:val="Headingb0"/>
        <w:rPr>
          <w:lang w:val="fr-FR"/>
        </w:rPr>
      </w:pPr>
      <w:r w:rsidRPr="009A2042">
        <w:rPr>
          <w:lang w:val="fr-FR"/>
        </w:rPr>
        <w:t>Résumé</w:t>
      </w:r>
    </w:p>
    <w:p w14:paraId="226D3902" w14:textId="41235E2A" w:rsidR="00231E85" w:rsidRPr="009A2042" w:rsidRDefault="009503BF" w:rsidP="000203E4">
      <w:pPr>
        <w:rPr>
          <w:lang w:eastAsia="ko-KR"/>
        </w:rPr>
      </w:pPr>
      <w:r w:rsidRPr="009A2042">
        <w:t xml:space="preserve">Les services de compteurs intelligents ont été largement déployés à travers le monde afin de rendre les réseaux électriques plus efficaces et plus fiables, en réunissant/fournissant des informations sur la consommation électrique des/aux clients, respectivement. Ces informations peuvent être utilisées pour estimer les besoins d'électricité des clients et cette estimation peut servir à modifier la demande ou à changer le comportement des clients en matière de consommation électrique, en leur fournissant des informations sur la consommation électrique. Toutefois, les services de compteurs intelligents peuvent subir des dysfonctionnements découlant de diverses menaces. Par exemple, des informations de comptage inexactes peuvent conduire à des décisions erronées en matière de gestion de la demande et l'utilisation à mauvais escient des fonctions de commande de la charge peuvent causer des dégâts économiques et physiques aux clients. </w:t>
      </w:r>
      <w:r w:rsidR="009B6978" w:rsidRPr="009A2042">
        <w:t>Cette</w:t>
      </w:r>
      <w:r w:rsidRPr="009A2042">
        <w:t xml:space="preserve"> Recommandation fournit des lignes directrices relatives à la sécurité des services de compteurs intelligents, afin de permettre aux fournisseurs de services de mettre en œuvre les mesures de sécurité appropriées pour garantir la sécurité de leurs services. Elle identifie les menaces de sécurité et les méthodes d'attaque contre les services de compteurs intelligents et définit les exigences de sécurité et les capacités permettant d'atténuer ces menaces et de faire face à ces attaques en conséquence.</w:t>
      </w:r>
    </w:p>
    <w:p w14:paraId="5330BD12" w14:textId="0D307380" w:rsidR="00231E85" w:rsidRPr="00726F49" w:rsidRDefault="00231E85" w:rsidP="000203E4">
      <w:pPr>
        <w:pStyle w:val="Heading1"/>
        <w:rPr>
          <w:sz w:val="28"/>
          <w:szCs w:val="28"/>
        </w:rPr>
      </w:pPr>
      <w:r w:rsidRPr="00726F49">
        <w:rPr>
          <w:sz w:val="28"/>
          <w:szCs w:val="28"/>
        </w:rPr>
        <w:t>2</w:t>
      </w:r>
      <w:r w:rsidRPr="00726F49">
        <w:rPr>
          <w:sz w:val="28"/>
          <w:szCs w:val="28"/>
        </w:rPr>
        <w:tab/>
      </w:r>
      <w:r w:rsidR="00442474" w:rsidRPr="00726F49">
        <w:rPr>
          <w:sz w:val="28"/>
          <w:szCs w:val="28"/>
        </w:rPr>
        <w:t>Projet de nouvelle</w:t>
      </w:r>
      <w:r w:rsidRPr="00726F49">
        <w:rPr>
          <w:sz w:val="28"/>
          <w:szCs w:val="28"/>
        </w:rPr>
        <w:t xml:space="preserve"> </w:t>
      </w:r>
      <w:r w:rsidR="00442474" w:rsidRPr="00726F49">
        <w:rPr>
          <w:sz w:val="28"/>
          <w:szCs w:val="28"/>
        </w:rPr>
        <w:t>Recommandation UIT-T</w:t>
      </w:r>
      <w:r w:rsidRPr="00726F49">
        <w:rPr>
          <w:sz w:val="28"/>
          <w:szCs w:val="28"/>
        </w:rPr>
        <w:t xml:space="preserve"> X.1365 (X.ibc-iot) [</w:t>
      </w:r>
      <w:hyperlink r:id="rId12" w:history="1">
        <w:r w:rsidRPr="00726F49">
          <w:rPr>
            <w:rStyle w:val="Hyperlink"/>
            <w:sz w:val="28"/>
            <w:szCs w:val="28"/>
          </w:rPr>
          <w:t>R043</w:t>
        </w:r>
      </w:hyperlink>
      <w:r w:rsidRPr="00726F49">
        <w:rPr>
          <w:sz w:val="28"/>
          <w:szCs w:val="28"/>
        </w:rPr>
        <w:t>]</w:t>
      </w:r>
    </w:p>
    <w:p w14:paraId="0FD22FFD" w14:textId="0B5CE674" w:rsidR="00231E85" w:rsidRPr="009A2042" w:rsidRDefault="00B84E9A" w:rsidP="000203E4">
      <w:pPr>
        <w:pStyle w:val="Headingb0"/>
        <w:rPr>
          <w:lang w:val="fr-FR"/>
        </w:rPr>
      </w:pPr>
      <w:r w:rsidRPr="009A2042">
        <w:rPr>
          <w:lang w:val="fr-FR"/>
        </w:rPr>
        <w:t xml:space="preserve">Méthode de sécurité applicable à l'utilisation </w:t>
      </w:r>
      <w:r w:rsidR="009A2042" w:rsidRPr="009A2042">
        <w:rPr>
          <w:lang w:val="fr-FR"/>
        </w:rPr>
        <w:t xml:space="preserve">du chiffrement </w:t>
      </w:r>
      <w:r w:rsidRPr="009A2042">
        <w:rPr>
          <w:lang w:val="fr-FR"/>
        </w:rPr>
        <w:t xml:space="preserve">fondé sur l'identité à l'appui des services de l'Internet des objets </w:t>
      </w:r>
      <w:r w:rsidR="00C3738F" w:rsidRPr="009A2042">
        <w:rPr>
          <w:lang w:val="fr-FR"/>
        </w:rPr>
        <w:t xml:space="preserve">fournis </w:t>
      </w:r>
      <w:r w:rsidRPr="009A2042">
        <w:rPr>
          <w:lang w:val="fr-FR"/>
        </w:rPr>
        <w:t xml:space="preserve">sur </w:t>
      </w:r>
      <w:r w:rsidR="009A2042" w:rsidRPr="009A2042">
        <w:rPr>
          <w:lang w:val="fr-FR"/>
        </w:rPr>
        <w:t xml:space="preserve">les </w:t>
      </w:r>
      <w:r w:rsidRPr="009A2042">
        <w:rPr>
          <w:lang w:val="fr-FR"/>
        </w:rPr>
        <w:t>réseaux de télécommunication</w:t>
      </w:r>
    </w:p>
    <w:p w14:paraId="0D87A53A" w14:textId="7491301A" w:rsidR="00231E85" w:rsidRPr="009A2042" w:rsidRDefault="00442474" w:rsidP="000203E4">
      <w:pPr>
        <w:pStyle w:val="Headingb0"/>
        <w:rPr>
          <w:lang w:val="fr-FR"/>
        </w:rPr>
      </w:pPr>
      <w:r w:rsidRPr="009A2042">
        <w:rPr>
          <w:lang w:val="fr-FR"/>
        </w:rPr>
        <w:t>Résumé</w:t>
      </w:r>
    </w:p>
    <w:p w14:paraId="27DA4AE8" w14:textId="4A2044AB" w:rsidR="00231E85" w:rsidRPr="009A2042" w:rsidRDefault="002022E1" w:rsidP="000203E4">
      <w:r w:rsidRPr="009A2042">
        <w:t>La méthode classique</w:t>
      </w:r>
      <w:r w:rsidR="00983AB7" w:rsidRPr="009A2042">
        <w:t xml:space="preserve"> </w:t>
      </w:r>
      <w:r w:rsidR="008944D2" w:rsidRPr="009A2042">
        <w:t xml:space="preserve">de sécurité </w:t>
      </w:r>
      <w:r w:rsidR="0015606F" w:rsidRPr="009A2042">
        <w:t>par</w:t>
      </w:r>
      <w:r w:rsidR="008944D2" w:rsidRPr="009A2042">
        <w:t xml:space="preserve"> certificat</w:t>
      </w:r>
      <w:r w:rsidR="0015606F" w:rsidRPr="009A2042">
        <w:t xml:space="preserve"> suppose de recourir à de lourdes opérations</w:t>
      </w:r>
      <w:r w:rsidR="00FF0174" w:rsidRPr="009A2042">
        <w:t xml:space="preserve"> </w:t>
      </w:r>
      <w:r w:rsidR="00BB16F9" w:rsidRPr="009A2042">
        <w:t xml:space="preserve">en matière </w:t>
      </w:r>
      <w:r w:rsidR="008944D2" w:rsidRPr="009A2042">
        <w:t>de gestion</w:t>
      </w:r>
      <w:r w:rsidR="00983AB7" w:rsidRPr="009A2042">
        <w:t xml:space="preserve"> des clés,</w:t>
      </w:r>
      <w:r w:rsidR="008944D2" w:rsidRPr="009A2042">
        <w:t xml:space="preserve"> </w:t>
      </w:r>
      <w:r w:rsidR="009E1156" w:rsidRPr="009A2042">
        <w:t xml:space="preserve">notamment </w:t>
      </w:r>
      <w:r w:rsidR="0015606F" w:rsidRPr="009A2042">
        <w:t>en ce qui concerne</w:t>
      </w:r>
      <w:r w:rsidR="00F359B1" w:rsidRPr="009A2042">
        <w:t xml:space="preserve"> </w:t>
      </w:r>
      <w:r w:rsidR="00F33DCD" w:rsidRPr="009A2042">
        <w:t>l'</w:t>
      </w:r>
      <w:r w:rsidR="00FF0174" w:rsidRPr="009A2042">
        <w:t>émission de</w:t>
      </w:r>
      <w:r w:rsidR="00F33DCD" w:rsidRPr="009A2042">
        <w:t>s</w:t>
      </w:r>
      <w:r w:rsidR="00FF0174" w:rsidRPr="009A2042">
        <w:t xml:space="preserve"> certificats, l'interrogation et la révocatio</w:t>
      </w:r>
      <w:r w:rsidR="00231E85" w:rsidRPr="009A2042">
        <w:t xml:space="preserve">n. </w:t>
      </w:r>
      <w:r w:rsidR="00F036A2" w:rsidRPr="009A2042">
        <w:t xml:space="preserve">Il est particulièrement difficile pour </w:t>
      </w:r>
      <w:r w:rsidR="000D2A6D" w:rsidRPr="009A2042">
        <w:t>d</w:t>
      </w:r>
      <w:r w:rsidR="00F036A2" w:rsidRPr="009A2042">
        <w:t xml:space="preserve">es systèmes </w:t>
      </w:r>
      <w:r w:rsidRPr="009A2042">
        <w:t>employant ce type de méthode</w:t>
      </w:r>
      <w:r w:rsidR="000D2A6D" w:rsidRPr="009A2042">
        <w:t xml:space="preserve"> </w:t>
      </w:r>
      <w:r w:rsidR="006F02E0" w:rsidRPr="009A2042">
        <w:t>de s'adapter au</w:t>
      </w:r>
      <w:r w:rsidR="00F036A2" w:rsidRPr="009A2042">
        <w:t xml:space="preserve"> nombre grandissant de dispositifs connectés à l'Internet des objets (IoT), tout en continuant de fonctionner de manière </w:t>
      </w:r>
      <w:r w:rsidR="006D1C67" w:rsidRPr="009A2042">
        <w:t>satisfaisante</w:t>
      </w:r>
      <w:r w:rsidR="00F036A2" w:rsidRPr="009A2042">
        <w:t>.</w:t>
      </w:r>
    </w:p>
    <w:p w14:paraId="7C787FE4" w14:textId="68A1B9AA" w:rsidR="00231E85" w:rsidRPr="009A2042" w:rsidRDefault="009A2042" w:rsidP="000203E4">
      <w:r w:rsidRPr="009A2042">
        <w:t xml:space="preserve">Le chiffrement </w:t>
      </w:r>
      <w:r w:rsidR="00F036A2" w:rsidRPr="009A2042">
        <w:t xml:space="preserve">fondé sur l'identité </w:t>
      </w:r>
      <w:r w:rsidR="009F1995" w:rsidRPr="009A2042">
        <w:t xml:space="preserve">(IBC) </w:t>
      </w:r>
      <w:r w:rsidRPr="009A2042">
        <w:t xml:space="preserve">constitue une </w:t>
      </w:r>
      <w:r w:rsidR="009F4465" w:rsidRPr="009A2042">
        <w:t xml:space="preserve">autre </w:t>
      </w:r>
      <w:r w:rsidR="00F036A2" w:rsidRPr="009A2042">
        <w:t xml:space="preserve">méthode de sécurité </w:t>
      </w:r>
      <w:r w:rsidR="00827686" w:rsidRPr="009A2042">
        <w:t>utilisant</w:t>
      </w:r>
      <w:r w:rsidR="00F036A2" w:rsidRPr="009A2042">
        <w:t xml:space="preserve"> l'identité d'une entité comme clé publique.</w:t>
      </w:r>
      <w:r w:rsidR="00231E85" w:rsidRPr="009A2042">
        <w:t xml:space="preserve"> </w:t>
      </w:r>
      <w:r w:rsidR="00F036A2" w:rsidRPr="009A2042">
        <w:t xml:space="preserve">L'une des caractéristiques fondamentales de l'IoT est que tous les objets sont dotés d'un identifiant unique. </w:t>
      </w:r>
      <w:r w:rsidR="009F1995" w:rsidRPr="009A2042">
        <w:t>Lorsque l'on utilise ces identifiants comme clés publiques, aucun certificat n'est requis. Par conséquent,</w:t>
      </w:r>
      <w:r w:rsidR="00BD11C3" w:rsidRPr="009A2042">
        <w:t xml:space="preserve"> une</w:t>
      </w:r>
      <w:r w:rsidR="009F1995" w:rsidRPr="009A2042">
        <w:t xml:space="preserve"> solution de sécurité fondée sur la technologie IBC f</w:t>
      </w:r>
      <w:r w:rsidR="00BD11C3" w:rsidRPr="009A2042">
        <w:t>ai</w:t>
      </w:r>
      <w:r w:rsidR="00CF3BA6" w:rsidRPr="009A2042">
        <w:t>t</w:t>
      </w:r>
      <w:r w:rsidR="009F1995" w:rsidRPr="009A2042">
        <w:t xml:space="preserve"> appel à une gestion des clés </w:t>
      </w:r>
      <w:r w:rsidR="00E966DF" w:rsidRPr="009A2042">
        <w:t>simplifiée</w:t>
      </w:r>
      <w:r w:rsidR="009F1995" w:rsidRPr="009A2042">
        <w:t xml:space="preserve">, permet aux autorités </w:t>
      </w:r>
      <w:r w:rsidR="00BD11C3" w:rsidRPr="009A2042">
        <w:t>répartie</w:t>
      </w:r>
      <w:r w:rsidR="00CF3BA6" w:rsidRPr="009A2042">
        <w:t xml:space="preserve">s </w:t>
      </w:r>
      <w:r w:rsidR="009F1995" w:rsidRPr="009A2042">
        <w:t xml:space="preserve">de contrôler leurs propres dispositifs et s'adapte bien </w:t>
      </w:r>
      <w:r w:rsidR="0054069F" w:rsidRPr="009A2042">
        <w:t xml:space="preserve">tant </w:t>
      </w:r>
      <w:r w:rsidR="009F1995" w:rsidRPr="009A2042">
        <w:t xml:space="preserve">à un nombre élevé de points d'extrémité </w:t>
      </w:r>
      <w:r w:rsidR="00980BAB" w:rsidRPr="009A2042">
        <w:t>qu'</w:t>
      </w:r>
      <w:r w:rsidR="009F1995" w:rsidRPr="009A2042">
        <w:t>à des dispositifs multiples et variés.</w:t>
      </w:r>
    </w:p>
    <w:p w14:paraId="35CF5753" w14:textId="08BC224D" w:rsidR="00231E85" w:rsidRPr="009A2042" w:rsidRDefault="009F1995" w:rsidP="000203E4">
      <w:r w:rsidRPr="009A2042">
        <w:lastRenderedPageBreak/>
        <w:t xml:space="preserve">Cette Recommandation </w:t>
      </w:r>
      <w:r w:rsidR="009A2042" w:rsidRPr="009A2042">
        <w:t xml:space="preserve">décrit </w:t>
      </w:r>
      <w:r w:rsidRPr="009A2042">
        <w:t xml:space="preserve">une méthode de sécurité applicable à </w:t>
      </w:r>
      <w:r w:rsidR="004A1500" w:rsidRPr="009A2042">
        <w:t xml:space="preserve">l'utilisation de </w:t>
      </w:r>
      <w:r w:rsidRPr="009A2042">
        <w:t xml:space="preserve">la technologie IBC </w:t>
      </w:r>
      <w:r w:rsidR="004A1500" w:rsidRPr="009A2042">
        <w:t xml:space="preserve">de clé publique </w:t>
      </w:r>
      <w:r w:rsidRPr="009A2042">
        <w:t>à l'appui des services IoT</w:t>
      </w:r>
      <w:r w:rsidR="00C3738F" w:rsidRPr="009A2042">
        <w:t xml:space="preserve"> fournis</w:t>
      </w:r>
      <w:r w:rsidRPr="009A2042">
        <w:t xml:space="preserve"> sur </w:t>
      </w:r>
      <w:r w:rsidR="009A2042" w:rsidRPr="009A2042">
        <w:t xml:space="preserve">les </w:t>
      </w:r>
      <w:r w:rsidRPr="009A2042">
        <w:t>réseaux de télécommunication, y</w:t>
      </w:r>
      <w:r w:rsidR="00726F49">
        <w:t> </w:t>
      </w:r>
      <w:r w:rsidRPr="009A2042">
        <w:t xml:space="preserve">compris </w:t>
      </w:r>
      <w:r w:rsidR="00E7180B" w:rsidRPr="009A2042">
        <w:t>l</w:t>
      </w:r>
      <w:r w:rsidRPr="009A2042">
        <w:t xml:space="preserve">es mécanismes de gestion de l'identité, </w:t>
      </w:r>
      <w:r w:rsidR="00E7180B" w:rsidRPr="009A2042">
        <w:t>l'architecture de gestion des clés,</w:t>
      </w:r>
      <w:r w:rsidR="00B004A6" w:rsidRPr="009A2042">
        <w:t xml:space="preserve"> </w:t>
      </w:r>
      <w:r w:rsidR="00E7180B" w:rsidRPr="009A2042">
        <w:t xml:space="preserve">les </w:t>
      </w:r>
      <w:r w:rsidR="00BD11C3" w:rsidRPr="009A2042">
        <w:t>opérations</w:t>
      </w:r>
      <w:r w:rsidR="00E7180B" w:rsidRPr="009A2042">
        <w:t xml:space="preserve"> de gestion des clés et </w:t>
      </w:r>
      <w:r w:rsidR="009A2042" w:rsidRPr="009A2042">
        <w:t>l</w:t>
      </w:r>
      <w:r w:rsidR="00E7180B" w:rsidRPr="009A2042">
        <w:t>'authentification.</w:t>
      </w:r>
    </w:p>
    <w:p w14:paraId="6E55CA9D" w14:textId="6DD82062" w:rsidR="00231E85" w:rsidRPr="009A2042" w:rsidRDefault="001430D3" w:rsidP="000203E4">
      <w:pPr>
        <w:rPr>
          <w:rFonts w:cstheme="minorHAnsi"/>
          <w:szCs w:val="22"/>
          <w:lang w:eastAsia="ko-KR"/>
        </w:rPr>
      </w:pPr>
      <w:r w:rsidRPr="009A2042">
        <w:rPr>
          <w:rFonts w:cstheme="minorHAnsi"/>
          <w:szCs w:val="24"/>
        </w:rPr>
        <w:t>Le projet de texte déterminé de cette Recommandation contient des références normatives</w:t>
      </w:r>
      <w:r w:rsidR="00726F49">
        <w:rPr>
          <w:rFonts w:cstheme="minorHAnsi"/>
          <w:szCs w:val="24"/>
        </w:rPr>
        <w:t> </w:t>
      </w:r>
      <w:r w:rsidRPr="009A2042">
        <w:rPr>
          <w:rFonts w:cstheme="minorHAnsi"/>
          <w:szCs w:val="24"/>
        </w:rPr>
        <w:t>qui</w:t>
      </w:r>
      <w:r w:rsidR="00726F49">
        <w:rPr>
          <w:rFonts w:cstheme="minorHAnsi"/>
          <w:szCs w:val="24"/>
        </w:rPr>
        <w:t> </w:t>
      </w:r>
      <w:r w:rsidRPr="009A2042">
        <w:rPr>
          <w:rFonts w:cstheme="minorHAnsi"/>
          <w:szCs w:val="24"/>
        </w:rPr>
        <w:t xml:space="preserve">nécessitent un document de justification UIT-T A.5, qui </w:t>
      </w:r>
      <w:r w:rsidR="00BB16F9" w:rsidRPr="009A2042">
        <w:rPr>
          <w:rFonts w:cstheme="minorHAnsi"/>
          <w:szCs w:val="24"/>
        </w:rPr>
        <w:t>est reproduit dans le Document</w:t>
      </w:r>
      <w:r w:rsidR="00231E85" w:rsidRPr="009A2042">
        <w:rPr>
          <w:rFonts w:cstheme="minorHAnsi"/>
          <w:szCs w:val="24"/>
        </w:rPr>
        <w:t xml:space="preserve"> </w:t>
      </w:r>
      <w:hyperlink r:id="rId13" w:history="1">
        <w:r w:rsidR="00231E85" w:rsidRPr="009A2042">
          <w:rPr>
            <w:rStyle w:val="Hyperlink"/>
            <w:rFonts w:cstheme="minorHAnsi"/>
            <w:szCs w:val="24"/>
          </w:rPr>
          <w:t>SG17</w:t>
        </w:r>
        <w:r w:rsidR="000203E4" w:rsidRPr="009A2042">
          <w:rPr>
            <w:rStyle w:val="Hyperlink"/>
            <w:rFonts w:cstheme="minorHAnsi"/>
            <w:szCs w:val="24"/>
          </w:rPr>
          <w:noBreakHyphen/>
        </w:r>
        <w:r w:rsidR="00231E85" w:rsidRPr="009A2042">
          <w:rPr>
            <w:rStyle w:val="Hyperlink"/>
            <w:rFonts w:cstheme="minorHAnsi"/>
            <w:szCs w:val="24"/>
          </w:rPr>
          <w:t>TD2366</w:t>
        </w:r>
      </w:hyperlink>
      <w:r w:rsidR="00231E85" w:rsidRPr="009A2042">
        <w:rPr>
          <w:rFonts w:cstheme="minorHAnsi"/>
          <w:szCs w:val="24"/>
        </w:rPr>
        <w:t>.</w:t>
      </w:r>
    </w:p>
    <w:p w14:paraId="6C4AE377" w14:textId="6C06D5DC" w:rsidR="00231E85" w:rsidRPr="00726F49" w:rsidRDefault="00231E85" w:rsidP="000203E4">
      <w:pPr>
        <w:pStyle w:val="Heading1"/>
        <w:rPr>
          <w:sz w:val="28"/>
          <w:szCs w:val="28"/>
        </w:rPr>
      </w:pPr>
      <w:r w:rsidRPr="00726F49">
        <w:rPr>
          <w:sz w:val="28"/>
          <w:szCs w:val="28"/>
        </w:rPr>
        <w:t>3</w:t>
      </w:r>
      <w:r w:rsidRPr="00726F49">
        <w:rPr>
          <w:sz w:val="28"/>
          <w:szCs w:val="28"/>
        </w:rPr>
        <w:tab/>
      </w:r>
      <w:r w:rsidR="00442474" w:rsidRPr="00726F49">
        <w:rPr>
          <w:sz w:val="28"/>
          <w:szCs w:val="28"/>
        </w:rPr>
        <w:t>Projet de nouvelle</w:t>
      </w:r>
      <w:r w:rsidRPr="00726F49">
        <w:rPr>
          <w:sz w:val="28"/>
          <w:szCs w:val="28"/>
        </w:rPr>
        <w:t xml:space="preserve"> </w:t>
      </w:r>
      <w:r w:rsidR="00442474" w:rsidRPr="00726F49">
        <w:rPr>
          <w:sz w:val="28"/>
          <w:szCs w:val="28"/>
        </w:rPr>
        <w:t>Recommandation UIT-T</w:t>
      </w:r>
      <w:r w:rsidRPr="00726F49">
        <w:rPr>
          <w:sz w:val="28"/>
          <w:szCs w:val="28"/>
        </w:rPr>
        <w:t xml:space="preserve"> X.1372 (X.itssec-2) [</w:t>
      </w:r>
      <w:hyperlink r:id="rId14" w:history="1">
        <w:r w:rsidRPr="00726F49">
          <w:rPr>
            <w:rStyle w:val="Hyperlink"/>
            <w:sz w:val="28"/>
            <w:szCs w:val="28"/>
          </w:rPr>
          <w:t>R049</w:t>
        </w:r>
      </w:hyperlink>
      <w:r w:rsidRPr="00726F49">
        <w:rPr>
          <w:sz w:val="28"/>
          <w:szCs w:val="28"/>
        </w:rPr>
        <w:t>]</w:t>
      </w:r>
    </w:p>
    <w:p w14:paraId="100544F1" w14:textId="0B02B21D" w:rsidR="00231E85" w:rsidRPr="009A2042" w:rsidRDefault="00A12A1E" w:rsidP="000203E4">
      <w:pPr>
        <w:pStyle w:val="Headingb0"/>
        <w:rPr>
          <w:sz w:val="22"/>
          <w:lang w:val="fr-FR" w:eastAsia="en-GB"/>
        </w:rPr>
      </w:pPr>
      <w:r w:rsidRPr="009A2042">
        <w:rPr>
          <w:lang w:val="fr-FR"/>
        </w:rPr>
        <w:t>Lignes directrices relatives à la sécurité des communications de véhicule à tout autre élément (V2X)</w:t>
      </w:r>
    </w:p>
    <w:p w14:paraId="35329D01" w14:textId="49DEF3A0" w:rsidR="00231E85" w:rsidRPr="009A2042" w:rsidRDefault="00442474" w:rsidP="000203E4">
      <w:pPr>
        <w:pStyle w:val="Headingb0"/>
        <w:rPr>
          <w:lang w:val="fr-FR"/>
        </w:rPr>
      </w:pPr>
      <w:r w:rsidRPr="009A2042">
        <w:rPr>
          <w:lang w:val="fr-FR"/>
        </w:rPr>
        <w:t>Résumé</w:t>
      </w:r>
    </w:p>
    <w:p w14:paraId="5ABE05F6" w14:textId="583A3E66" w:rsidR="00A12A1E" w:rsidRPr="009A2042" w:rsidRDefault="00A12A1E" w:rsidP="000203E4">
      <w:r w:rsidRPr="009A2042">
        <w:t xml:space="preserve">Cette Recommandation donne des lignes directrices relatives à la sécurité des communications de véhicule à tout autre élément (V2X). L'expression "communications V2X" est un terme générique pour désigner les modes de communication de véhicule à véhicule (V2V), de véhicule à infrastructure (V2I), de véhicule à dispositif nomade (V2D) et de véhicule à piéton (V2P) examinés dans </w:t>
      </w:r>
      <w:r w:rsidR="00F73F80" w:rsidRPr="009A2042">
        <w:t>cette</w:t>
      </w:r>
      <w:r w:rsidRPr="009A2042">
        <w:t xml:space="preserve"> Recommandation.</w:t>
      </w:r>
    </w:p>
    <w:p w14:paraId="46F78908" w14:textId="77777777" w:rsidR="00A12A1E" w:rsidRPr="009A2042" w:rsidRDefault="00A12A1E" w:rsidP="000203E4">
      <w:r w:rsidRPr="009A2042">
        <w:t>Des progrès importants ont été faits ces dernières années dans le domaine des communications pour véhicule dans l'environnement des systèmes de transport intelligents (ITS). Les communications V2X permettent d'améliorer considérablement la sécurité sur les routes, de réduire les embouteillages et d'améliorer le confort. En revanche, elles rendent les entités intervenant dans l'environnement ITS vulnérables à différentes formes de cyberattaques.</w:t>
      </w:r>
    </w:p>
    <w:p w14:paraId="70408DB2" w14:textId="2B065523" w:rsidR="00231E85" w:rsidRPr="009A2042" w:rsidRDefault="00A12A1E" w:rsidP="000203E4">
      <w:r w:rsidRPr="009A2042">
        <w:t xml:space="preserve">Pour résoudre ce problème de sécurité, cette Recommandation recense les menaces existant dans l'environnement des communications V2X et définit des exigences de sécurité pour ce type de communications afin de réduire ces menaces. Elle donne en outre une description d'une mise en </w:t>
      </w:r>
      <w:r w:rsidR="009A2042" w:rsidRPr="009A2042">
        <w:t>œuvre</w:t>
      </w:r>
      <w:r w:rsidRPr="009A2042">
        <w:t xml:space="preserve"> possible des communications V2X tout en assurant la sécurité.</w:t>
      </w:r>
    </w:p>
    <w:p w14:paraId="7788D05C" w14:textId="6AD3221B" w:rsidR="00231E85" w:rsidRPr="00726F49" w:rsidRDefault="00231E85" w:rsidP="000203E4">
      <w:pPr>
        <w:pStyle w:val="Heading1"/>
        <w:rPr>
          <w:sz w:val="28"/>
          <w:szCs w:val="28"/>
        </w:rPr>
      </w:pPr>
      <w:r w:rsidRPr="00726F49">
        <w:rPr>
          <w:sz w:val="28"/>
          <w:szCs w:val="28"/>
        </w:rPr>
        <w:t>4</w:t>
      </w:r>
      <w:r w:rsidRPr="00726F49">
        <w:rPr>
          <w:sz w:val="28"/>
          <w:szCs w:val="28"/>
        </w:rPr>
        <w:tab/>
      </w:r>
      <w:r w:rsidR="00442474" w:rsidRPr="00726F49">
        <w:rPr>
          <w:sz w:val="28"/>
          <w:szCs w:val="28"/>
        </w:rPr>
        <w:t>Projet de nouvelle</w:t>
      </w:r>
      <w:r w:rsidRPr="00726F49">
        <w:rPr>
          <w:sz w:val="28"/>
          <w:szCs w:val="28"/>
        </w:rPr>
        <w:t xml:space="preserve"> </w:t>
      </w:r>
      <w:r w:rsidR="00442474" w:rsidRPr="00726F49">
        <w:rPr>
          <w:sz w:val="28"/>
          <w:szCs w:val="28"/>
        </w:rPr>
        <w:t>Recommandation UIT-T</w:t>
      </w:r>
      <w:r w:rsidRPr="00726F49">
        <w:rPr>
          <w:sz w:val="28"/>
          <w:szCs w:val="28"/>
        </w:rPr>
        <w:t xml:space="preserve"> X.1604 (X.SRNaaS) [</w:t>
      </w:r>
      <w:hyperlink r:id="rId15" w:history="1">
        <w:r w:rsidRPr="00726F49">
          <w:rPr>
            <w:rStyle w:val="Hyperlink"/>
            <w:sz w:val="28"/>
            <w:szCs w:val="28"/>
          </w:rPr>
          <w:t>R048</w:t>
        </w:r>
      </w:hyperlink>
      <w:r w:rsidRPr="00726F49">
        <w:rPr>
          <w:sz w:val="28"/>
          <w:szCs w:val="28"/>
        </w:rPr>
        <w:t>]</w:t>
      </w:r>
    </w:p>
    <w:p w14:paraId="56AE4C70" w14:textId="67985254" w:rsidR="00231E85" w:rsidRPr="009A2042" w:rsidRDefault="009503BF" w:rsidP="000203E4">
      <w:pPr>
        <w:pStyle w:val="Headingb0"/>
        <w:rPr>
          <w:lang w:val="fr-FR"/>
        </w:rPr>
      </w:pPr>
      <w:r w:rsidRPr="009A2042">
        <w:rPr>
          <w:rFonts w:eastAsia="Malgun Gothic"/>
          <w:lang w:val="fr-FR" w:eastAsia="zh-CN"/>
        </w:rPr>
        <w:t>Exigences de sécurité relatives au réseau en tant que service (NaaS) dans l'informatique en nuage</w:t>
      </w:r>
    </w:p>
    <w:p w14:paraId="77B737A1" w14:textId="55F94029" w:rsidR="00231E85" w:rsidRPr="009A2042" w:rsidRDefault="00442474" w:rsidP="000203E4">
      <w:pPr>
        <w:pStyle w:val="Headingb0"/>
        <w:rPr>
          <w:lang w:val="fr-FR"/>
        </w:rPr>
      </w:pPr>
      <w:r w:rsidRPr="009A2042">
        <w:rPr>
          <w:lang w:val="fr-FR"/>
        </w:rPr>
        <w:t>Résumé</w:t>
      </w:r>
    </w:p>
    <w:p w14:paraId="4ADE1E9D" w14:textId="0E6A907F" w:rsidR="00231E85" w:rsidRPr="009A2042" w:rsidRDefault="002210E7" w:rsidP="000203E4">
      <w:pPr>
        <w:jc w:val="both"/>
      </w:pPr>
      <w:r w:rsidRPr="009A2042">
        <w:rPr>
          <w:rFonts w:eastAsia="MS Mincho"/>
          <w:szCs w:val="24"/>
          <w:lang w:eastAsia="ja-JP"/>
        </w:rPr>
        <w:t>Cette</w:t>
      </w:r>
      <w:r w:rsidR="009503BF" w:rsidRPr="009A2042">
        <w:rPr>
          <w:rFonts w:eastAsia="MS Mincho"/>
          <w:szCs w:val="24"/>
          <w:lang w:eastAsia="ja-JP"/>
        </w:rPr>
        <w:t xml:space="preserve"> Recommandation vise à analyser les menaces et les problèmes de sécurité concernant le réseau en tant que service (NaaS) dans l'informatique en nuage, et précise les exigences de sécurité relatives aux aspects du NaaS, à savoir les applications NaaS, les plates-formes NaaS et la connectivité NaaS, sur la base des types de capacités de nuage correspondants.</w:t>
      </w:r>
    </w:p>
    <w:p w14:paraId="46494214" w14:textId="6E51D96A" w:rsidR="00231E85" w:rsidRPr="00726F49" w:rsidRDefault="00231E85" w:rsidP="000203E4">
      <w:pPr>
        <w:pStyle w:val="Heading1"/>
        <w:rPr>
          <w:sz w:val="28"/>
          <w:szCs w:val="28"/>
        </w:rPr>
      </w:pPr>
      <w:r w:rsidRPr="00726F49">
        <w:rPr>
          <w:sz w:val="28"/>
          <w:szCs w:val="28"/>
        </w:rPr>
        <w:lastRenderedPageBreak/>
        <w:t>5</w:t>
      </w:r>
      <w:r w:rsidRPr="00726F49">
        <w:rPr>
          <w:sz w:val="28"/>
          <w:szCs w:val="28"/>
        </w:rPr>
        <w:tab/>
      </w:r>
      <w:r w:rsidR="00442474" w:rsidRPr="00726F49">
        <w:rPr>
          <w:sz w:val="28"/>
          <w:szCs w:val="28"/>
        </w:rPr>
        <w:t>Projet de nouvelle</w:t>
      </w:r>
      <w:r w:rsidRPr="00726F49">
        <w:rPr>
          <w:sz w:val="28"/>
          <w:szCs w:val="28"/>
        </w:rPr>
        <w:t xml:space="preserve"> </w:t>
      </w:r>
      <w:r w:rsidR="00442474" w:rsidRPr="00726F49">
        <w:rPr>
          <w:sz w:val="28"/>
          <w:szCs w:val="28"/>
        </w:rPr>
        <w:t>Recommandation UIT-T</w:t>
      </w:r>
      <w:r w:rsidRPr="00726F49">
        <w:rPr>
          <w:sz w:val="28"/>
          <w:szCs w:val="28"/>
        </w:rPr>
        <w:t xml:space="preserve"> X.1605 (X.SRIaaS) [</w:t>
      </w:r>
      <w:hyperlink r:id="rId16" w:history="1">
        <w:r w:rsidRPr="00726F49">
          <w:rPr>
            <w:rStyle w:val="Hyperlink"/>
            <w:sz w:val="28"/>
            <w:szCs w:val="28"/>
          </w:rPr>
          <w:t>R047</w:t>
        </w:r>
      </w:hyperlink>
      <w:r w:rsidRPr="00726F49">
        <w:rPr>
          <w:sz w:val="28"/>
          <w:szCs w:val="28"/>
        </w:rPr>
        <w:t>]</w:t>
      </w:r>
    </w:p>
    <w:p w14:paraId="0378D954" w14:textId="25A07F32" w:rsidR="00231E85" w:rsidRPr="009A2042" w:rsidRDefault="002210E7" w:rsidP="000203E4">
      <w:pPr>
        <w:pStyle w:val="Headingb0"/>
        <w:rPr>
          <w:bCs/>
          <w:lang w:val="fr-FR"/>
        </w:rPr>
      </w:pPr>
      <w:r w:rsidRPr="009A2042">
        <w:rPr>
          <w:lang w:val="fr-FR"/>
        </w:rPr>
        <w:t>Exigences de sécurité pour les infrastructures en tant que service (IaaS) publiques dans l'informatique en nuage</w:t>
      </w:r>
    </w:p>
    <w:p w14:paraId="4E3619BF" w14:textId="078E45C8" w:rsidR="00231E85" w:rsidRPr="009A2042" w:rsidRDefault="00442474" w:rsidP="000203E4">
      <w:pPr>
        <w:pStyle w:val="Headingb0"/>
        <w:rPr>
          <w:lang w:val="fr-FR"/>
        </w:rPr>
      </w:pPr>
      <w:r w:rsidRPr="009A2042">
        <w:rPr>
          <w:lang w:val="fr-FR"/>
        </w:rPr>
        <w:t>Résumé</w:t>
      </w:r>
    </w:p>
    <w:p w14:paraId="31EE585E" w14:textId="60E898F1" w:rsidR="00231E85" w:rsidRPr="009A2042" w:rsidRDefault="002210E7" w:rsidP="009A2042">
      <w:pPr>
        <w:keepLines/>
      </w:pPr>
      <w:r w:rsidRPr="009A2042">
        <w:rPr>
          <w:lang w:eastAsia="zh-CN"/>
        </w:rPr>
        <w:t>Les plates-formes d'infrastructure en tant que service (IaaS) et les services virtualisés sont confrontés à des problèmes et des menaces différents, et peut-être plus nombreux, par rapport aux infrastructures et aux applications traditionnelles des technologies de l'information. Les plates</w:t>
      </w:r>
      <w:r w:rsidRPr="009A2042">
        <w:rPr>
          <w:lang w:eastAsia="zh-CN"/>
        </w:rPr>
        <w:noBreakHyphen/>
        <w:t xml:space="preserve">formes IaaS qui utilisent en partage des services de calcul, de stockage et de réseau ont des besoins en matière de protection adaptés aux menaces propres à l'environnement IaaS. </w:t>
      </w:r>
      <w:r w:rsidR="00A713DC" w:rsidRPr="009A2042">
        <w:rPr>
          <w:lang w:eastAsia="zh-CN"/>
        </w:rPr>
        <w:t xml:space="preserve">Cette </w:t>
      </w:r>
      <w:r w:rsidRPr="009A2042">
        <w:rPr>
          <w:lang w:eastAsia="zh-CN"/>
        </w:rPr>
        <w:t>Recommandation vise à fournir des informations concernant les exigences de sécurité pour les infrastructures IaaS publiques, afin d'aider les fournisseurs d'infrastructures IaaS à améliorer la sécurité des plates-formes IaaS au cours des étapes de planification, de construction et d'exploitation.</w:t>
      </w:r>
    </w:p>
    <w:p w14:paraId="7F17FEE7" w14:textId="0F92E68F" w:rsidR="004D7188" w:rsidRPr="009A2042" w:rsidRDefault="004D7188" w:rsidP="000203E4">
      <w:r w:rsidRPr="009A2042">
        <w:br w:type="page"/>
      </w:r>
    </w:p>
    <w:p w14:paraId="75CA9DDC" w14:textId="3A57B185" w:rsidR="005C003E" w:rsidRPr="009A2042" w:rsidRDefault="00F426F2" w:rsidP="000203E4">
      <w:pPr>
        <w:pStyle w:val="Annextitle0"/>
        <w:rPr>
          <w:lang w:val="fr-FR"/>
        </w:rPr>
      </w:pPr>
      <w:r w:rsidRPr="009A2042">
        <w:rPr>
          <w:lang w:val="fr-FR"/>
        </w:rPr>
        <w:lastRenderedPageBreak/>
        <w:t xml:space="preserve">ANNEXE </w:t>
      </w:r>
      <w:r w:rsidR="005C003E" w:rsidRPr="009A2042">
        <w:rPr>
          <w:lang w:val="fr-FR"/>
        </w:rPr>
        <w:t>2</w:t>
      </w:r>
      <w:r w:rsidR="005C003E" w:rsidRPr="009A2042">
        <w:rPr>
          <w:lang w:val="fr-FR"/>
        </w:rPr>
        <w:br/>
      </w:r>
      <w:r w:rsidR="005C003E" w:rsidRPr="009A2042">
        <w:rPr>
          <w:lang w:val="fr-FR"/>
        </w:rPr>
        <w:br/>
        <w:t xml:space="preserve">Objet: Réponse des </w:t>
      </w:r>
      <w:r w:rsidR="00923755" w:rsidRPr="009A2042">
        <w:rPr>
          <w:lang w:val="fr-FR"/>
        </w:rPr>
        <w:t>États</w:t>
      </w:r>
      <w:r w:rsidR="005C003E" w:rsidRPr="009A2042">
        <w:rPr>
          <w:lang w:val="fr-FR"/>
        </w:rPr>
        <w:t xml:space="preserve"> Membres à la Circulaire TSB </w:t>
      </w:r>
      <w:r w:rsidR="00E22541" w:rsidRPr="009A2042">
        <w:rPr>
          <w:lang w:val="fr-FR"/>
        </w:rPr>
        <w:t>1</w:t>
      </w:r>
      <w:r w:rsidR="00035CDD" w:rsidRPr="009A2042">
        <w:rPr>
          <w:lang w:val="fr-FR"/>
        </w:rPr>
        <w:t>95</w:t>
      </w:r>
      <w:r w:rsidR="005C003E" w:rsidRPr="009A2042">
        <w:rPr>
          <w:lang w:val="fr-FR"/>
        </w:rPr>
        <w:t xml:space="preserve">: Consultation au sujet </w:t>
      </w:r>
      <w:r w:rsidR="009A2042" w:rsidRPr="009A2042">
        <w:rPr>
          <w:lang w:val="fr-FR"/>
        </w:rPr>
        <w:t xml:space="preserve">des </w:t>
      </w:r>
      <w:r w:rsidR="005C003E" w:rsidRPr="009A2042">
        <w:rPr>
          <w:lang w:val="fr-FR"/>
        </w:rPr>
        <w:t>texte</w:t>
      </w:r>
      <w:r w:rsidR="009A2042" w:rsidRPr="009A2042">
        <w:rPr>
          <w:lang w:val="fr-FR"/>
        </w:rPr>
        <w:t>s</w:t>
      </w:r>
      <w:r w:rsidR="005C003E" w:rsidRPr="009A2042">
        <w:rPr>
          <w:lang w:val="fr-FR"/>
        </w:rPr>
        <w:t xml:space="preserve"> déterminé</w:t>
      </w:r>
      <w:r w:rsidR="009A2042" w:rsidRPr="009A2042">
        <w:rPr>
          <w:lang w:val="fr-FR"/>
        </w:rPr>
        <w:t>s</w:t>
      </w:r>
      <w:r w:rsidR="005C003E" w:rsidRPr="009A2042">
        <w:rPr>
          <w:lang w:val="fr-FR"/>
        </w:rPr>
        <w:t xml:space="preserve"> d</w:t>
      </w:r>
      <w:r w:rsidR="00035CDD" w:rsidRPr="009A2042">
        <w:rPr>
          <w:lang w:val="fr-FR"/>
        </w:rPr>
        <w:t>es</w:t>
      </w:r>
      <w:r w:rsidR="005C003E" w:rsidRPr="009A2042">
        <w:rPr>
          <w:lang w:val="fr-FR"/>
        </w:rPr>
        <w:t xml:space="preserve"> projet</w:t>
      </w:r>
      <w:r w:rsidR="00035CDD" w:rsidRPr="009A2042">
        <w:rPr>
          <w:lang w:val="fr-FR"/>
        </w:rPr>
        <w:t>s</w:t>
      </w:r>
      <w:r w:rsidR="005C003E" w:rsidRPr="009A2042">
        <w:rPr>
          <w:lang w:val="fr-FR"/>
        </w:rPr>
        <w:t xml:space="preserve"> de Recommandation</w:t>
      </w:r>
      <w:r w:rsidR="00442474" w:rsidRPr="009A2042">
        <w:rPr>
          <w:lang w:val="fr-FR"/>
        </w:rPr>
        <w:t>s</w:t>
      </w:r>
      <w:r w:rsidR="005C003E" w:rsidRPr="009A2042">
        <w:rPr>
          <w:lang w:val="fr-FR"/>
        </w:rPr>
        <w:t xml:space="preserve"> </w:t>
      </w:r>
      <w:r w:rsidR="00035CDD" w:rsidRPr="009A2042">
        <w:rPr>
          <w:lang w:val="fr-FR"/>
        </w:rPr>
        <w:t xml:space="preserve">UIT-T X.1332 (X.sgsec-3), X.1365 (X.ibc-iot), X.1372 (X.itssec-2), X.1604 (X.SRNaaS) </w:t>
      </w:r>
      <w:r w:rsidR="00035CDD" w:rsidRPr="009A2042">
        <w:rPr>
          <w:bCs/>
          <w:lang w:val="fr-FR"/>
        </w:rPr>
        <w:t xml:space="preserve">et </w:t>
      </w:r>
      <w:r w:rsidR="00035CDD" w:rsidRPr="009A2042">
        <w:rPr>
          <w:lang w:val="fr-FR"/>
        </w:rPr>
        <w:t>X.1605 (X.SRIaaS)</w:t>
      </w:r>
    </w:p>
    <w:tbl>
      <w:tblPr>
        <w:tblW w:w="9639" w:type="dxa"/>
        <w:tblLayout w:type="fixed"/>
        <w:tblLook w:val="04A0" w:firstRow="1" w:lastRow="0" w:firstColumn="1" w:lastColumn="0" w:noHBand="0" w:noVBand="1"/>
      </w:tblPr>
      <w:tblGrid>
        <w:gridCol w:w="1276"/>
        <w:gridCol w:w="4111"/>
        <w:gridCol w:w="1276"/>
        <w:gridCol w:w="2976"/>
      </w:tblGrid>
      <w:tr w:rsidR="005C003E" w:rsidRPr="009A2042" w14:paraId="4BC9C11A" w14:textId="77777777" w:rsidTr="005E3C84">
        <w:tc>
          <w:tcPr>
            <w:tcW w:w="1276" w:type="dxa"/>
            <w:shd w:val="clear" w:color="auto" w:fill="auto"/>
          </w:tcPr>
          <w:p w14:paraId="791706F7" w14:textId="77777777" w:rsidR="005C003E" w:rsidRPr="009A2042" w:rsidRDefault="001D4A19" w:rsidP="000203E4">
            <w:pPr>
              <w:tabs>
                <w:tab w:val="clear" w:pos="794"/>
                <w:tab w:val="clear" w:pos="1191"/>
              </w:tabs>
              <w:jc w:val="right"/>
              <w:rPr>
                <w:szCs w:val="24"/>
              </w:rPr>
            </w:pPr>
            <w:r w:rsidRPr="009A2042">
              <w:rPr>
                <w:b/>
                <w:bCs/>
              </w:rPr>
              <w:t>À</w:t>
            </w:r>
            <w:r w:rsidR="005C003E" w:rsidRPr="009A2042">
              <w:t>:</w:t>
            </w:r>
          </w:p>
        </w:tc>
        <w:tc>
          <w:tcPr>
            <w:tcW w:w="4111" w:type="dxa"/>
            <w:tcBorders>
              <w:right w:val="single" w:sz="8" w:space="0" w:color="auto"/>
            </w:tcBorders>
            <w:shd w:val="clear" w:color="auto" w:fill="auto"/>
          </w:tcPr>
          <w:p w14:paraId="0373304A" w14:textId="77777777" w:rsidR="005C003E" w:rsidRPr="009A2042" w:rsidRDefault="005C003E" w:rsidP="000203E4">
            <w:pPr>
              <w:ind w:right="-284"/>
              <w:rPr>
                <w:bCs/>
              </w:rPr>
            </w:pPr>
            <w:r w:rsidRPr="009A2042">
              <w:rPr>
                <w:bCs/>
              </w:rPr>
              <w:t>Directeur du Bureau de la normalisation des télécommunications</w:t>
            </w:r>
          </w:p>
          <w:p w14:paraId="7510326A" w14:textId="77777777" w:rsidR="005C003E" w:rsidRPr="009A2042" w:rsidRDefault="005C003E" w:rsidP="000203E4">
            <w:pPr>
              <w:spacing w:before="0"/>
              <w:ind w:right="-284"/>
              <w:rPr>
                <w:bCs/>
              </w:rPr>
            </w:pPr>
            <w:r w:rsidRPr="009A2042">
              <w:rPr>
                <w:bCs/>
              </w:rPr>
              <w:t xml:space="preserve">Union internationale des </w:t>
            </w:r>
            <w:r w:rsidRPr="009A2042">
              <w:rPr>
                <w:bCs/>
              </w:rPr>
              <w:br/>
              <w:t>télécommunications</w:t>
            </w:r>
          </w:p>
          <w:p w14:paraId="096AFACE" w14:textId="77777777" w:rsidR="005C003E" w:rsidRPr="009A2042" w:rsidRDefault="005C003E" w:rsidP="000203E4">
            <w:pPr>
              <w:spacing w:before="0"/>
              <w:ind w:right="-284"/>
              <w:rPr>
                <w:bCs/>
              </w:rPr>
            </w:pPr>
            <w:r w:rsidRPr="009A2042">
              <w:rPr>
                <w:bCs/>
              </w:rPr>
              <w:t>Place des Nations</w:t>
            </w:r>
          </w:p>
          <w:p w14:paraId="682472B2" w14:textId="77777777" w:rsidR="005C003E" w:rsidRPr="009A2042" w:rsidRDefault="005C003E" w:rsidP="000203E4">
            <w:pPr>
              <w:spacing w:before="0"/>
              <w:rPr>
                <w:szCs w:val="24"/>
              </w:rPr>
            </w:pPr>
            <w:r w:rsidRPr="009A2042">
              <w:rPr>
                <w:bCs/>
              </w:rPr>
              <w:t>CH-1211 Genève 20, Suisse</w:t>
            </w:r>
          </w:p>
        </w:tc>
        <w:tc>
          <w:tcPr>
            <w:tcW w:w="1276" w:type="dxa"/>
            <w:tcBorders>
              <w:left w:val="single" w:sz="8" w:space="0" w:color="auto"/>
            </w:tcBorders>
            <w:shd w:val="clear" w:color="auto" w:fill="auto"/>
          </w:tcPr>
          <w:p w14:paraId="595109E7" w14:textId="77777777" w:rsidR="005C003E" w:rsidRPr="009A2042" w:rsidRDefault="005C003E" w:rsidP="000203E4">
            <w:pPr>
              <w:jc w:val="right"/>
              <w:rPr>
                <w:szCs w:val="24"/>
              </w:rPr>
            </w:pPr>
            <w:r w:rsidRPr="009A2042">
              <w:rPr>
                <w:b/>
                <w:bCs/>
              </w:rPr>
              <w:t>De</w:t>
            </w:r>
            <w:r w:rsidRPr="009A2042">
              <w:rPr>
                <w:bCs/>
              </w:rPr>
              <w:t>:</w:t>
            </w:r>
          </w:p>
        </w:tc>
        <w:tc>
          <w:tcPr>
            <w:tcW w:w="2976" w:type="dxa"/>
            <w:shd w:val="clear" w:color="auto" w:fill="auto"/>
          </w:tcPr>
          <w:p w14:paraId="14F5CAB2" w14:textId="77777777" w:rsidR="005C003E" w:rsidRPr="009A2042" w:rsidRDefault="005C003E" w:rsidP="000203E4">
            <w:pPr>
              <w:ind w:right="-284"/>
              <w:rPr>
                <w:bCs/>
                <w:highlight w:val="green"/>
              </w:rPr>
            </w:pPr>
            <w:r w:rsidRPr="009A2042">
              <w:rPr>
                <w:bCs/>
                <w:highlight w:val="green"/>
              </w:rPr>
              <w:t>[Nom]</w:t>
            </w:r>
          </w:p>
          <w:p w14:paraId="346DD818" w14:textId="77777777" w:rsidR="005C003E" w:rsidRPr="009A2042" w:rsidRDefault="005C003E" w:rsidP="000203E4">
            <w:pPr>
              <w:spacing w:before="0"/>
              <w:ind w:right="-284"/>
              <w:rPr>
                <w:bCs/>
                <w:highlight w:val="green"/>
              </w:rPr>
            </w:pPr>
            <w:r w:rsidRPr="009A2042">
              <w:rPr>
                <w:bCs/>
                <w:highlight w:val="green"/>
              </w:rPr>
              <w:t>[Rôle/titre officiel]</w:t>
            </w:r>
          </w:p>
          <w:p w14:paraId="7507EADB" w14:textId="77777777" w:rsidR="005C003E" w:rsidRPr="009A2042" w:rsidRDefault="005C003E" w:rsidP="000203E4">
            <w:pPr>
              <w:spacing w:before="0"/>
              <w:rPr>
                <w:szCs w:val="24"/>
              </w:rPr>
            </w:pPr>
            <w:r w:rsidRPr="009A2042">
              <w:rPr>
                <w:bCs/>
                <w:highlight w:val="green"/>
              </w:rPr>
              <w:t>[Adresse]</w:t>
            </w:r>
          </w:p>
        </w:tc>
      </w:tr>
      <w:tr w:rsidR="005C003E" w:rsidRPr="009A2042" w14:paraId="520CCF91" w14:textId="77777777" w:rsidTr="005E3C84">
        <w:trPr>
          <w:trHeight w:val="923"/>
        </w:trPr>
        <w:tc>
          <w:tcPr>
            <w:tcW w:w="1276" w:type="dxa"/>
            <w:shd w:val="clear" w:color="auto" w:fill="auto"/>
          </w:tcPr>
          <w:p w14:paraId="1601F1DE" w14:textId="77777777" w:rsidR="005C003E" w:rsidRPr="009A2042" w:rsidRDefault="005C003E" w:rsidP="000203E4">
            <w:pPr>
              <w:tabs>
                <w:tab w:val="clear" w:pos="794"/>
                <w:tab w:val="clear" w:pos="1191"/>
              </w:tabs>
              <w:jc w:val="right"/>
              <w:rPr>
                <w:szCs w:val="24"/>
              </w:rPr>
            </w:pPr>
            <w:r w:rsidRPr="009A2042">
              <w:rPr>
                <w:b/>
                <w:bCs/>
              </w:rPr>
              <w:t>Télécopie</w:t>
            </w:r>
            <w:r w:rsidRPr="009A2042">
              <w:rPr>
                <w:bCs/>
              </w:rPr>
              <w:t>:</w:t>
            </w:r>
            <w:r w:rsidRPr="009A2042">
              <w:rPr>
                <w:b/>
                <w:bCs/>
              </w:rPr>
              <w:t>Courriel</w:t>
            </w:r>
            <w:r w:rsidRPr="009A2042">
              <w:rPr>
                <w:bCs/>
              </w:rPr>
              <w:t>:</w:t>
            </w:r>
          </w:p>
        </w:tc>
        <w:tc>
          <w:tcPr>
            <w:tcW w:w="4111" w:type="dxa"/>
            <w:tcBorders>
              <w:right w:val="single" w:sz="8" w:space="0" w:color="auto"/>
            </w:tcBorders>
            <w:shd w:val="clear" w:color="auto" w:fill="auto"/>
          </w:tcPr>
          <w:p w14:paraId="63A888F2" w14:textId="77777777" w:rsidR="005C003E" w:rsidRPr="009A2042" w:rsidRDefault="005C003E" w:rsidP="000203E4">
            <w:pPr>
              <w:rPr>
                <w:szCs w:val="24"/>
              </w:rPr>
            </w:pPr>
            <w:r w:rsidRPr="009A2042">
              <w:rPr>
                <w:bCs/>
              </w:rPr>
              <w:t>+41 22 730 5853</w:t>
            </w:r>
            <w:r w:rsidRPr="009A2042">
              <w:rPr>
                <w:bCs/>
              </w:rPr>
              <w:br/>
            </w:r>
            <w:hyperlink r:id="rId17" w:history="1">
              <w:r w:rsidRPr="009A2042">
                <w:rPr>
                  <w:rStyle w:val="Hyperlink"/>
                  <w:bCs/>
                </w:rPr>
                <w:t>tsbdir@itu.int</w:t>
              </w:r>
            </w:hyperlink>
            <w:r w:rsidRPr="009A2042">
              <w:rPr>
                <w:bCs/>
              </w:rPr>
              <w:t xml:space="preserve"> </w:t>
            </w:r>
          </w:p>
        </w:tc>
        <w:tc>
          <w:tcPr>
            <w:tcW w:w="1276" w:type="dxa"/>
            <w:tcBorders>
              <w:left w:val="single" w:sz="8" w:space="0" w:color="auto"/>
            </w:tcBorders>
            <w:shd w:val="clear" w:color="auto" w:fill="auto"/>
          </w:tcPr>
          <w:p w14:paraId="539A87B3" w14:textId="77777777" w:rsidR="005C003E" w:rsidRPr="009A2042" w:rsidRDefault="005C003E" w:rsidP="000203E4">
            <w:pPr>
              <w:jc w:val="right"/>
              <w:rPr>
                <w:szCs w:val="24"/>
              </w:rPr>
            </w:pPr>
            <w:r w:rsidRPr="009A2042">
              <w:rPr>
                <w:b/>
                <w:bCs/>
              </w:rPr>
              <w:t>Télécopie</w:t>
            </w:r>
            <w:r w:rsidRPr="009A2042">
              <w:t>:</w:t>
            </w:r>
            <w:r w:rsidRPr="009A2042">
              <w:rPr>
                <w:b/>
                <w:bCs/>
              </w:rPr>
              <w:br/>
              <w:t>Courriel</w:t>
            </w:r>
            <w:r w:rsidRPr="009A2042">
              <w:rPr>
                <w:bCs/>
              </w:rPr>
              <w:t>:</w:t>
            </w:r>
          </w:p>
        </w:tc>
        <w:tc>
          <w:tcPr>
            <w:tcW w:w="2976" w:type="dxa"/>
            <w:shd w:val="clear" w:color="auto" w:fill="auto"/>
          </w:tcPr>
          <w:p w14:paraId="6A54CB6C" w14:textId="77777777" w:rsidR="005C003E" w:rsidRPr="009A2042" w:rsidRDefault="005C003E" w:rsidP="000203E4">
            <w:pPr>
              <w:spacing w:before="0"/>
              <w:rPr>
                <w:szCs w:val="24"/>
              </w:rPr>
            </w:pPr>
          </w:p>
        </w:tc>
      </w:tr>
      <w:tr w:rsidR="005C003E" w:rsidRPr="009A2042" w14:paraId="4DFB453E" w14:textId="77777777" w:rsidTr="005E3C84">
        <w:trPr>
          <w:trHeight w:val="186"/>
        </w:trPr>
        <w:tc>
          <w:tcPr>
            <w:tcW w:w="1276" w:type="dxa"/>
            <w:shd w:val="clear" w:color="auto" w:fill="auto"/>
          </w:tcPr>
          <w:p w14:paraId="5083C5A4" w14:textId="77777777" w:rsidR="005C003E" w:rsidRPr="009A2042" w:rsidRDefault="005C003E" w:rsidP="000203E4">
            <w:pPr>
              <w:spacing w:before="0"/>
              <w:jc w:val="right"/>
              <w:rPr>
                <w:szCs w:val="24"/>
              </w:rPr>
            </w:pPr>
          </w:p>
        </w:tc>
        <w:tc>
          <w:tcPr>
            <w:tcW w:w="4111" w:type="dxa"/>
            <w:tcBorders>
              <w:right w:val="single" w:sz="8" w:space="0" w:color="auto"/>
            </w:tcBorders>
            <w:shd w:val="clear" w:color="auto" w:fill="auto"/>
          </w:tcPr>
          <w:p w14:paraId="6A4207DB" w14:textId="77777777" w:rsidR="005C003E" w:rsidRPr="009A2042" w:rsidRDefault="005C003E" w:rsidP="000203E4">
            <w:pPr>
              <w:spacing w:before="0"/>
              <w:rPr>
                <w:szCs w:val="24"/>
              </w:rPr>
            </w:pPr>
          </w:p>
        </w:tc>
        <w:tc>
          <w:tcPr>
            <w:tcW w:w="1276" w:type="dxa"/>
            <w:tcBorders>
              <w:left w:val="single" w:sz="8" w:space="0" w:color="auto"/>
            </w:tcBorders>
            <w:shd w:val="clear" w:color="auto" w:fill="auto"/>
          </w:tcPr>
          <w:p w14:paraId="02345041" w14:textId="4BEB31B5" w:rsidR="005C003E" w:rsidRPr="009A2042" w:rsidRDefault="005C003E" w:rsidP="000203E4">
            <w:pPr>
              <w:spacing w:before="0"/>
              <w:jc w:val="right"/>
              <w:rPr>
                <w:szCs w:val="24"/>
              </w:rPr>
            </w:pPr>
          </w:p>
        </w:tc>
        <w:tc>
          <w:tcPr>
            <w:tcW w:w="2976" w:type="dxa"/>
            <w:shd w:val="clear" w:color="auto" w:fill="auto"/>
          </w:tcPr>
          <w:p w14:paraId="2BF76C1C" w14:textId="62149D80" w:rsidR="005C003E" w:rsidRPr="009A2042" w:rsidRDefault="005C003E" w:rsidP="000203E4">
            <w:pPr>
              <w:spacing w:before="0"/>
              <w:rPr>
                <w:szCs w:val="24"/>
              </w:rPr>
            </w:pPr>
          </w:p>
        </w:tc>
      </w:tr>
    </w:tbl>
    <w:p w14:paraId="3B9C288D" w14:textId="77777777" w:rsidR="005C003E" w:rsidRPr="009A2042" w:rsidRDefault="005C003E" w:rsidP="000203E4">
      <w:pPr>
        <w:spacing w:before="360"/>
      </w:pPr>
      <w:r w:rsidRPr="009A2042">
        <w:t>Madame, Monsieur,</w:t>
      </w:r>
    </w:p>
    <w:p w14:paraId="70CC7892" w14:textId="35E8AD9A" w:rsidR="005C003E" w:rsidRPr="009A2042" w:rsidRDefault="005C003E" w:rsidP="005D306E">
      <w:pPr>
        <w:spacing w:after="480"/>
      </w:pPr>
      <w:r w:rsidRPr="009A2042">
        <w:t xml:space="preserve">Dans le cadre de la consultation des </w:t>
      </w:r>
      <w:r w:rsidR="00923755" w:rsidRPr="009A2042">
        <w:t>États</w:t>
      </w:r>
      <w:r w:rsidRPr="009A2042">
        <w:t xml:space="preserve"> Membres au sujet </w:t>
      </w:r>
      <w:r w:rsidR="009A2042" w:rsidRPr="009A2042">
        <w:t xml:space="preserve">des </w:t>
      </w:r>
      <w:r w:rsidRPr="009A2042">
        <w:t>projet</w:t>
      </w:r>
      <w:r w:rsidR="009A2042" w:rsidRPr="009A2042">
        <w:t>s</w:t>
      </w:r>
      <w:r w:rsidRPr="009A2042">
        <w:t xml:space="preserve"> de </w:t>
      </w:r>
      <w:r w:rsidR="009A2042" w:rsidRPr="009A2042">
        <w:t xml:space="preserve">texte </w:t>
      </w:r>
      <w:r w:rsidRPr="009A2042">
        <w:t xml:space="preserve">déterminé dont il est question dans la Circulaire TSB </w:t>
      </w:r>
      <w:r w:rsidR="009C7EA4" w:rsidRPr="009A2042">
        <w:t>195</w:t>
      </w:r>
      <w:r w:rsidRPr="009A2042">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5C003E" w:rsidRPr="009A2042" w14:paraId="490A2E57" w14:textId="77777777" w:rsidTr="005E3C84">
        <w:trPr>
          <w:tblHeader/>
        </w:trPr>
        <w:tc>
          <w:tcPr>
            <w:tcW w:w="2137" w:type="dxa"/>
            <w:shd w:val="clear" w:color="auto" w:fill="auto"/>
            <w:vAlign w:val="center"/>
          </w:tcPr>
          <w:p w14:paraId="6F3A6096" w14:textId="77777777" w:rsidR="005C003E" w:rsidRPr="009A2042" w:rsidRDefault="005C003E" w:rsidP="000203E4">
            <w:pPr>
              <w:spacing w:before="40" w:after="40"/>
              <w:jc w:val="center"/>
              <w:rPr>
                <w:b/>
                <w:bCs/>
                <w:szCs w:val="24"/>
              </w:rPr>
            </w:pPr>
          </w:p>
        </w:tc>
        <w:tc>
          <w:tcPr>
            <w:tcW w:w="7503" w:type="dxa"/>
            <w:shd w:val="clear" w:color="auto" w:fill="auto"/>
            <w:vAlign w:val="center"/>
          </w:tcPr>
          <w:p w14:paraId="2D985BE5" w14:textId="77777777" w:rsidR="005C003E" w:rsidRPr="009A2042" w:rsidRDefault="005C003E" w:rsidP="000203E4">
            <w:pPr>
              <w:pStyle w:val="TableHead"/>
              <w:spacing w:before="40" w:after="40"/>
            </w:pPr>
            <w:r w:rsidRPr="009A2042">
              <w:t>Cochez l'une des deux cases</w:t>
            </w:r>
            <w:r w:rsidR="00DA68B9" w:rsidRPr="009A2042">
              <w:t xml:space="preserve"> pour chaque texte</w:t>
            </w:r>
          </w:p>
        </w:tc>
      </w:tr>
      <w:tr w:rsidR="00E22541" w:rsidRPr="009A2042" w14:paraId="5990C914" w14:textId="77777777" w:rsidTr="005E3C84">
        <w:trPr>
          <w:trHeight w:val="748"/>
        </w:trPr>
        <w:tc>
          <w:tcPr>
            <w:tcW w:w="2137" w:type="dxa"/>
            <w:vMerge w:val="restart"/>
            <w:shd w:val="clear" w:color="auto" w:fill="auto"/>
            <w:vAlign w:val="center"/>
          </w:tcPr>
          <w:p w14:paraId="26A0AAC1" w14:textId="3A58BDA5" w:rsidR="00E22541" w:rsidRPr="009A2042" w:rsidRDefault="00DA68B9" w:rsidP="000203E4">
            <w:pPr>
              <w:pStyle w:val="TableHead"/>
              <w:spacing w:before="40" w:after="40"/>
            </w:pPr>
            <w:r w:rsidRPr="009A2042">
              <w:t xml:space="preserve">Projet de </w:t>
            </w:r>
            <w:r w:rsidR="00E22541" w:rsidRPr="009A2042">
              <w:t xml:space="preserve">Recommandation UIT-T </w:t>
            </w:r>
            <w:r w:rsidR="009C7EA4" w:rsidRPr="009A2042">
              <w:rPr>
                <w:bCs/>
              </w:rPr>
              <w:t>X1332 (X.sgsec-3)</w:t>
            </w:r>
          </w:p>
        </w:tc>
        <w:tc>
          <w:tcPr>
            <w:tcW w:w="7503" w:type="dxa"/>
            <w:shd w:val="clear" w:color="auto" w:fill="auto"/>
            <w:vAlign w:val="center"/>
          </w:tcPr>
          <w:p w14:paraId="7CC37E35" w14:textId="5D7D475E" w:rsidR="00E22541" w:rsidRPr="009A2042" w:rsidRDefault="00E22541" w:rsidP="000203E4">
            <w:pPr>
              <w:pStyle w:val="TableText"/>
              <w:spacing w:before="120"/>
              <w:ind w:left="567" w:hanging="567"/>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 w:val="20"/>
              </w:rPr>
              <w:tab/>
            </w:r>
            <w:r w:rsidRPr="009A2042">
              <w:rPr>
                <w:b/>
                <w:bCs/>
              </w:rPr>
              <w:t>autorise</w:t>
            </w:r>
            <w:r w:rsidRPr="009A2042">
              <w:t xml:space="preserve"> la Commission d'études 1</w:t>
            </w:r>
            <w:r w:rsidR="009C7EA4" w:rsidRPr="009A2042">
              <w:t>7</w:t>
            </w:r>
            <w:r w:rsidRPr="009A2042">
              <w:t xml:space="preserve"> à procéder à l'examen de ce document en vue de son approbation (dans ce cas, sélectionnez l'une des deux options ⃝):</w:t>
            </w:r>
          </w:p>
          <w:p w14:paraId="72CDBE1F" w14:textId="77777777" w:rsidR="00E22541" w:rsidRPr="009A2042" w:rsidRDefault="00E22541" w:rsidP="000203E4">
            <w:pPr>
              <w:pStyle w:val="TableText"/>
            </w:pPr>
            <w:r w:rsidRPr="009A2042">
              <w:rPr>
                <w:sz w:val="20"/>
              </w:rPr>
              <w:tab/>
            </w:r>
            <w:r w:rsidRPr="009A2042">
              <w:rPr>
                <w:sz w:val="20"/>
              </w:rPr>
              <w:tab/>
              <w:t>⃝</w:t>
            </w:r>
            <w:r w:rsidRPr="009A2042">
              <w:rPr>
                <w:sz w:val="20"/>
              </w:rPr>
              <w:tab/>
            </w:r>
            <w:r w:rsidRPr="009A2042">
              <w:t>Pas de commentaire ou de proposition de modification</w:t>
            </w:r>
          </w:p>
          <w:p w14:paraId="5A03A9AA" w14:textId="77777777" w:rsidR="00E22541" w:rsidRPr="009A2042" w:rsidRDefault="00E22541" w:rsidP="000203E4">
            <w:pPr>
              <w:pStyle w:val="TableText"/>
              <w:spacing w:after="120"/>
              <w:ind w:left="851" w:hanging="851"/>
            </w:pPr>
            <w:r w:rsidRPr="009A2042">
              <w:rPr>
                <w:sz w:val="20"/>
              </w:rPr>
              <w:tab/>
            </w:r>
            <w:r w:rsidRPr="009A2042">
              <w:rPr>
                <w:sz w:val="20"/>
              </w:rPr>
              <w:tab/>
              <w:t>⃝</w:t>
            </w:r>
            <w:r w:rsidRPr="009A2042">
              <w:rPr>
                <w:sz w:val="20"/>
              </w:rPr>
              <w:tab/>
            </w:r>
            <w:r w:rsidRPr="009A2042">
              <w:t>Des commentaires ou propositions de modification sont joints à la présente</w:t>
            </w:r>
          </w:p>
        </w:tc>
      </w:tr>
      <w:tr w:rsidR="00E22541" w:rsidRPr="009A2042" w14:paraId="4DE84B32" w14:textId="77777777" w:rsidTr="005E3C84">
        <w:trPr>
          <w:trHeight w:val="748"/>
        </w:trPr>
        <w:tc>
          <w:tcPr>
            <w:tcW w:w="2137" w:type="dxa"/>
            <w:vMerge/>
            <w:shd w:val="clear" w:color="auto" w:fill="auto"/>
            <w:vAlign w:val="center"/>
          </w:tcPr>
          <w:p w14:paraId="227EFACE" w14:textId="77777777" w:rsidR="00E22541" w:rsidRPr="009A2042" w:rsidRDefault="00E22541" w:rsidP="000203E4">
            <w:pPr>
              <w:pStyle w:val="TableHead"/>
              <w:spacing w:before="40" w:after="40"/>
            </w:pPr>
          </w:p>
        </w:tc>
        <w:tc>
          <w:tcPr>
            <w:tcW w:w="7503" w:type="dxa"/>
            <w:shd w:val="clear" w:color="auto" w:fill="auto"/>
            <w:vAlign w:val="center"/>
          </w:tcPr>
          <w:p w14:paraId="7C6871F2" w14:textId="36EE15F3" w:rsidR="00E22541" w:rsidRPr="009A2042" w:rsidRDefault="00E22541" w:rsidP="000203E4">
            <w:pPr>
              <w:pStyle w:val="TableText"/>
              <w:spacing w:before="120" w:after="120"/>
              <w:ind w:left="567" w:hanging="567"/>
              <w:rPr>
                <w:sz w:val="20"/>
              </w:rPr>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Cs w:val="22"/>
              </w:rPr>
              <w:tab/>
            </w:r>
            <w:r w:rsidRPr="009A2042">
              <w:rPr>
                <w:b/>
                <w:bCs/>
              </w:rPr>
              <w:t>n'autorise pas</w:t>
            </w:r>
            <w:r w:rsidRPr="009A2042">
              <w:t xml:space="preserve"> la Commission d'études 1</w:t>
            </w:r>
            <w:r w:rsidR="00597A2D" w:rsidRPr="009A2042">
              <w:t>7</w:t>
            </w:r>
            <w:r w:rsidRPr="009A2042">
              <w:t xml:space="preserve"> à procéder à l'examen de ce document en vue de son approbation (les motifs de cette décision et une description des éventuelles modifications qui permettraient la poursuite des travaux sont joints à la présente)</w:t>
            </w:r>
          </w:p>
        </w:tc>
      </w:tr>
      <w:tr w:rsidR="005C003E" w:rsidRPr="009A2042" w14:paraId="01D6702C" w14:textId="77777777" w:rsidTr="005E3C84">
        <w:trPr>
          <w:trHeight w:val="748"/>
        </w:trPr>
        <w:tc>
          <w:tcPr>
            <w:tcW w:w="2137" w:type="dxa"/>
            <w:vMerge w:val="restart"/>
            <w:shd w:val="clear" w:color="auto" w:fill="auto"/>
            <w:vAlign w:val="center"/>
          </w:tcPr>
          <w:p w14:paraId="6399A7C9" w14:textId="79702E77" w:rsidR="005C003E" w:rsidRPr="009A2042" w:rsidRDefault="009C7EA4" w:rsidP="000203E4">
            <w:pPr>
              <w:pStyle w:val="TableHead"/>
              <w:spacing w:before="40" w:after="40"/>
            </w:pPr>
            <w:r w:rsidRPr="009A2042">
              <w:t>Projet de Recommandation UIT-T X.1365 (X.ibc</w:t>
            </w:r>
            <w:r w:rsidRPr="009A2042">
              <w:noBreakHyphen/>
              <w:t>iot)</w:t>
            </w:r>
          </w:p>
        </w:tc>
        <w:tc>
          <w:tcPr>
            <w:tcW w:w="7503" w:type="dxa"/>
            <w:shd w:val="clear" w:color="auto" w:fill="auto"/>
            <w:vAlign w:val="center"/>
          </w:tcPr>
          <w:p w14:paraId="18C6B612" w14:textId="329E67C6" w:rsidR="005C003E" w:rsidRPr="009A2042" w:rsidRDefault="005C003E" w:rsidP="000203E4">
            <w:pPr>
              <w:pStyle w:val="TableText"/>
              <w:spacing w:before="120"/>
              <w:ind w:left="567" w:hanging="567"/>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 w:val="20"/>
              </w:rPr>
              <w:tab/>
            </w:r>
            <w:r w:rsidRPr="009A2042">
              <w:rPr>
                <w:b/>
                <w:bCs/>
              </w:rPr>
              <w:t>autorise</w:t>
            </w:r>
            <w:r w:rsidRPr="009A2042">
              <w:t xml:space="preserve"> la Commission d'études 1</w:t>
            </w:r>
            <w:r w:rsidR="00D5002D" w:rsidRPr="009A2042">
              <w:t>7</w:t>
            </w:r>
            <w:r w:rsidRPr="009A2042">
              <w:t xml:space="preserve"> à procéder à l'examen de ce document en vue de son approbation (dans ce cas, sélectionnez l'une des deux options ⃝):</w:t>
            </w:r>
          </w:p>
          <w:p w14:paraId="1A43812C" w14:textId="77777777" w:rsidR="005C003E" w:rsidRPr="009A2042" w:rsidRDefault="005C003E" w:rsidP="000203E4">
            <w:pPr>
              <w:pStyle w:val="TableText"/>
            </w:pPr>
            <w:r w:rsidRPr="009A2042">
              <w:rPr>
                <w:sz w:val="20"/>
              </w:rPr>
              <w:tab/>
            </w:r>
            <w:r w:rsidRPr="009A2042">
              <w:rPr>
                <w:sz w:val="20"/>
              </w:rPr>
              <w:tab/>
              <w:t>⃝</w:t>
            </w:r>
            <w:r w:rsidRPr="009A2042">
              <w:rPr>
                <w:sz w:val="20"/>
              </w:rPr>
              <w:tab/>
            </w:r>
            <w:r w:rsidRPr="009A2042">
              <w:t>Pas de commentaire ou de proposition de modification</w:t>
            </w:r>
          </w:p>
          <w:p w14:paraId="2ABF240A" w14:textId="77777777" w:rsidR="005C003E" w:rsidRPr="009A2042" w:rsidRDefault="005C003E" w:rsidP="000203E4">
            <w:pPr>
              <w:pStyle w:val="TableText"/>
              <w:spacing w:after="120"/>
              <w:ind w:left="851" w:hanging="851"/>
            </w:pPr>
            <w:r w:rsidRPr="009A2042">
              <w:rPr>
                <w:sz w:val="20"/>
              </w:rPr>
              <w:tab/>
            </w:r>
            <w:r w:rsidRPr="009A2042">
              <w:rPr>
                <w:sz w:val="20"/>
              </w:rPr>
              <w:tab/>
              <w:t>⃝</w:t>
            </w:r>
            <w:r w:rsidRPr="009A2042">
              <w:rPr>
                <w:sz w:val="20"/>
              </w:rPr>
              <w:tab/>
            </w:r>
            <w:r w:rsidRPr="009A2042">
              <w:t>Des commentaires ou propositions de modification sont joints à la présente</w:t>
            </w:r>
          </w:p>
        </w:tc>
      </w:tr>
      <w:tr w:rsidR="005C003E" w:rsidRPr="009A2042" w14:paraId="425A4544" w14:textId="77777777" w:rsidTr="005E3C84">
        <w:trPr>
          <w:trHeight w:val="747"/>
        </w:trPr>
        <w:tc>
          <w:tcPr>
            <w:tcW w:w="2137" w:type="dxa"/>
            <w:vMerge/>
            <w:shd w:val="clear" w:color="auto" w:fill="auto"/>
            <w:vAlign w:val="center"/>
          </w:tcPr>
          <w:p w14:paraId="1A9A07FA" w14:textId="77777777" w:rsidR="005C003E" w:rsidRPr="009A2042" w:rsidRDefault="005C003E" w:rsidP="000203E4">
            <w:pPr>
              <w:spacing w:before="40" w:after="40"/>
              <w:jc w:val="center"/>
              <w:rPr>
                <w:b/>
                <w:bCs/>
                <w:szCs w:val="24"/>
              </w:rPr>
            </w:pPr>
          </w:p>
        </w:tc>
        <w:tc>
          <w:tcPr>
            <w:tcW w:w="7503" w:type="dxa"/>
            <w:shd w:val="clear" w:color="auto" w:fill="auto"/>
            <w:vAlign w:val="center"/>
          </w:tcPr>
          <w:p w14:paraId="2230B9F2" w14:textId="5D02E721" w:rsidR="005C003E" w:rsidRPr="009A2042" w:rsidRDefault="005C003E" w:rsidP="000203E4">
            <w:pPr>
              <w:pStyle w:val="TableText"/>
              <w:spacing w:before="120" w:after="120"/>
              <w:ind w:left="567" w:hanging="567"/>
              <w:rPr>
                <w:sz w:val="20"/>
              </w:rPr>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Cs w:val="22"/>
              </w:rPr>
              <w:tab/>
            </w:r>
            <w:r w:rsidRPr="009A2042">
              <w:rPr>
                <w:b/>
                <w:bCs/>
              </w:rPr>
              <w:t>n'autorise pas</w:t>
            </w:r>
            <w:r w:rsidRPr="009A2042">
              <w:t xml:space="preserve"> la Commission d'études 1</w:t>
            </w:r>
            <w:r w:rsidR="00597A2D" w:rsidRPr="009A2042">
              <w:t>7</w:t>
            </w:r>
            <w:r w:rsidRPr="009A2042">
              <w:t xml:space="preserve"> à procéder à l'examen de ce document en vue de son approbation (les motifs de cette décision et une description des éventuelles modifications qui permettraient la poursuite des travaux sont joints à la présente)</w:t>
            </w:r>
          </w:p>
        </w:tc>
      </w:tr>
      <w:tr w:rsidR="00D5002D" w:rsidRPr="009A2042" w14:paraId="42B16AF2" w14:textId="77777777" w:rsidTr="005E3C84">
        <w:trPr>
          <w:trHeight w:val="747"/>
        </w:trPr>
        <w:tc>
          <w:tcPr>
            <w:tcW w:w="2137" w:type="dxa"/>
            <w:vMerge w:val="restart"/>
            <w:shd w:val="clear" w:color="auto" w:fill="auto"/>
            <w:vAlign w:val="center"/>
          </w:tcPr>
          <w:p w14:paraId="03000BD8" w14:textId="5FB38F07" w:rsidR="00D5002D" w:rsidRPr="009A2042" w:rsidRDefault="00D5002D" w:rsidP="000203E4">
            <w:pPr>
              <w:keepNext/>
              <w:keepLines/>
              <w:spacing w:before="60" w:after="60"/>
              <w:jc w:val="center"/>
              <w:rPr>
                <w:b/>
                <w:sz w:val="22"/>
              </w:rPr>
            </w:pPr>
            <w:r w:rsidRPr="009A2042">
              <w:rPr>
                <w:b/>
                <w:sz w:val="22"/>
              </w:rPr>
              <w:lastRenderedPageBreak/>
              <w:t>Projet de Recommandation UIT-T</w:t>
            </w:r>
            <w:r w:rsidRPr="009A2042">
              <w:t xml:space="preserve"> </w:t>
            </w:r>
            <w:r w:rsidRPr="009A2042">
              <w:rPr>
                <w:b/>
                <w:sz w:val="22"/>
              </w:rPr>
              <w:t>X1372</w:t>
            </w:r>
          </w:p>
          <w:p w14:paraId="0C4648BB" w14:textId="33D3209B" w:rsidR="00D5002D" w:rsidRPr="009A2042" w:rsidRDefault="00D5002D" w:rsidP="000203E4">
            <w:pPr>
              <w:keepNext/>
              <w:keepLines/>
              <w:spacing w:before="60" w:after="60"/>
              <w:jc w:val="center"/>
              <w:rPr>
                <w:b/>
                <w:bCs/>
                <w:szCs w:val="24"/>
              </w:rPr>
            </w:pPr>
            <w:bookmarkStart w:id="3" w:name="lt_pId154"/>
            <w:r w:rsidRPr="009A2042">
              <w:rPr>
                <w:b/>
                <w:sz w:val="22"/>
              </w:rPr>
              <w:t>(X.itssec-2)</w:t>
            </w:r>
            <w:bookmarkEnd w:id="3"/>
          </w:p>
        </w:tc>
        <w:tc>
          <w:tcPr>
            <w:tcW w:w="7503" w:type="dxa"/>
            <w:shd w:val="clear" w:color="auto" w:fill="auto"/>
            <w:vAlign w:val="center"/>
          </w:tcPr>
          <w:p w14:paraId="3548A801" w14:textId="77777777" w:rsidR="00D5002D" w:rsidRPr="009A2042" w:rsidRDefault="00D5002D" w:rsidP="000203E4">
            <w:pPr>
              <w:pStyle w:val="TableText"/>
              <w:spacing w:before="120"/>
              <w:ind w:left="567" w:hanging="567"/>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 w:val="20"/>
              </w:rPr>
              <w:tab/>
            </w:r>
            <w:r w:rsidRPr="009A2042">
              <w:rPr>
                <w:b/>
                <w:bCs/>
              </w:rPr>
              <w:t>autorise</w:t>
            </w:r>
            <w:r w:rsidRPr="009A2042">
              <w:t xml:space="preserve"> la Commission d'études 17 à procéder à l'examen de ce document en vue de son approbation (dans ce cas, sélectionnez l'une des deux options ⃝):</w:t>
            </w:r>
          </w:p>
          <w:p w14:paraId="3F61F9D1" w14:textId="77777777" w:rsidR="00D5002D" w:rsidRPr="009A2042" w:rsidRDefault="00D5002D" w:rsidP="000203E4">
            <w:pPr>
              <w:pStyle w:val="TableText"/>
            </w:pPr>
            <w:r w:rsidRPr="009A2042">
              <w:rPr>
                <w:sz w:val="20"/>
              </w:rPr>
              <w:tab/>
            </w:r>
            <w:r w:rsidRPr="009A2042">
              <w:rPr>
                <w:sz w:val="20"/>
              </w:rPr>
              <w:tab/>
              <w:t>⃝</w:t>
            </w:r>
            <w:r w:rsidRPr="009A2042">
              <w:rPr>
                <w:sz w:val="20"/>
              </w:rPr>
              <w:tab/>
            </w:r>
            <w:r w:rsidRPr="009A2042">
              <w:t>Pas de commentaire ou de proposition de modification</w:t>
            </w:r>
          </w:p>
          <w:p w14:paraId="7F60E155" w14:textId="2CB99D65" w:rsidR="00D5002D" w:rsidRPr="009A2042" w:rsidRDefault="00D5002D" w:rsidP="000203E4">
            <w:pPr>
              <w:pStyle w:val="TableText"/>
              <w:spacing w:before="120" w:after="120"/>
              <w:ind w:left="567" w:hanging="567"/>
              <w:rPr>
                <w:szCs w:val="22"/>
              </w:rPr>
            </w:pPr>
            <w:r w:rsidRPr="009A2042">
              <w:rPr>
                <w:sz w:val="20"/>
              </w:rPr>
              <w:tab/>
            </w:r>
            <w:r w:rsidRPr="009A2042">
              <w:rPr>
                <w:sz w:val="20"/>
              </w:rPr>
              <w:tab/>
              <w:t>⃝</w:t>
            </w:r>
            <w:r w:rsidRPr="009A2042">
              <w:rPr>
                <w:sz w:val="20"/>
              </w:rPr>
              <w:tab/>
            </w:r>
            <w:r w:rsidRPr="009A2042">
              <w:t>Des commentaires ou propositions de modification sont joints à la présente</w:t>
            </w:r>
          </w:p>
        </w:tc>
      </w:tr>
      <w:tr w:rsidR="00D5002D" w:rsidRPr="009A2042" w14:paraId="6683F7AA" w14:textId="77777777" w:rsidTr="005E3C84">
        <w:trPr>
          <w:trHeight w:val="747"/>
        </w:trPr>
        <w:tc>
          <w:tcPr>
            <w:tcW w:w="2137" w:type="dxa"/>
            <w:vMerge/>
            <w:shd w:val="clear" w:color="auto" w:fill="auto"/>
            <w:vAlign w:val="center"/>
          </w:tcPr>
          <w:p w14:paraId="5888664D" w14:textId="77777777" w:rsidR="00D5002D" w:rsidRPr="009A2042" w:rsidRDefault="00D5002D" w:rsidP="000203E4">
            <w:pPr>
              <w:spacing w:before="40" w:after="40"/>
              <w:jc w:val="center"/>
            </w:pPr>
          </w:p>
        </w:tc>
        <w:tc>
          <w:tcPr>
            <w:tcW w:w="7503" w:type="dxa"/>
            <w:shd w:val="clear" w:color="auto" w:fill="auto"/>
            <w:vAlign w:val="center"/>
          </w:tcPr>
          <w:p w14:paraId="03C98F1D" w14:textId="1D15AC78" w:rsidR="00D5002D" w:rsidRPr="009A2042" w:rsidRDefault="00D5002D" w:rsidP="000203E4">
            <w:pPr>
              <w:pStyle w:val="TableText"/>
              <w:spacing w:before="120"/>
              <w:ind w:left="567" w:hanging="567"/>
              <w:rPr>
                <w:szCs w:val="22"/>
              </w:rPr>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Cs w:val="22"/>
              </w:rPr>
              <w:tab/>
            </w:r>
            <w:r w:rsidRPr="009A2042">
              <w:rPr>
                <w:b/>
                <w:bCs/>
              </w:rPr>
              <w:t>n'autorise pas</w:t>
            </w:r>
            <w:r w:rsidRPr="009A2042">
              <w:t xml:space="preserve"> la Commission d'études 1</w:t>
            </w:r>
            <w:r w:rsidR="00597A2D" w:rsidRPr="009A2042">
              <w:t>7</w:t>
            </w:r>
            <w:r w:rsidRPr="009A2042">
              <w:t xml:space="preserve"> à procéder à l'examen de ce document en vue de son approbation (les motifs de cette décision et une description des éventuelles modifications qui permettraient la poursuite des travaux sont joints à la présente)</w:t>
            </w:r>
          </w:p>
        </w:tc>
      </w:tr>
      <w:tr w:rsidR="00C26AF1" w:rsidRPr="009A2042" w14:paraId="65F65D75" w14:textId="77777777" w:rsidTr="005E3C84">
        <w:trPr>
          <w:trHeight w:val="747"/>
        </w:trPr>
        <w:tc>
          <w:tcPr>
            <w:tcW w:w="2137" w:type="dxa"/>
            <w:vMerge w:val="restart"/>
            <w:shd w:val="clear" w:color="auto" w:fill="auto"/>
            <w:vAlign w:val="center"/>
          </w:tcPr>
          <w:p w14:paraId="406557D4" w14:textId="0682ECDE" w:rsidR="00C26AF1" w:rsidRPr="009A2042" w:rsidRDefault="00C26AF1" w:rsidP="000203E4">
            <w:pPr>
              <w:spacing w:before="40" w:after="40"/>
              <w:jc w:val="center"/>
            </w:pPr>
            <w:r w:rsidRPr="009A2042">
              <w:rPr>
                <w:b/>
                <w:sz w:val="22"/>
              </w:rPr>
              <w:t>Projet de Recommandation UIT-T</w:t>
            </w:r>
            <w:r w:rsidRPr="009A2042">
              <w:t xml:space="preserve"> </w:t>
            </w:r>
            <w:r w:rsidRPr="009A2042">
              <w:rPr>
                <w:b/>
                <w:bCs/>
                <w:sz w:val="22"/>
              </w:rPr>
              <w:t>X.1604 (X.SRNaaS)</w:t>
            </w:r>
          </w:p>
        </w:tc>
        <w:tc>
          <w:tcPr>
            <w:tcW w:w="7503" w:type="dxa"/>
            <w:shd w:val="clear" w:color="auto" w:fill="auto"/>
            <w:vAlign w:val="center"/>
          </w:tcPr>
          <w:p w14:paraId="050AFE39" w14:textId="77777777" w:rsidR="00C26AF1" w:rsidRPr="009A2042" w:rsidRDefault="00C26AF1" w:rsidP="000203E4">
            <w:pPr>
              <w:pStyle w:val="TableText"/>
              <w:spacing w:before="120"/>
              <w:ind w:left="567" w:hanging="567"/>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 w:val="20"/>
              </w:rPr>
              <w:tab/>
            </w:r>
            <w:r w:rsidRPr="009A2042">
              <w:rPr>
                <w:b/>
                <w:bCs/>
              </w:rPr>
              <w:t>autorise</w:t>
            </w:r>
            <w:r w:rsidRPr="009A2042">
              <w:t xml:space="preserve"> la Commission d'études 17 à procéder à l'examen de ce document en vue de son approbation (dans ce cas, sélectionnez l'une des deux options ⃝):</w:t>
            </w:r>
          </w:p>
          <w:p w14:paraId="11C77D85" w14:textId="77777777" w:rsidR="00C26AF1" w:rsidRPr="009A2042" w:rsidRDefault="00C26AF1" w:rsidP="000203E4">
            <w:pPr>
              <w:pStyle w:val="TableText"/>
            </w:pPr>
            <w:r w:rsidRPr="009A2042">
              <w:rPr>
                <w:sz w:val="20"/>
              </w:rPr>
              <w:tab/>
            </w:r>
            <w:r w:rsidRPr="009A2042">
              <w:rPr>
                <w:sz w:val="20"/>
              </w:rPr>
              <w:tab/>
              <w:t>⃝</w:t>
            </w:r>
            <w:r w:rsidRPr="009A2042">
              <w:rPr>
                <w:sz w:val="20"/>
              </w:rPr>
              <w:tab/>
            </w:r>
            <w:r w:rsidRPr="009A2042">
              <w:t>Pas de commentaire ou de proposition de modification</w:t>
            </w:r>
          </w:p>
          <w:p w14:paraId="0AE7495E" w14:textId="2D2707C1" w:rsidR="00C26AF1" w:rsidRPr="009A2042" w:rsidRDefault="00C26AF1" w:rsidP="000203E4">
            <w:pPr>
              <w:pStyle w:val="TableText"/>
              <w:spacing w:before="120"/>
              <w:ind w:left="567" w:hanging="567"/>
              <w:rPr>
                <w:szCs w:val="22"/>
              </w:rPr>
            </w:pPr>
            <w:r w:rsidRPr="009A2042">
              <w:rPr>
                <w:sz w:val="20"/>
              </w:rPr>
              <w:tab/>
            </w:r>
            <w:r w:rsidRPr="009A2042">
              <w:rPr>
                <w:sz w:val="20"/>
              </w:rPr>
              <w:tab/>
              <w:t>⃝</w:t>
            </w:r>
            <w:r w:rsidRPr="009A2042">
              <w:rPr>
                <w:sz w:val="20"/>
              </w:rPr>
              <w:tab/>
            </w:r>
            <w:r w:rsidRPr="009A2042">
              <w:t>Des commentaires ou propositions de modification sont joints à la présente</w:t>
            </w:r>
          </w:p>
        </w:tc>
      </w:tr>
      <w:tr w:rsidR="00C26AF1" w:rsidRPr="009A2042" w14:paraId="33F7FE9B" w14:textId="77777777" w:rsidTr="005E3C84">
        <w:trPr>
          <w:trHeight w:val="747"/>
        </w:trPr>
        <w:tc>
          <w:tcPr>
            <w:tcW w:w="2137" w:type="dxa"/>
            <w:vMerge/>
            <w:shd w:val="clear" w:color="auto" w:fill="auto"/>
            <w:vAlign w:val="center"/>
          </w:tcPr>
          <w:p w14:paraId="1C4FCCE0" w14:textId="77777777" w:rsidR="00C26AF1" w:rsidRPr="009A2042" w:rsidRDefault="00C26AF1" w:rsidP="000203E4">
            <w:pPr>
              <w:spacing w:before="40" w:after="40"/>
              <w:jc w:val="center"/>
            </w:pPr>
          </w:p>
        </w:tc>
        <w:tc>
          <w:tcPr>
            <w:tcW w:w="7503" w:type="dxa"/>
            <w:shd w:val="clear" w:color="auto" w:fill="auto"/>
            <w:vAlign w:val="center"/>
          </w:tcPr>
          <w:p w14:paraId="3C737262" w14:textId="3084DCCD" w:rsidR="00C26AF1" w:rsidRPr="009A2042" w:rsidRDefault="00C26AF1" w:rsidP="000203E4">
            <w:pPr>
              <w:pStyle w:val="TableText"/>
              <w:spacing w:before="120"/>
              <w:ind w:left="567" w:hanging="567"/>
              <w:rPr>
                <w:szCs w:val="22"/>
              </w:rPr>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Cs w:val="22"/>
              </w:rPr>
              <w:tab/>
            </w:r>
            <w:r w:rsidRPr="009A2042">
              <w:rPr>
                <w:b/>
                <w:bCs/>
              </w:rPr>
              <w:t>n'autorise pas</w:t>
            </w:r>
            <w:r w:rsidRPr="009A2042">
              <w:t xml:space="preserve"> la Commission d'études 1</w:t>
            </w:r>
            <w:r w:rsidR="00597A2D" w:rsidRPr="009A2042">
              <w:t>7</w:t>
            </w:r>
            <w:r w:rsidRPr="009A2042">
              <w:t xml:space="preserve"> à procéder à l'examen de ce document en vue de son approbation (les motifs de cette décision et une description des éventuelles modifications qui permettraient la poursuite des travaux sont joints à la présente)</w:t>
            </w:r>
          </w:p>
        </w:tc>
      </w:tr>
      <w:tr w:rsidR="00531A7C" w:rsidRPr="009A2042" w14:paraId="16703702" w14:textId="77777777" w:rsidTr="005E3C84">
        <w:trPr>
          <w:trHeight w:val="747"/>
        </w:trPr>
        <w:tc>
          <w:tcPr>
            <w:tcW w:w="2137" w:type="dxa"/>
            <w:vMerge w:val="restart"/>
            <w:shd w:val="clear" w:color="auto" w:fill="auto"/>
            <w:vAlign w:val="center"/>
          </w:tcPr>
          <w:p w14:paraId="71DFAADB" w14:textId="67C5B4A6" w:rsidR="00531A7C" w:rsidRPr="009A2042" w:rsidRDefault="00531A7C" w:rsidP="000203E4">
            <w:pPr>
              <w:spacing w:before="40" w:after="40"/>
              <w:jc w:val="center"/>
              <w:rPr>
                <w:b/>
                <w:bCs/>
                <w:sz w:val="22"/>
              </w:rPr>
            </w:pPr>
            <w:r w:rsidRPr="009A2042">
              <w:rPr>
                <w:b/>
                <w:sz w:val="22"/>
              </w:rPr>
              <w:t>Projet de Recommandation UIT-T</w:t>
            </w:r>
            <w:r w:rsidRPr="009A2042">
              <w:t xml:space="preserve"> </w:t>
            </w:r>
            <w:r w:rsidRPr="009A2042">
              <w:rPr>
                <w:b/>
                <w:bCs/>
                <w:sz w:val="22"/>
              </w:rPr>
              <w:t>X1605</w:t>
            </w:r>
          </w:p>
          <w:p w14:paraId="615FE854" w14:textId="2CAA74D1" w:rsidR="00531A7C" w:rsidRPr="009A2042" w:rsidRDefault="00531A7C" w:rsidP="000203E4">
            <w:pPr>
              <w:spacing w:before="40" w:after="40"/>
              <w:jc w:val="center"/>
            </w:pPr>
            <w:bookmarkStart w:id="4" w:name="lt_pId171"/>
            <w:r w:rsidRPr="009A2042">
              <w:rPr>
                <w:b/>
                <w:bCs/>
                <w:sz w:val="22"/>
              </w:rPr>
              <w:t>(X.SRIaaS)</w:t>
            </w:r>
            <w:bookmarkEnd w:id="4"/>
          </w:p>
        </w:tc>
        <w:tc>
          <w:tcPr>
            <w:tcW w:w="7503" w:type="dxa"/>
            <w:shd w:val="clear" w:color="auto" w:fill="auto"/>
            <w:vAlign w:val="center"/>
          </w:tcPr>
          <w:p w14:paraId="408CDCF4" w14:textId="77777777" w:rsidR="00531A7C" w:rsidRPr="009A2042" w:rsidRDefault="00531A7C" w:rsidP="000203E4">
            <w:pPr>
              <w:pStyle w:val="TableText"/>
              <w:spacing w:before="120"/>
              <w:ind w:left="567" w:hanging="567"/>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 w:val="20"/>
              </w:rPr>
              <w:tab/>
            </w:r>
            <w:r w:rsidRPr="009A2042">
              <w:rPr>
                <w:b/>
                <w:bCs/>
              </w:rPr>
              <w:t>autorise</w:t>
            </w:r>
            <w:r w:rsidRPr="009A2042">
              <w:t xml:space="preserve"> la Commission d'études 17 à procéder à l'examen de ce document en vue de son approbation (dans ce cas, sélectionnez l'une des deux options ⃝):</w:t>
            </w:r>
          </w:p>
          <w:p w14:paraId="77054BB0" w14:textId="77777777" w:rsidR="00531A7C" w:rsidRPr="009A2042" w:rsidRDefault="00531A7C" w:rsidP="000203E4">
            <w:pPr>
              <w:pStyle w:val="TableText"/>
            </w:pPr>
            <w:r w:rsidRPr="009A2042">
              <w:rPr>
                <w:sz w:val="20"/>
              </w:rPr>
              <w:tab/>
            </w:r>
            <w:r w:rsidRPr="009A2042">
              <w:rPr>
                <w:sz w:val="20"/>
              </w:rPr>
              <w:tab/>
              <w:t>⃝</w:t>
            </w:r>
            <w:r w:rsidRPr="009A2042">
              <w:rPr>
                <w:sz w:val="20"/>
              </w:rPr>
              <w:tab/>
            </w:r>
            <w:r w:rsidRPr="009A2042">
              <w:t>Pas de commentaire ou de proposition de modification</w:t>
            </w:r>
          </w:p>
          <w:p w14:paraId="3760C4F2" w14:textId="213590FB" w:rsidR="00531A7C" w:rsidRPr="009A2042" w:rsidRDefault="00531A7C" w:rsidP="000203E4">
            <w:pPr>
              <w:pStyle w:val="TableText"/>
              <w:spacing w:before="120"/>
              <w:ind w:left="567" w:hanging="567"/>
              <w:rPr>
                <w:szCs w:val="22"/>
              </w:rPr>
            </w:pPr>
            <w:r w:rsidRPr="009A2042">
              <w:rPr>
                <w:sz w:val="20"/>
              </w:rPr>
              <w:tab/>
            </w:r>
            <w:r w:rsidRPr="009A2042">
              <w:rPr>
                <w:sz w:val="20"/>
              </w:rPr>
              <w:tab/>
              <w:t>⃝</w:t>
            </w:r>
            <w:r w:rsidRPr="009A2042">
              <w:rPr>
                <w:sz w:val="20"/>
              </w:rPr>
              <w:tab/>
            </w:r>
            <w:r w:rsidRPr="009A2042">
              <w:t>Des commentaires ou propositions de modification sont joints à la présente</w:t>
            </w:r>
          </w:p>
        </w:tc>
      </w:tr>
      <w:tr w:rsidR="00531A7C" w:rsidRPr="009A2042" w14:paraId="651902C0" w14:textId="77777777" w:rsidTr="005E3C84">
        <w:trPr>
          <w:trHeight w:val="747"/>
        </w:trPr>
        <w:tc>
          <w:tcPr>
            <w:tcW w:w="2137" w:type="dxa"/>
            <w:vMerge/>
            <w:shd w:val="clear" w:color="auto" w:fill="auto"/>
            <w:vAlign w:val="center"/>
          </w:tcPr>
          <w:p w14:paraId="286F14C3" w14:textId="77777777" w:rsidR="00531A7C" w:rsidRPr="009A2042" w:rsidRDefault="00531A7C" w:rsidP="000203E4">
            <w:pPr>
              <w:spacing w:before="40" w:after="40"/>
              <w:jc w:val="center"/>
              <w:rPr>
                <w:b/>
                <w:sz w:val="22"/>
              </w:rPr>
            </w:pPr>
          </w:p>
        </w:tc>
        <w:tc>
          <w:tcPr>
            <w:tcW w:w="7503" w:type="dxa"/>
            <w:shd w:val="clear" w:color="auto" w:fill="auto"/>
            <w:vAlign w:val="center"/>
          </w:tcPr>
          <w:p w14:paraId="487C56C1" w14:textId="44D12F2C" w:rsidR="00531A7C" w:rsidRPr="009A2042" w:rsidRDefault="00531A7C" w:rsidP="000203E4">
            <w:pPr>
              <w:pStyle w:val="TableText"/>
              <w:spacing w:before="120"/>
              <w:ind w:left="567" w:hanging="567"/>
              <w:rPr>
                <w:szCs w:val="22"/>
              </w:rPr>
            </w:pPr>
            <w:r w:rsidRPr="009A2042">
              <w:rPr>
                <w:szCs w:val="22"/>
              </w:rPr>
              <w:fldChar w:fldCharType="begin">
                <w:ffData>
                  <w:name w:val="Check1"/>
                  <w:enabled/>
                  <w:calcOnExit w:val="0"/>
                  <w:checkBox>
                    <w:sizeAuto/>
                    <w:default w:val="0"/>
                  </w:checkBox>
                </w:ffData>
              </w:fldChar>
            </w:r>
            <w:r w:rsidRPr="009A2042">
              <w:rPr>
                <w:szCs w:val="22"/>
              </w:rPr>
              <w:instrText xml:space="preserve"> FORMCHECKBOX </w:instrText>
            </w:r>
            <w:r w:rsidR="00FB46FE">
              <w:rPr>
                <w:szCs w:val="22"/>
              </w:rPr>
            </w:r>
            <w:r w:rsidR="00FB46FE">
              <w:rPr>
                <w:szCs w:val="22"/>
              </w:rPr>
              <w:fldChar w:fldCharType="separate"/>
            </w:r>
            <w:r w:rsidRPr="009A2042">
              <w:rPr>
                <w:szCs w:val="22"/>
              </w:rPr>
              <w:fldChar w:fldCharType="end"/>
            </w:r>
            <w:r w:rsidRPr="009A2042">
              <w:rPr>
                <w:szCs w:val="22"/>
              </w:rPr>
              <w:tab/>
            </w:r>
            <w:r w:rsidRPr="009A2042">
              <w:rPr>
                <w:szCs w:val="22"/>
              </w:rPr>
              <w:tab/>
            </w:r>
            <w:r w:rsidRPr="009A2042">
              <w:rPr>
                <w:b/>
                <w:bCs/>
              </w:rPr>
              <w:t>n'autorise pas</w:t>
            </w:r>
            <w:r w:rsidRPr="009A2042">
              <w:t xml:space="preserve"> la Commission d'études 1</w:t>
            </w:r>
            <w:r w:rsidR="00597A2D" w:rsidRPr="009A2042">
              <w:t>7</w:t>
            </w:r>
            <w:r w:rsidRPr="009A2042">
              <w:t xml:space="preserve"> à procéder à l'examen de ce document en vue de son approbation (les motifs de cette décision et une description des éventuelles modifications qui permettraient la poursuite des travaux sont joints à la présente)</w:t>
            </w:r>
          </w:p>
        </w:tc>
      </w:tr>
    </w:tbl>
    <w:p w14:paraId="1C201F11" w14:textId="77777777" w:rsidR="005C003E" w:rsidRPr="009A2042" w:rsidRDefault="005C003E" w:rsidP="000203E4">
      <w:pPr>
        <w:keepNext/>
        <w:keepLines/>
        <w:spacing w:before="240"/>
      </w:pPr>
      <w:r w:rsidRPr="009A2042">
        <w:t>Veuillez agréer, Madame, Monsieur, l'assurance de ma considération distinguée.</w:t>
      </w:r>
    </w:p>
    <w:p w14:paraId="17548F18" w14:textId="77777777" w:rsidR="00036F4F" w:rsidRPr="009A2042" w:rsidRDefault="005C003E" w:rsidP="000203E4">
      <w:pPr>
        <w:keepNext/>
        <w:keepLines/>
        <w:spacing w:before="840"/>
      </w:pPr>
      <w:r w:rsidRPr="009A2042">
        <w:rPr>
          <w:szCs w:val="24"/>
          <w:highlight w:val="green"/>
        </w:rPr>
        <w:t>[Nom]</w:t>
      </w:r>
      <w:r w:rsidRPr="009A2042">
        <w:rPr>
          <w:szCs w:val="24"/>
          <w:highlight w:val="green"/>
        </w:rPr>
        <w:br/>
        <w:t>[Rôle/titre officiel]</w:t>
      </w:r>
      <w:r w:rsidRPr="009A2042">
        <w:rPr>
          <w:szCs w:val="24"/>
        </w:rPr>
        <w:br/>
      </w:r>
      <w:r w:rsidRPr="009A2042">
        <w:t xml:space="preserve">Administration de </w:t>
      </w:r>
      <w:r w:rsidRPr="009A2042">
        <w:rPr>
          <w:highlight w:val="green"/>
        </w:rPr>
        <w:t>[</w:t>
      </w:r>
      <w:r w:rsidR="00923755" w:rsidRPr="009A2042">
        <w:rPr>
          <w:highlight w:val="green"/>
        </w:rPr>
        <w:t>État</w:t>
      </w:r>
      <w:r w:rsidRPr="009A2042">
        <w:rPr>
          <w:highlight w:val="green"/>
        </w:rPr>
        <w:t xml:space="preserve"> Membre]</w:t>
      </w:r>
    </w:p>
    <w:p w14:paraId="24BFA65C" w14:textId="1770E65F" w:rsidR="00354D3B" w:rsidRDefault="00354D3B" w:rsidP="00354D3B"/>
    <w:p w14:paraId="61428C4C" w14:textId="77777777" w:rsidR="00354D3B" w:rsidRDefault="00354D3B" w:rsidP="00354D3B"/>
    <w:p w14:paraId="675DE040" w14:textId="77777777" w:rsidR="00354D3B" w:rsidRDefault="00354D3B">
      <w:pPr>
        <w:jc w:val="center"/>
      </w:pPr>
      <w:r>
        <w:t>______________</w:t>
      </w:r>
    </w:p>
    <w:sectPr w:rsidR="00354D3B"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6042" w14:textId="77777777" w:rsidR="005C003E" w:rsidRDefault="005C003E">
      <w:r>
        <w:separator/>
      </w:r>
    </w:p>
  </w:endnote>
  <w:endnote w:type="continuationSeparator" w:id="0">
    <w:p w14:paraId="598A9FAA" w14:textId="77777777" w:rsidR="005C003E" w:rsidRDefault="005C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4E9E"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B46FE">
      <w:rPr>
        <w:color w:val="0070C0"/>
        <w:sz w:val="18"/>
        <w:szCs w:val="18"/>
        <w:lang w:val="fr-CH"/>
      </w:rPr>
      <w:t>Union internationale des télécommunications • Place des Nations</w:t>
    </w:r>
    <w:r w:rsidR="00085F5A" w:rsidRPr="00FB46FE">
      <w:rPr>
        <w:color w:val="0070C0"/>
        <w:sz w:val="18"/>
        <w:szCs w:val="18"/>
        <w:lang w:val="fr-CH"/>
      </w:rPr>
      <w:t xml:space="preserve"> •</w:t>
    </w:r>
    <w:r w:rsidRPr="00FB46FE">
      <w:rPr>
        <w:color w:val="0070C0"/>
        <w:sz w:val="18"/>
        <w:szCs w:val="18"/>
        <w:lang w:val="fr-CH"/>
      </w:rPr>
      <w:t xml:space="preserve"> CH</w:t>
    </w:r>
    <w:r w:rsidRPr="00FB46FE">
      <w:rPr>
        <w:color w:val="0070C0"/>
        <w:sz w:val="18"/>
        <w:szCs w:val="18"/>
        <w:lang w:val="fr-CH"/>
      </w:rPr>
      <w:noBreakHyphen/>
      <w:t>1211 Genève 20</w:t>
    </w:r>
    <w:r w:rsidR="00085F5A" w:rsidRPr="00FB46FE">
      <w:rPr>
        <w:color w:val="0070C0"/>
        <w:sz w:val="18"/>
        <w:szCs w:val="18"/>
        <w:lang w:val="fr-CH"/>
      </w:rPr>
      <w:t xml:space="preserve"> •</w:t>
    </w:r>
    <w:r w:rsidRPr="00FB46FE">
      <w:rPr>
        <w:color w:val="0070C0"/>
        <w:sz w:val="18"/>
        <w:szCs w:val="18"/>
        <w:lang w:val="fr-CH"/>
      </w:rPr>
      <w:t xml:space="preserve"> Suisse </w:t>
    </w:r>
    <w:r w:rsidRPr="00FB46FE">
      <w:rPr>
        <w:color w:val="0070C0"/>
        <w:sz w:val="18"/>
        <w:szCs w:val="18"/>
        <w:lang w:val="fr-CH"/>
      </w:rPr>
      <w:br/>
      <w:t>Tél</w:t>
    </w:r>
    <w:r w:rsidR="00085F5A" w:rsidRPr="00FB46FE">
      <w:rPr>
        <w:color w:val="0070C0"/>
        <w:sz w:val="18"/>
        <w:szCs w:val="18"/>
        <w:lang w:val="fr-CH"/>
      </w:rPr>
      <w:t>.</w:t>
    </w:r>
    <w:r w:rsidRPr="00FB46FE">
      <w:rPr>
        <w:color w:val="0070C0"/>
        <w:sz w:val="18"/>
        <w:szCs w:val="18"/>
        <w:lang w:val="fr-CH"/>
      </w:rPr>
      <w:t xml:space="preserve">: +41 22 730 5111 • Fax: +41 22 733 7256 • </w:t>
    </w:r>
    <w:r w:rsidR="00085F5A" w:rsidRPr="00FB46FE">
      <w:rPr>
        <w:color w:val="0070C0"/>
        <w:sz w:val="18"/>
        <w:szCs w:val="18"/>
        <w:lang w:val="fr-CH"/>
      </w:rPr>
      <w:t>Courriel</w:t>
    </w:r>
    <w:r w:rsidRPr="00FB46FE">
      <w:rPr>
        <w:color w:val="0070C0"/>
        <w:sz w:val="18"/>
        <w:szCs w:val="18"/>
        <w:lang w:val="fr-CH"/>
      </w:rPr>
      <w:t xml:space="preserve">: </w:t>
    </w:r>
    <w:hyperlink r:id="rId1" w:history="1">
      <w:r w:rsidRPr="00FB46FE">
        <w:rPr>
          <w:rStyle w:val="Hyperlink"/>
          <w:color w:val="0070C0"/>
          <w:sz w:val="18"/>
          <w:szCs w:val="18"/>
        </w:rPr>
        <w:t>itumail@itu.int</w:t>
      </w:r>
    </w:hyperlink>
    <w:r w:rsidRPr="00FB46FE">
      <w:rPr>
        <w:color w:val="0070C0"/>
        <w:sz w:val="18"/>
        <w:szCs w:val="18"/>
        <w:lang w:val="fr-CH"/>
      </w:rPr>
      <w:t xml:space="preserve"> • </w:t>
    </w:r>
    <w:hyperlink r:id="rId2" w:history="1">
      <w:r w:rsidRPr="00FB46FE">
        <w:rPr>
          <w:rStyle w:val="Hyperlink"/>
          <w:color w:val="0070C0"/>
          <w:sz w:val="18"/>
          <w:szCs w:val="18"/>
        </w:rPr>
        <w:t>www.itu.int</w:t>
      </w:r>
    </w:hyperlink>
    <w:r w:rsidRPr="00FB46FE">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F410" w14:textId="77777777" w:rsidR="005C003E" w:rsidRDefault="005C003E">
      <w:r>
        <w:t>____________________</w:t>
      </w:r>
    </w:p>
  </w:footnote>
  <w:footnote w:type="continuationSeparator" w:id="0">
    <w:p w14:paraId="5D062A18" w14:textId="77777777" w:rsidR="005C003E" w:rsidRDefault="005C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ACB3" w14:textId="15EB10B7" w:rsidR="00697BC1" w:rsidRPr="00697BC1" w:rsidRDefault="00FB46FE"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5A1D">
      <w:rPr>
        <w:noProof/>
        <w:sz w:val="18"/>
        <w:szCs w:val="16"/>
      </w:rPr>
      <w:br/>
      <w:t>Circulaire TSB 1</w:t>
    </w:r>
    <w:r w:rsidR="0096170A">
      <w:rPr>
        <w:noProof/>
        <w:sz w:val="18"/>
        <w:szCs w:val="16"/>
      </w:rPr>
      <w:t>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3E"/>
    <w:rsid w:val="000039EE"/>
    <w:rsid w:val="00005622"/>
    <w:rsid w:val="000070B3"/>
    <w:rsid w:val="000203E4"/>
    <w:rsid w:val="0002519E"/>
    <w:rsid w:val="00035B43"/>
    <w:rsid w:val="00035CDD"/>
    <w:rsid w:val="00036F4F"/>
    <w:rsid w:val="000726A1"/>
    <w:rsid w:val="00073FC6"/>
    <w:rsid w:val="000758B3"/>
    <w:rsid w:val="00085F5A"/>
    <w:rsid w:val="000B0D96"/>
    <w:rsid w:val="000B59D8"/>
    <w:rsid w:val="000C1F6B"/>
    <w:rsid w:val="000C25CC"/>
    <w:rsid w:val="000C56BE"/>
    <w:rsid w:val="000D2A6D"/>
    <w:rsid w:val="001026FD"/>
    <w:rsid w:val="001077FD"/>
    <w:rsid w:val="00115DD7"/>
    <w:rsid w:val="001430D3"/>
    <w:rsid w:val="0015606F"/>
    <w:rsid w:val="00167472"/>
    <w:rsid w:val="00167F92"/>
    <w:rsid w:val="00173738"/>
    <w:rsid w:val="001B79A3"/>
    <w:rsid w:val="001C05D1"/>
    <w:rsid w:val="001D4A19"/>
    <w:rsid w:val="002022E1"/>
    <w:rsid w:val="002152A3"/>
    <w:rsid w:val="002210E7"/>
    <w:rsid w:val="00231E85"/>
    <w:rsid w:val="002E395D"/>
    <w:rsid w:val="003131F0"/>
    <w:rsid w:val="003300F6"/>
    <w:rsid w:val="00333A80"/>
    <w:rsid w:val="00341117"/>
    <w:rsid w:val="00354D3B"/>
    <w:rsid w:val="0036126E"/>
    <w:rsid w:val="00364E95"/>
    <w:rsid w:val="00372875"/>
    <w:rsid w:val="00373CFD"/>
    <w:rsid w:val="003849C4"/>
    <w:rsid w:val="003B1E80"/>
    <w:rsid w:val="003B270E"/>
    <w:rsid w:val="003B66E8"/>
    <w:rsid w:val="004033F1"/>
    <w:rsid w:val="00403593"/>
    <w:rsid w:val="00414B0C"/>
    <w:rsid w:val="00423C21"/>
    <w:rsid w:val="004257AC"/>
    <w:rsid w:val="0043711B"/>
    <w:rsid w:val="00442474"/>
    <w:rsid w:val="004977C9"/>
    <w:rsid w:val="004A1500"/>
    <w:rsid w:val="004B732E"/>
    <w:rsid w:val="004D51F4"/>
    <w:rsid w:val="004D64E0"/>
    <w:rsid w:val="004D7188"/>
    <w:rsid w:val="0051082E"/>
    <w:rsid w:val="005120A2"/>
    <w:rsid w:val="0051210D"/>
    <w:rsid w:val="005136D2"/>
    <w:rsid w:val="00517A03"/>
    <w:rsid w:val="00531A7C"/>
    <w:rsid w:val="0054069F"/>
    <w:rsid w:val="00545515"/>
    <w:rsid w:val="00565A03"/>
    <w:rsid w:val="00575A92"/>
    <w:rsid w:val="00597A2D"/>
    <w:rsid w:val="005A3DD9"/>
    <w:rsid w:val="005B1DFC"/>
    <w:rsid w:val="005C003E"/>
    <w:rsid w:val="005D1662"/>
    <w:rsid w:val="005D306E"/>
    <w:rsid w:val="005E2EDD"/>
    <w:rsid w:val="00601682"/>
    <w:rsid w:val="00603470"/>
    <w:rsid w:val="00625E79"/>
    <w:rsid w:val="00627443"/>
    <w:rsid w:val="006333F7"/>
    <w:rsid w:val="006427A1"/>
    <w:rsid w:val="00644741"/>
    <w:rsid w:val="00656972"/>
    <w:rsid w:val="00697BC1"/>
    <w:rsid w:val="006A17A1"/>
    <w:rsid w:val="006A6FFE"/>
    <w:rsid w:val="006C5A91"/>
    <w:rsid w:val="006D1C67"/>
    <w:rsid w:val="006F02E0"/>
    <w:rsid w:val="006F5816"/>
    <w:rsid w:val="006F60FA"/>
    <w:rsid w:val="007103D2"/>
    <w:rsid w:val="00716BBC"/>
    <w:rsid w:val="00726F49"/>
    <w:rsid w:val="007321BC"/>
    <w:rsid w:val="00760063"/>
    <w:rsid w:val="00775E4B"/>
    <w:rsid w:val="007945E0"/>
    <w:rsid w:val="0079553B"/>
    <w:rsid w:val="00795679"/>
    <w:rsid w:val="007A40FE"/>
    <w:rsid w:val="007C7918"/>
    <w:rsid w:val="00810105"/>
    <w:rsid w:val="008157E0"/>
    <w:rsid w:val="00827686"/>
    <w:rsid w:val="008313B2"/>
    <w:rsid w:val="00850477"/>
    <w:rsid w:val="00854E1D"/>
    <w:rsid w:val="00887FA6"/>
    <w:rsid w:val="008944D2"/>
    <w:rsid w:val="0089549A"/>
    <w:rsid w:val="008C4397"/>
    <w:rsid w:val="008C465A"/>
    <w:rsid w:val="008D010C"/>
    <w:rsid w:val="008F2C9B"/>
    <w:rsid w:val="008F3879"/>
    <w:rsid w:val="00923755"/>
    <w:rsid w:val="00923CD6"/>
    <w:rsid w:val="00935AA8"/>
    <w:rsid w:val="009503BF"/>
    <w:rsid w:val="00952773"/>
    <w:rsid w:val="00952E17"/>
    <w:rsid w:val="0095603B"/>
    <w:rsid w:val="0096170A"/>
    <w:rsid w:val="00971C9A"/>
    <w:rsid w:val="00980BAB"/>
    <w:rsid w:val="00983AB7"/>
    <w:rsid w:val="009A2042"/>
    <w:rsid w:val="009B4DE4"/>
    <w:rsid w:val="009B6978"/>
    <w:rsid w:val="009C7EA4"/>
    <w:rsid w:val="009D51FA"/>
    <w:rsid w:val="009E1156"/>
    <w:rsid w:val="009F1995"/>
    <w:rsid w:val="009F1E23"/>
    <w:rsid w:val="009F4465"/>
    <w:rsid w:val="00A12A1E"/>
    <w:rsid w:val="00A15179"/>
    <w:rsid w:val="00A1734A"/>
    <w:rsid w:val="00A215DF"/>
    <w:rsid w:val="00A51537"/>
    <w:rsid w:val="00A5280F"/>
    <w:rsid w:val="00A5645A"/>
    <w:rsid w:val="00A60FC1"/>
    <w:rsid w:val="00A713DC"/>
    <w:rsid w:val="00A77AAA"/>
    <w:rsid w:val="00A82DE5"/>
    <w:rsid w:val="00A90414"/>
    <w:rsid w:val="00A9514D"/>
    <w:rsid w:val="00A97C37"/>
    <w:rsid w:val="00AA131B"/>
    <w:rsid w:val="00AC37B5"/>
    <w:rsid w:val="00AD752F"/>
    <w:rsid w:val="00AF08A4"/>
    <w:rsid w:val="00B004A6"/>
    <w:rsid w:val="00B15A1D"/>
    <w:rsid w:val="00B27B41"/>
    <w:rsid w:val="00B42659"/>
    <w:rsid w:val="00B61199"/>
    <w:rsid w:val="00B63C18"/>
    <w:rsid w:val="00B84E9A"/>
    <w:rsid w:val="00B8573E"/>
    <w:rsid w:val="00BB16F9"/>
    <w:rsid w:val="00BB24C0"/>
    <w:rsid w:val="00BD11C3"/>
    <w:rsid w:val="00BD27FB"/>
    <w:rsid w:val="00BD6ECF"/>
    <w:rsid w:val="00BF542D"/>
    <w:rsid w:val="00C1248C"/>
    <w:rsid w:val="00C1752F"/>
    <w:rsid w:val="00C26AF1"/>
    <w:rsid w:val="00C26F2E"/>
    <w:rsid w:val="00C302E3"/>
    <w:rsid w:val="00C3738F"/>
    <w:rsid w:val="00C45376"/>
    <w:rsid w:val="00C9028F"/>
    <w:rsid w:val="00CA0416"/>
    <w:rsid w:val="00CB1125"/>
    <w:rsid w:val="00CD042E"/>
    <w:rsid w:val="00CF2560"/>
    <w:rsid w:val="00CF3BA6"/>
    <w:rsid w:val="00CF5B46"/>
    <w:rsid w:val="00D46B68"/>
    <w:rsid w:val="00D5002D"/>
    <w:rsid w:val="00D542A5"/>
    <w:rsid w:val="00DA68B9"/>
    <w:rsid w:val="00DB2673"/>
    <w:rsid w:val="00DC3D47"/>
    <w:rsid w:val="00DD77DA"/>
    <w:rsid w:val="00DF3790"/>
    <w:rsid w:val="00E02897"/>
    <w:rsid w:val="00E06C61"/>
    <w:rsid w:val="00E13DB3"/>
    <w:rsid w:val="00E22541"/>
    <w:rsid w:val="00E2408B"/>
    <w:rsid w:val="00E30C36"/>
    <w:rsid w:val="00E62CEA"/>
    <w:rsid w:val="00E7180B"/>
    <w:rsid w:val="00E72AE1"/>
    <w:rsid w:val="00E966DF"/>
    <w:rsid w:val="00EA0F2C"/>
    <w:rsid w:val="00ED6A7A"/>
    <w:rsid w:val="00EE4C36"/>
    <w:rsid w:val="00EF45C3"/>
    <w:rsid w:val="00EF5BD3"/>
    <w:rsid w:val="00F018E4"/>
    <w:rsid w:val="00F036A2"/>
    <w:rsid w:val="00F33DCD"/>
    <w:rsid w:val="00F346CE"/>
    <w:rsid w:val="00F34F98"/>
    <w:rsid w:val="00F359B1"/>
    <w:rsid w:val="00F40540"/>
    <w:rsid w:val="00F426F2"/>
    <w:rsid w:val="00F67402"/>
    <w:rsid w:val="00F73F80"/>
    <w:rsid w:val="00F766A2"/>
    <w:rsid w:val="00F9451D"/>
    <w:rsid w:val="00FB46FE"/>
    <w:rsid w:val="00FF017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12E8CA2"/>
  <w15:docId w15:val="{250EA53B-17A4-40EB-AAE3-7E23E95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5C003E"/>
    <w:rPr>
      <w:sz w:val="16"/>
      <w:szCs w:val="16"/>
    </w:rPr>
  </w:style>
  <w:style w:type="paragraph" w:customStyle="1" w:styleId="Headingb0">
    <w:name w:val="Heading_b"/>
    <w:basedOn w:val="Normal"/>
    <w:next w:val="Normal"/>
    <w:qFormat/>
    <w:rsid w:val="005C003E"/>
    <w:pPr>
      <w:keepNext/>
      <w:spacing w:before="160"/>
    </w:pPr>
    <w:rPr>
      <w:rFonts w:ascii="Calibri" w:hAnsi="Calibri"/>
      <w:b/>
      <w:lang w:val="en-GB"/>
    </w:rPr>
  </w:style>
  <w:style w:type="paragraph" w:customStyle="1" w:styleId="Annextitle0">
    <w:name w:val="Annex_title"/>
    <w:basedOn w:val="Normal"/>
    <w:next w:val="Normal"/>
    <w:rsid w:val="005C003E"/>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1D4A19"/>
    <w:rPr>
      <w:color w:val="800080" w:themeColor="followedHyperlink"/>
      <w:u w:val="single"/>
    </w:rPr>
  </w:style>
  <w:style w:type="character" w:customStyle="1" w:styleId="Recdef">
    <w:name w:val="Rec_def"/>
    <w:rsid w:val="00231E85"/>
    <w:rPr>
      <w:rFonts w:ascii="Calibri" w:hAnsi="Calibri"/>
      <w:b/>
      <w:sz w:val="22"/>
    </w:rPr>
  </w:style>
  <w:style w:type="character" w:customStyle="1" w:styleId="UnresolvedMention">
    <w:name w:val="Unresolved Mention"/>
    <w:basedOn w:val="DefaultParagraphFont"/>
    <w:uiPriority w:val="99"/>
    <w:semiHidden/>
    <w:unhideWhenUsed/>
    <w:rsid w:val="00442474"/>
    <w:rPr>
      <w:color w:val="605E5C"/>
      <w:shd w:val="clear" w:color="auto" w:fill="E1DFDD"/>
    </w:rPr>
  </w:style>
  <w:style w:type="paragraph" w:customStyle="1" w:styleId="Reasons">
    <w:name w:val="Reasons"/>
    <w:basedOn w:val="Normal"/>
    <w:qFormat/>
    <w:rsid w:val="00354D3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0596">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65575980">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20482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190827-TD-PLEN-2366/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SG17-R-0043/fr" TargetMode="External"/><Relationship Id="rId17"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https://www.itu.int/md/T17-SG17-R-0047/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R-0046/fr" TargetMode="External"/><Relationship Id="rId5" Type="http://schemas.openxmlformats.org/officeDocument/2006/relationships/webSettings" Target="webSettings.xml"/><Relationship Id="rId15" Type="http://schemas.openxmlformats.org/officeDocument/2006/relationships/hyperlink" Target="https://www.itu.int/md/T17-SG17-R-0048/fr" TargetMode="External"/><Relationship Id="rId10" Type="http://schemas.openxmlformats.org/officeDocument/2006/relationships/hyperlink" Target="http://www.itu.int/ip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17-SG17-R-0049/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62CB-A95E-48BC-9957-E41326A1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43</TotalTime>
  <Pages>7</Pages>
  <Words>2039</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14510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Bilani, Joumana</cp:lastModifiedBy>
  <cp:revision>8</cp:revision>
  <cp:lastPrinted>2019-12-04T10:03:00Z</cp:lastPrinted>
  <dcterms:created xsi:type="dcterms:W3CDTF">2019-12-04T13:10:00Z</dcterms:created>
  <dcterms:modified xsi:type="dcterms:W3CDTF">2019-12-09T14:31:00Z</dcterms:modified>
</cp:coreProperties>
</file>