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ED2245" w14:paraId="37C712A3" w14:textId="77777777" w:rsidTr="00694E3D">
        <w:trPr>
          <w:trHeight w:val="1282"/>
        </w:trPr>
        <w:tc>
          <w:tcPr>
            <w:tcW w:w="1276" w:type="dxa"/>
            <w:gridSpan w:val="2"/>
            <w:shd w:val="clear" w:color="auto" w:fill="auto"/>
            <w:tcMar>
              <w:left w:w="0" w:type="dxa"/>
              <w:right w:w="0" w:type="dxa"/>
            </w:tcMar>
            <w:vAlign w:val="center"/>
          </w:tcPr>
          <w:p w14:paraId="2FEE89A0" w14:textId="77777777" w:rsidR="00ED2245" w:rsidRDefault="00ED2245" w:rsidP="00C0289B">
            <w:pPr>
              <w:pStyle w:val="Tabletext"/>
              <w:jc w:val="center"/>
            </w:pPr>
            <w:r>
              <w:rPr>
                <w:noProof/>
                <w:lang w:eastAsia="en-GB"/>
              </w:rPr>
              <w:drawing>
                <wp:inline distT="0" distB="0" distL="0" distR="0" wp14:anchorId="5976293B" wp14:editId="2518AD81">
                  <wp:extent cx="808355" cy="80835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227C44" w14:textId="77777777" w:rsidR="00ED2245" w:rsidRDefault="00ED2245" w:rsidP="00C0289B">
            <w:pPr>
              <w:spacing w:before="0"/>
              <w:rPr>
                <w:rFonts w:cs="Times New Roman Bold"/>
                <w:b/>
                <w:bCs/>
                <w:smallCaps/>
                <w:sz w:val="26"/>
                <w:szCs w:val="26"/>
              </w:rPr>
            </w:pPr>
            <w:r>
              <w:rPr>
                <w:rFonts w:cs="Times New Roman Bold"/>
                <w:b/>
                <w:bCs/>
                <w:smallCaps/>
                <w:sz w:val="36"/>
                <w:szCs w:val="36"/>
              </w:rPr>
              <w:t>International telecommunication union</w:t>
            </w:r>
          </w:p>
          <w:p w14:paraId="5F061EEF" w14:textId="77777777" w:rsidR="00ED2245" w:rsidRDefault="00ED2245" w:rsidP="00C0289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08DD95C3" w14:textId="77777777" w:rsidR="00ED2245" w:rsidRDefault="00ED2245" w:rsidP="00C0289B">
            <w:pPr>
              <w:spacing w:before="0"/>
              <w:jc w:val="right"/>
              <w:rPr>
                <w:rFonts w:ascii="Verdana" w:hAnsi="Verdana"/>
                <w:color w:val="FFFFFF"/>
                <w:sz w:val="26"/>
                <w:szCs w:val="26"/>
              </w:rPr>
            </w:pPr>
          </w:p>
        </w:tc>
      </w:tr>
      <w:tr w:rsidR="00ED2245" w14:paraId="1F650495" w14:textId="77777777" w:rsidTr="00694E3D">
        <w:trPr>
          <w:cantSplit/>
          <w:trHeight w:val="485"/>
        </w:trPr>
        <w:tc>
          <w:tcPr>
            <w:tcW w:w="4678" w:type="dxa"/>
            <w:gridSpan w:val="3"/>
            <w:vAlign w:val="center"/>
          </w:tcPr>
          <w:p w14:paraId="6B22C4EA" w14:textId="77777777" w:rsidR="00ED2245" w:rsidRDefault="00ED2245" w:rsidP="00763EF0">
            <w:pPr>
              <w:pStyle w:val="Tabletext"/>
              <w:spacing w:before="240"/>
              <w:jc w:val="right"/>
            </w:pPr>
          </w:p>
        </w:tc>
        <w:tc>
          <w:tcPr>
            <w:tcW w:w="5103" w:type="dxa"/>
            <w:gridSpan w:val="2"/>
            <w:vAlign w:val="center"/>
          </w:tcPr>
          <w:p w14:paraId="2FE92CB6" w14:textId="3CDCE995" w:rsidR="00ED2245" w:rsidRDefault="00ED2245" w:rsidP="00763EF0">
            <w:pPr>
              <w:pStyle w:val="Tabletext"/>
              <w:spacing w:before="600" w:after="240"/>
              <w:ind w:left="-115"/>
            </w:pPr>
            <w:r>
              <w:t>Geneva</w:t>
            </w:r>
            <w:r w:rsidRPr="00887188">
              <w:t xml:space="preserve">, </w:t>
            </w:r>
            <w:r w:rsidR="00887188" w:rsidRPr="00887188">
              <w:t>2</w:t>
            </w:r>
            <w:r w:rsidR="0007515C">
              <w:t>9</w:t>
            </w:r>
            <w:r w:rsidR="00095FF2" w:rsidRPr="00887188">
              <w:t xml:space="preserve"> November</w:t>
            </w:r>
            <w:r w:rsidR="003F7BEF">
              <w:t xml:space="preserve"> 2019</w:t>
            </w:r>
          </w:p>
        </w:tc>
      </w:tr>
      <w:tr w:rsidR="003F7BEF" w14:paraId="549A3BA9" w14:textId="77777777" w:rsidTr="00694E3D">
        <w:trPr>
          <w:cantSplit/>
          <w:trHeight w:val="746"/>
        </w:trPr>
        <w:tc>
          <w:tcPr>
            <w:tcW w:w="1134" w:type="dxa"/>
          </w:tcPr>
          <w:p w14:paraId="016D8008" w14:textId="77777777" w:rsidR="003F7BEF" w:rsidRDefault="003F7BEF" w:rsidP="003F7BEF">
            <w:pPr>
              <w:pStyle w:val="Tabletext"/>
            </w:pPr>
            <w:r>
              <w:rPr>
                <w:b/>
              </w:rPr>
              <w:t>Ref:</w:t>
            </w:r>
          </w:p>
        </w:tc>
        <w:tc>
          <w:tcPr>
            <w:tcW w:w="3544" w:type="dxa"/>
            <w:gridSpan w:val="2"/>
          </w:tcPr>
          <w:p w14:paraId="60D55359" w14:textId="6B0BBABF" w:rsidR="003F7BEF" w:rsidRPr="00ED2245" w:rsidRDefault="003F7BEF" w:rsidP="003F7BEF">
            <w:pPr>
              <w:pStyle w:val="Tabletext"/>
              <w:rPr>
                <w:b/>
                <w:bCs/>
                <w:lang w:val="es-ES"/>
              </w:rPr>
            </w:pPr>
            <w:r w:rsidRPr="00ED2245">
              <w:rPr>
                <w:b/>
                <w:bCs/>
                <w:lang w:val="es-ES"/>
              </w:rPr>
              <w:t xml:space="preserve">TSB Circular </w:t>
            </w:r>
            <w:r>
              <w:rPr>
                <w:b/>
                <w:bCs/>
                <w:lang w:val="es-ES"/>
              </w:rPr>
              <w:t>195</w:t>
            </w:r>
          </w:p>
          <w:p w14:paraId="72EB701F" w14:textId="77777777" w:rsidR="003F7BEF" w:rsidRPr="00ED2245" w:rsidRDefault="003F7BEF" w:rsidP="003F7BEF">
            <w:pPr>
              <w:pStyle w:val="Tabletext"/>
              <w:rPr>
                <w:b/>
                <w:bCs/>
                <w:lang w:val="es-ES"/>
              </w:rPr>
            </w:pPr>
            <w:r w:rsidRPr="00ED2245">
              <w:rPr>
                <w:lang w:val="es-ES"/>
              </w:rPr>
              <w:t>SG17/XY</w:t>
            </w:r>
          </w:p>
        </w:tc>
        <w:tc>
          <w:tcPr>
            <w:tcW w:w="5103" w:type="dxa"/>
            <w:gridSpan w:val="2"/>
            <w:vMerge w:val="restart"/>
          </w:tcPr>
          <w:p w14:paraId="7809A81A" w14:textId="77777777" w:rsidR="003F7BEF" w:rsidRPr="00FF5729" w:rsidRDefault="003F7BEF" w:rsidP="003F7BEF">
            <w:pPr>
              <w:tabs>
                <w:tab w:val="clear" w:pos="794"/>
                <w:tab w:val="clear" w:pos="1191"/>
                <w:tab w:val="clear" w:pos="1588"/>
                <w:tab w:val="clear" w:pos="1985"/>
                <w:tab w:val="left" w:pos="241"/>
              </w:tabs>
              <w:spacing w:before="0"/>
              <w:ind w:left="283" w:hanging="391"/>
              <w:rPr>
                <w:szCs w:val="24"/>
              </w:rPr>
            </w:pPr>
            <w:r>
              <w:rPr>
                <w:b/>
              </w:rPr>
              <w:t>To:</w:t>
            </w:r>
          </w:p>
          <w:p w14:paraId="2582EAF4" w14:textId="5B4EBF56" w:rsidR="003F7BEF" w:rsidRPr="00FF5729" w:rsidRDefault="003F7BEF" w:rsidP="003F7BEF">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w:t>
            </w:r>
            <w:r w:rsidR="00506DD7">
              <w:rPr>
                <w:szCs w:val="24"/>
              </w:rPr>
              <w:br/>
            </w:r>
            <w:r w:rsidRPr="00FF5729">
              <w:rPr>
                <w:szCs w:val="24"/>
              </w:rPr>
              <w:t>the Union</w:t>
            </w:r>
            <w:r>
              <w:rPr>
                <w:szCs w:val="24"/>
              </w:rPr>
              <w:t>;</w:t>
            </w:r>
          </w:p>
          <w:p w14:paraId="2A7C4FB5" w14:textId="77777777" w:rsidR="003F7BEF" w:rsidRPr="004A0C22" w:rsidRDefault="003F7BEF" w:rsidP="003F7BEF">
            <w:pPr>
              <w:tabs>
                <w:tab w:val="clear" w:pos="794"/>
                <w:tab w:val="clear" w:pos="1191"/>
                <w:tab w:val="clear" w:pos="1588"/>
                <w:tab w:val="clear" w:pos="1985"/>
              </w:tabs>
              <w:spacing w:before="40" w:after="40"/>
              <w:ind w:left="283" w:hanging="391"/>
              <w:rPr>
                <w:szCs w:val="24"/>
              </w:rPr>
            </w:pPr>
            <w:r w:rsidRPr="004A0C22">
              <w:rPr>
                <w:szCs w:val="24"/>
              </w:rPr>
              <w:t>-</w:t>
            </w:r>
            <w:r w:rsidRPr="004A0C22">
              <w:rPr>
                <w:szCs w:val="24"/>
              </w:rPr>
              <w:tab/>
              <w:t>ITU-T Sector Members;</w:t>
            </w:r>
          </w:p>
          <w:p w14:paraId="7E0AAE03" w14:textId="3DED0242" w:rsidR="003F7BEF" w:rsidRPr="003F7BEF" w:rsidRDefault="003F7BEF" w:rsidP="003F7BEF">
            <w:pPr>
              <w:tabs>
                <w:tab w:val="clear" w:pos="794"/>
                <w:tab w:val="clear" w:pos="1191"/>
                <w:tab w:val="clear" w:pos="1588"/>
                <w:tab w:val="clear" w:pos="1985"/>
              </w:tabs>
              <w:spacing w:before="40" w:after="40"/>
              <w:ind w:left="283" w:hanging="391"/>
              <w:rPr>
                <w:szCs w:val="24"/>
              </w:rPr>
            </w:pPr>
            <w:r w:rsidRPr="003F7BEF">
              <w:rPr>
                <w:szCs w:val="24"/>
              </w:rPr>
              <w:t>-</w:t>
            </w:r>
            <w:r w:rsidRPr="003F7BEF">
              <w:rPr>
                <w:szCs w:val="24"/>
              </w:rPr>
              <w:tab/>
              <w:t>ITU-T Associates of Study Group 17;</w:t>
            </w:r>
          </w:p>
          <w:p w14:paraId="244DB80B" w14:textId="7AC2B26E" w:rsidR="003F7BEF" w:rsidRPr="00FF5729" w:rsidRDefault="003F7BEF" w:rsidP="003F7B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3F7BEF" w14:paraId="0530CBAC" w14:textId="77777777" w:rsidTr="00694E3D">
        <w:trPr>
          <w:cantSplit/>
          <w:trHeight w:val="221"/>
        </w:trPr>
        <w:tc>
          <w:tcPr>
            <w:tcW w:w="1134" w:type="dxa"/>
          </w:tcPr>
          <w:p w14:paraId="3BEFAF0B" w14:textId="77777777" w:rsidR="003F7BEF" w:rsidRDefault="003F7BEF" w:rsidP="003F7BEF">
            <w:pPr>
              <w:pStyle w:val="Tabletext"/>
            </w:pPr>
            <w:r>
              <w:rPr>
                <w:b/>
              </w:rPr>
              <w:t>Tel:</w:t>
            </w:r>
          </w:p>
        </w:tc>
        <w:tc>
          <w:tcPr>
            <w:tcW w:w="3544" w:type="dxa"/>
            <w:gridSpan w:val="2"/>
          </w:tcPr>
          <w:p w14:paraId="751AFB01" w14:textId="77777777" w:rsidR="003F7BEF" w:rsidRPr="00D7384A" w:rsidRDefault="003F7BEF" w:rsidP="003F7BEF">
            <w:pPr>
              <w:pStyle w:val="Tabletext"/>
              <w:rPr>
                <w:b/>
              </w:rPr>
            </w:pPr>
            <w:r>
              <w:rPr>
                <w:lang w:val="en-US"/>
              </w:rPr>
              <w:t>+41 22 730 6206</w:t>
            </w:r>
          </w:p>
        </w:tc>
        <w:tc>
          <w:tcPr>
            <w:tcW w:w="5103" w:type="dxa"/>
            <w:gridSpan w:val="2"/>
            <w:vMerge/>
          </w:tcPr>
          <w:p w14:paraId="271C568B" w14:textId="77777777" w:rsidR="003F7BEF" w:rsidRDefault="003F7BEF" w:rsidP="003F7BEF">
            <w:pPr>
              <w:pStyle w:val="Tabletext"/>
              <w:ind w:left="142" w:hanging="391"/>
            </w:pPr>
          </w:p>
        </w:tc>
      </w:tr>
      <w:tr w:rsidR="003F7BEF" w14:paraId="082D0E08" w14:textId="77777777" w:rsidTr="00694E3D">
        <w:trPr>
          <w:cantSplit/>
          <w:trHeight w:val="80"/>
        </w:trPr>
        <w:tc>
          <w:tcPr>
            <w:tcW w:w="1134" w:type="dxa"/>
          </w:tcPr>
          <w:p w14:paraId="3C02294D" w14:textId="77777777" w:rsidR="003F7BEF" w:rsidRDefault="003F7BEF" w:rsidP="003F7BEF">
            <w:pPr>
              <w:pStyle w:val="Tabletext"/>
            </w:pPr>
            <w:r>
              <w:rPr>
                <w:b/>
              </w:rPr>
              <w:t>Fax:</w:t>
            </w:r>
          </w:p>
        </w:tc>
        <w:tc>
          <w:tcPr>
            <w:tcW w:w="3544" w:type="dxa"/>
            <w:gridSpan w:val="2"/>
          </w:tcPr>
          <w:p w14:paraId="39F74212" w14:textId="77777777" w:rsidR="003F7BEF" w:rsidRPr="00D7384A" w:rsidRDefault="003F7BEF" w:rsidP="003F7BEF">
            <w:pPr>
              <w:pStyle w:val="Tabletext"/>
              <w:rPr>
                <w:b/>
              </w:rPr>
            </w:pPr>
            <w:r>
              <w:t>+41 22 730 5853</w:t>
            </w:r>
          </w:p>
        </w:tc>
        <w:tc>
          <w:tcPr>
            <w:tcW w:w="5103" w:type="dxa"/>
            <w:gridSpan w:val="2"/>
            <w:vMerge/>
          </w:tcPr>
          <w:p w14:paraId="5DAE70DF" w14:textId="77777777" w:rsidR="003F7BEF" w:rsidRDefault="003F7BEF" w:rsidP="003F7BEF">
            <w:pPr>
              <w:pStyle w:val="Tabletext"/>
              <w:ind w:left="142" w:hanging="391"/>
            </w:pPr>
          </w:p>
        </w:tc>
      </w:tr>
      <w:tr w:rsidR="003F7BEF" w14:paraId="4500251C" w14:textId="77777777" w:rsidTr="00694E3D">
        <w:trPr>
          <w:cantSplit/>
          <w:trHeight w:val="2156"/>
        </w:trPr>
        <w:tc>
          <w:tcPr>
            <w:tcW w:w="1134" w:type="dxa"/>
          </w:tcPr>
          <w:p w14:paraId="437FF56A" w14:textId="77777777" w:rsidR="003F7BEF" w:rsidRDefault="003F7BEF" w:rsidP="003F7BEF">
            <w:pPr>
              <w:pStyle w:val="Tabletext"/>
            </w:pPr>
            <w:r>
              <w:rPr>
                <w:b/>
              </w:rPr>
              <w:t>E-mail:</w:t>
            </w:r>
          </w:p>
        </w:tc>
        <w:tc>
          <w:tcPr>
            <w:tcW w:w="3544" w:type="dxa"/>
            <w:gridSpan w:val="2"/>
          </w:tcPr>
          <w:p w14:paraId="1EF6B94E" w14:textId="77777777" w:rsidR="003F7BEF" w:rsidRPr="00D7384A" w:rsidRDefault="00B25913" w:rsidP="003F7BEF">
            <w:pPr>
              <w:pStyle w:val="Tabletext"/>
            </w:pPr>
            <w:hyperlink r:id="rId8" w:history="1">
              <w:r w:rsidR="003F7BEF">
                <w:rPr>
                  <w:rStyle w:val="Hyperlink"/>
                </w:rPr>
                <w:t>tsbsg17@itu.int</w:t>
              </w:r>
            </w:hyperlink>
          </w:p>
        </w:tc>
        <w:tc>
          <w:tcPr>
            <w:tcW w:w="5103" w:type="dxa"/>
            <w:gridSpan w:val="2"/>
          </w:tcPr>
          <w:p w14:paraId="7A2F97FC" w14:textId="77777777" w:rsidR="003F7BEF" w:rsidRPr="00963900" w:rsidRDefault="003F7BEF" w:rsidP="003F7BEF">
            <w:pPr>
              <w:pStyle w:val="Tabletext"/>
              <w:ind w:left="283" w:hanging="391"/>
            </w:pPr>
            <w:r w:rsidRPr="00963900">
              <w:rPr>
                <w:b/>
              </w:rPr>
              <w:t>Copy to:</w:t>
            </w:r>
          </w:p>
          <w:p w14:paraId="2F08E958" w14:textId="7CD9E403" w:rsidR="003F7BEF" w:rsidRPr="00963900" w:rsidRDefault="003F7BEF" w:rsidP="003F7BEF">
            <w:pPr>
              <w:pStyle w:val="Tabletext"/>
              <w:tabs>
                <w:tab w:val="clear" w:pos="284"/>
              </w:tabs>
              <w:ind w:left="283" w:hanging="391"/>
            </w:pPr>
            <w:r>
              <w:t>-</w:t>
            </w:r>
            <w:r w:rsidRPr="00963900">
              <w:tab/>
              <w:t>The Chairm</w:t>
            </w:r>
            <w:r>
              <w:t>a</w:t>
            </w:r>
            <w:r w:rsidRPr="00963900">
              <w:t xml:space="preserve">n and Vice-Chairmen of </w:t>
            </w:r>
            <w:r>
              <w:t xml:space="preserve">ITU-T </w:t>
            </w:r>
            <w:r w:rsidRPr="00963900">
              <w:t>Study Group</w:t>
            </w:r>
            <w:r>
              <w:t xml:space="preserve"> 17</w:t>
            </w:r>
            <w:r w:rsidRPr="00963900">
              <w:t>;</w:t>
            </w:r>
          </w:p>
          <w:p w14:paraId="03EC9DE1" w14:textId="77777777" w:rsidR="003F7BEF" w:rsidRPr="00963900" w:rsidRDefault="003F7BEF" w:rsidP="003F7BEF">
            <w:pPr>
              <w:pStyle w:val="Tabletext"/>
              <w:tabs>
                <w:tab w:val="clear" w:pos="284"/>
              </w:tabs>
              <w:ind w:left="283" w:hanging="391"/>
            </w:pPr>
            <w:r w:rsidRPr="00963900">
              <w:t>-</w:t>
            </w:r>
            <w:r w:rsidRPr="00963900">
              <w:tab/>
              <w:t>The Director of the Telecommunication Development Bureau;</w:t>
            </w:r>
          </w:p>
          <w:p w14:paraId="27716A1A" w14:textId="77777777" w:rsidR="003F7BEF" w:rsidRDefault="003F7BEF" w:rsidP="003F7BEF">
            <w:pPr>
              <w:pStyle w:val="Tabletext"/>
              <w:tabs>
                <w:tab w:val="clear" w:pos="284"/>
              </w:tabs>
              <w:ind w:left="283" w:hanging="391"/>
            </w:pPr>
            <w:r w:rsidRPr="00963900">
              <w:t>-</w:t>
            </w:r>
            <w:r w:rsidRPr="00963900">
              <w:tab/>
              <w:t>The Director of the Radiocommunication Bureau</w:t>
            </w:r>
          </w:p>
        </w:tc>
      </w:tr>
      <w:tr w:rsidR="003F7BEF" w14:paraId="4544BDC9" w14:textId="77777777" w:rsidTr="00694E3D">
        <w:trPr>
          <w:cantSplit/>
          <w:trHeight w:val="618"/>
        </w:trPr>
        <w:tc>
          <w:tcPr>
            <w:tcW w:w="1134" w:type="dxa"/>
          </w:tcPr>
          <w:p w14:paraId="319C8FD2" w14:textId="77777777" w:rsidR="003F7BEF" w:rsidRDefault="003F7BEF" w:rsidP="00887188">
            <w:pPr>
              <w:pStyle w:val="Tabletext"/>
              <w:spacing w:before="240" w:after="120"/>
              <w:ind w:hanging="15"/>
            </w:pPr>
            <w:r>
              <w:rPr>
                <w:b/>
              </w:rPr>
              <w:t>Subject:</w:t>
            </w:r>
          </w:p>
        </w:tc>
        <w:tc>
          <w:tcPr>
            <w:tcW w:w="8647" w:type="dxa"/>
            <w:gridSpan w:val="4"/>
          </w:tcPr>
          <w:p w14:paraId="5E462D4D" w14:textId="16C3A155" w:rsidR="003F7BEF" w:rsidRDefault="003F7BEF" w:rsidP="00887188">
            <w:pPr>
              <w:pStyle w:val="Tabletext"/>
              <w:spacing w:before="240" w:after="120"/>
              <w:ind w:hanging="15"/>
            </w:pPr>
            <w:r w:rsidRPr="00C33179">
              <w:rPr>
                <w:b/>
              </w:rPr>
              <w:t>Member State consultation on Determined draft new Recommendations</w:t>
            </w:r>
            <w:r>
              <w:rPr>
                <w:b/>
              </w:rPr>
              <w:t xml:space="preserve"> ITU-T</w:t>
            </w:r>
            <w:r w:rsidRPr="00C33179">
              <w:rPr>
                <w:b/>
              </w:rPr>
              <w:t xml:space="preserve"> </w:t>
            </w:r>
            <w:r w:rsidR="00411F36">
              <w:rPr>
                <w:b/>
              </w:rPr>
              <w:t xml:space="preserve">X.1332 (X.sgsec-3), </w:t>
            </w:r>
            <w:r w:rsidRPr="00C33179">
              <w:rPr>
                <w:b/>
              </w:rPr>
              <w:t>X.</w:t>
            </w:r>
            <w:r>
              <w:rPr>
                <w:b/>
              </w:rPr>
              <w:t>1365</w:t>
            </w:r>
            <w:r w:rsidRPr="00C33179">
              <w:rPr>
                <w:b/>
              </w:rPr>
              <w:t xml:space="preserve"> (</w:t>
            </w:r>
            <w:r w:rsidRPr="0011500D">
              <w:rPr>
                <w:b/>
              </w:rPr>
              <w:t>X.</w:t>
            </w:r>
            <w:r>
              <w:rPr>
                <w:b/>
              </w:rPr>
              <w:t>ibc-iot</w:t>
            </w:r>
            <w:r w:rsidRPr="00C33179">
              <w:rPr>
                <w:b/>
              </w:rPr>
              <w:t>),</w:t>
            </w:r>
            <w:r w:rsidR="001956EF">
              <w:rPr>
                <w:b/>
              </w:rPr>
              <w:t xml:space="preserve"> X.1372 (X.itssec-2),</w:t>
            </w:r>
            <w:r>
              <w:rPr>
                <w:b/>
              </w:rPr>
              <w:t xml:space="preserve"> </w:t>
            </w:r>
            <w:r w:rsidR="00411F36">
              <w:rPr>
                <w:b/>
              </w:rPr>
              <w:t>X.1604 (X.SRNaaS</w:t>
            </w:r>
            <w:r w:rsidR="00411F36" w:rsidRPr="00C33179">
              <w:rPr>
                <w:b/>
              </w:rPr>
              <w:t>)</w:t>
            </w:r>
            <w:r w:rsidR="003B6E07">
              <w:rPr>
                <w:b/>
              </w:rPr>
              <w:t>,</w:t>
            </w:r>
            <w:r w:rsidR="00411F36">
              <w:rPr>
                <w:b/>
              </w:rPr>
              <w:t xml:space="preserve"> </w:t>
            </w:r>
            <w:r w:rsidR="001956EF">
              <w:rPr>
                <w:b/>
              </w:rPr>
              <w:t xml:space="preserve">and </w:t>
            </w:r>
            <w:r>
              <w:rPr>
                <w:b/>
              </w:rPr>
              <w:t>X</w:t>
            </w:r>
            <w:r w:rsidR="00C76C12">
              <w:rPr>
                <w:b/>
              </w:rPr>
              <w:t>.</w:t>
            </w:r>
            <w:r>
              <w:rPr>
                <w:b/>
              </w:rPr>
              <w:t>1605</w:t>
            </w:r>
            <w:r w:rsidR="004A0C22">
              <w:rPr>
                <w:b/>
              </w:rPr>
              <w:t xml:space="preserve"> </w:t>
            </w:r>
            <w:r>
              <w:rPr>
                <w:b/>
              </w:rPr>
              <w:t>(X.SRIaaS)</w:t>
            </w:r>
            <w:r w:rsidR="003B6E07">
              <w:rPr>
                <w:b/>
              </w:rPr>
              <w:t xml:space="preserve">, </w:t>
            </w:r>
            <w:r w:rsidRPr="00C33179">
              <w:rPr>
                <w:b/>
              </w:rPr>
              <w:t xml:space="preserve">proposed for approval at the ITU-T Study Group 17 meeting (Geneva, </w:t>
            </w:r>
            <w:r w:rsidR="00444503">
              <w:rPr>
                <w:b/>
              </w:rPr>
              <w:t>17-26 March 2020</w:t>
            </w:r>
            <w:r w:rsidRPr="00C33179">
              <w:rPr>
                <w:b/>
              </w:rPr>
              <w:t>)</w:t>
            </w:r>
          </w:p>
        </w:tc>
      </w:tr>
    </w:tbl>
    <w:p w14:paraId="7931A78D" w14:textId="77777777" w:rsidR="00852B82" w:rsidRPr="00D7384A" w:rsidRDefault="00691DAA" w:rsidP="00481C1B">
      <w:pPr>
        <w:spacing w:before="300" w:after="120"/>
      </w:pPr>
      <w:r w:rsidRPr="00D7384A">
        <w:t>Dear Sir/Madam,</w:t>
      </w:r>
    </w:p>
    <w:p w14:paraId="00F5BCC5" w14:textId="3DCF864D" w:rsidR="00E32F10" w:rsidRPr="00BA09A9" w:rsidRDefault="004D7317" w:rsidP="00444503">
      <w:pPr>
        <w:spacing w:before="100"/>
        <w:rPr>
          <w:szCs w:val="22"/>
        </w:rPr>
      </w:pPr>
      <w:r w:rsidRPr="00C33179">
        <w:rPr>
          <w:bCs/>
          <w:szCs w:val="22"/>
        </w:rPr>
        <w:t>1</w:t>
      </w:r>
      <w:r w:rsidRPr="00C33179">
        <w:rPr>
          <w:szCs w:val="22"/>
        </w:rPr>
        <w:tab/>
        <w:t xml:space="preserve">ITU-T </w:t>
      </w:r>
      <w:r w:rsidRPr="00C33179">
        <w:t xml:space="preserve">Study Group 17 (Security) </w:t>
      </w:r>
      <w:r w:rsidRPr="00C33179">
        <w:rPr>
          <w:szCs w:val="22"/>
        </w:rPr>
        <w:t>intends to apply the Traditional Approval Procedure as described in Section 9 of WTSA Resolution 1 (Rev. Hammamet, 2016) for the approval of the above</w:t>
      </w:r>
      <w:r w:rsidRPr="00C33179">
        <w:rPr>
          <w:szCs w:val="22"/>
        </w:rPr>
        <w:noBreakHyphen/>
        <w:t xml:space="preserve">mentioned draft Recommendations at its next meeting in Geneva, </w:t>
      </w:r>
      <w:r w:rsidR="00444503">
        <w:rPr>
          <w:szCs w:val="22"/>
        </w:rPr>
        <w:t>17-26 March 2020</w:t>
      </w:r>
      <w:r w:rsidRPr="00C33179">
        <w:t xml:space="preserve">. The agenda and all </w:t>
      </w:r>
      <w:r w:rsidRPr="00BA09A9">
        <w:t xml:space="preserve">relevant information concerning the ITU-T Study Group 17 meeting will be available in Collective letter </w:t>
      </w:r>
      <w:r w:rsidR="00444503">
        <w:t>7</w:t>
      </w:r>
      <w:r w:rsidRPr="00315BDD">
        <w:t>/17.</w:t>
      </w:r>
    </w:p>
    <w:p w14:paraId="6E577E72" w14:textId="1E42C740" w:rsidR="007C7DA8" w:rsidRDefault="007C7DA8" w:rsidP="001956EF">
      <w:pPr>
        <w:spacing w:before="100"/>
        <w:rPr>
          <w:szCs w:val="22"/>
        </w:rPr>
      </w:pPr>
      <w:r w:rsidRPr="00BA09A9">
        <w:rPr>
          <w:bCs/>
          <w:szCs w:val="22"/>
        </w:rPr>
        <w:t>2</w:t>
      </w:r>
      <w:r w:rsidRPr="00BA09A9">
        <w:rPr>
          <w:szCs w:val="22"/>
        </w:rPr>
        <w:tab/>
        <w:t>The titles</w:t>
      </w:r>
      <w:r w:rsidR="004D7317" w:rsidRPr="00BA09A9">
        <w:rPr>
          <w:szCs w:val="22"/>
        </w:rPr>
        <w:t>, summaries and locations of</w:t>
      </w:r>
      <w:r w:rsidRPr="00BA09A9">
        <w:rPr>
          <w:szCs w:val="22"/>
        </w:rPr>
        <w:t xml:space="preserve"> </w:t>
      </w:r>
      <w:r w:rsidR="004D7317" w:rsidRPr="00BA09A9">
        <w:rPr>
          <w:szCs w:val="22"/>
        </w:rPr>
        <w:t xml:space="preserve">draft new Recommendations </w:t>
      </w:r>
      <w:r w:rsidR="00444503" w:rsidRPr="00444503">
        <w:rPr>
          <w:szCs w:val="22"/>
        </w:rPr>
        <w:t xml:space="preserve">ITU-T </w:t>
      </w:r>
      <w:r w:rsidR="00411F36" w:rsidRPr="00444503">
        <w:rPr>
          <w:szCs w:val="22"/>
        </w:rPr>
        <w:t>X</w:t>
      </w:r>
      <w:r w:rsidR="00411F36">
        <w:rPr>
          <w:szCs w:val="22"/>
        </w:rPr>
        <w:t>.</w:t>
      </w:r>
      <w:r w:rsidR="00411F36" w:rsidRPr="00444503">
        <w:rPr>
          <w:szCs w:val="22"/>
        </w:rPr>
        <w:t>1332</w:t>
      </w:r>
      <w:r w:rsidR="00411F36">
        <w:rPr>
          <w:szCs w:val="22"/>
        </w:rPr>
        <w:t xml:space="preserve"> </w:t>
      </w:r>
      <w:r w:rsidR="00411F36" w:rsidRPr="00444503">
        <w:rPr>
          <w:szCs w:val="22"/>
        </w:rPr>
        <w:t>(X.sgsec</w:t>
      </w:r>
      <w:r w:rsidR="003B6E07">
        <w:rPr>
          <w:szCs w:val="22"/>
        </w:rPr>
        <w:noBreakHyphen/>
      </w:r>
      <w:r w:rsidR="00411F36" w:rsidRPr="00444503">
        <w:rPr>
          <w:szCs w:val="22"/>
        </w:rPr>
        <w:t xml:space="preserve">3), </w:t>
      </w:r>
      <w:r w:rsidR="00444503" w:rsidRPr="00444503">
        <w:rPr>
          <w:szCs w:val="22"/>
        </w:rPr>
        <w:t>X.1365 (X.ibc-iot),</w:t>
      </w:r>
      <w:r w:rsidR="001956EF" w:rsidRPr="001956EF">
        <w:rPr>
          <w:szCs w:val="22"/>
        </w:rPr>
        <w:t xml:space="preserve"> </w:t>
      </w:r>
      <w:r w:rsidR="001956EF">
        <w:rPr>
          <w:szCs w:val="22"/>
        </w:rPr>
        <w:t>X.1372 (X.itssec-2),</w:t>
      </w:r>
      <w:r w:rsidR="00444503" w:rsidRPr="00444503">
        <w:rPr>
          <w:szCs w:val="22"/>
        </w:rPr>
        <w:t xml:space="preserve"> </w:t>
      </w:r>
      <w:r w:rsidR="00411F36" w:rsidRPr="00444503">
        <w:rPr>
          <w:szCs w:val="22"/>
        </w:rPr>
        <w:t>X.1604</w:t>
      </w:r>
      <w:r w:rsidR="00411F36">
        <w:rPr>
          <w:szCs w:val="22"/>
        </w:rPr>
        <w:t xml:space="preserve"> </w:t>
      </w:r>
      <w:r w:rsidR="003B6E07">
        <w:rPr>
          <w:szCs w:val="22"/>
        </w:rPr>
        <w:t>(X.SRNaaS),</w:t>
      </w:r>
      <w:r w:rsidR="00411F36" w:rsidRPr="00444503">
        <w:rPr>
          <w:szCs w:val="22"/>
        </w:rPr>
        <w:t xml:space="preserve"> </w:t>
      </w:r>
      <w:r w:rsidR="001956EF">
        <w:rPr>
          <w:szCs w:val="22"/>
        </w:rPr>
        <w:t xml:space="preserve">and </w:t>
      </w:r>
      <w:r w:rsidR="00444503" w:rsidRPr="00444503">
        <w:rPr>
          <w:szCs w:val="22"/>
        </w:rPr>
        <w:t>X</w:t>
      </w:r>
      <w:r w:rsidR="00694E3D">
        <w:rPr>
          <w:szCs w:val="22"/>
        </w:rPr>
        <w:t>.</w:t>
      </w:r>
      <w:r w:rsidR="00444503" w:rsidRPr="00444503">
        <w:rPr>
          <w:szCs w:val="22"/>
        </w:rPr>
        <w:t>1605</w:t>
      </w:r>
      <w:r w:rsidR="002D6150">
        <w:rPr>
          <w:szCs w:val="22"/>
        </w:rPr>
        <w:t xml:space="preserve"> </w:t>
      </w:r>
      <w:r w:rsidR="00444503" w:rsidRPr="00444503">
        <w:rPr>
          <w:szCs w:val="22"/>
        </w:rPr>
        <w:t>(X.SRIaaS),</w:t>
      </w:r>
      <w:r w:rsidR="00095FF2">
        <w:rPr>
          <w:szCs w:val="22"/>
        </w:rPr>
        <w:t xml:space="preserve"> </w:t>
      </w:r>
      <w:r w:rsidRPr="00BA09A9">
        <w:rPr>
          <w:szCs w:val="22"/>
        </w:rPr>
        <w:t xml:space="preserve">proposed for approval </w:t>
      </w:r>
      <w:r w:rsidR="00C51F4B" w:rsidRPr="00BA09A9">
        <w:rPr>
          <w:szCs w:val="22"/>
        </w:rPr>
        <w:t>can</w:t>
      </w:r>
      <w:r w:rsidR="004D7317" w:rsidRPr="00BA09A9">
        <w:rPr>
          <w:szCs w:val="22"/>
        </w:rPr>
        <w:t xml:space="preserve"> be found in </w:t>
      </w:r>
      <w:r w:rsidR="004D4E26">
        <w:rPr>
          <w:b/>
          <w:bCs/>
          <w:szCs w:val="22"/>
        </w:rPr>
        <w:t xml:space="preserve">Annex </w:t>
      </w:r>
      <w:r w:rsidRPr="00563A6B">
        <w:rPr>
          <w:b/>
          <w:bCs/>
          <w:szCs w:val="22"/>
        </w:rPr>
        <w:t>1</w:t>
      </w:r>
      <w:r w:rsidRPr="00BA09A9">
        <w:rPr>
          <w:szCs w:val="22"/>
        </w:rPr>
        <w:t>.</w:t>
      </w:r>
    </w:p>
    <w:p w14:paraId="02E2B3DA" w14:textId="603DCE6B" w:rsidR="004D4E26" w:rsidRPr="001846BB" w:rsidRDefault="004D4E26" w:rsidP="004D4E26">
      <w:pPr>
        <w:spacing w:before="240"/>
        <w:rPr>
          <w:rFonts w:asciiTheme="minorHAnsi" w:hAnsiTheme="minorHAnsi" w:cstheme="minorHAnsi"/>
          <w:szCs w:val="24"/>
        </w:rPr>
      </w:pPr>
      <w:r w:rsidRPr="001846BB">
        <w:rPr>
          <w:rFonts w:asciiTheme="minorHAnsi" w:hAnsiTheme="minorHAnsi" w:cstheme="minorHAnsi"/>
          <w:szCs w:val="24"/>
        </w:rPr>
        <w:t xml:space="preserve">TSB NOTE </w:t>
      </w:r>
      <w:r w:rsidR="00796CDA" w:rsidRPr="001846BB">
        <w:rPr>
          <w:rFonts w:asciiTheme="minorHAnsi" w:hAnsiTheme="minorHAnsi" w:cstheme="minorHAnsi"/>
          <w:szCs w:val="24"/>
        </w:rPr>
        <w:t xml:space="preserve">1 </w:t>
      </w:r>
      <w:r w:rsidRPr="001846BB">
        <w:rPr>
          <w:rFonts w:asciiTheme="minorHAnsi" w:hAnsiTheme="minorHAnsi" w:cstheme="minorHAnsi"/>
          <w:szCs w:val="24"/>
        </w:rPr>
        <w:t xml:space="preserve">– As of the date of this Circular, no IPR statements had been received by TSB regarding any of these draft texts. For up-to-date information, members are invited to consult the IPR database at </w:t>
      </w:r>
      <w:hyperlink r:id="rId9" w:history="1">
        <w:r w:rsidRPr="001846BB">
          <w:rPr>
            <w:rStyle w:val="Hyperlink"/>
            <w:rFonts w:asciiTheme="minorHAnsi" w:hAnsiTheme="minorHAnsi" w:cstheme="minorHAnsi"/>
            <w:szCs w:val="24"/>
          </w:rPr>
          <w:t>www.itu.int/ipr/</w:t>
        </w:r>
      </w:hyperlink>
      <w:r w:rsidRPr="001846BB">
        <w:rPr>
          <w:rFonts w:asciiTheme="minorHAnsi" w:hAnsiTheme="minorHAnsi" w:cstheme="minorHAnsi"/>
          <w:szCs w:val="24"/>
        </w:rPr>
        <w:t>.</w:t>
      </w:r>
    </w:p>
    <w:p w14:paraId="29197538" w14:textId="5B78C811" w:rsidR="00796CDA" w:rsidRDefault="00796CDA" w:rsidP="00796CDA">
      <w:pPr>
        <w:spacing w:before="240"/>
        <w:jc w:val="both"/>
        <w:rPr>
          <w:rFonts w:ascii="Times New Roman" w:hAnsi="Times New Roman"/>
          <w:szCs w:val="24"/>
        </w:rPr>
      </w:pPr>
      <w:r w:rsidRPr="001846BB">
        <w:rPr>
          <w:rFonts w:asciiTheme="minorHAnsi" w:hAnsiTheme="minorHAnsi" w:cstheme="minorHAnsi"/>
          <w:szCs w:val="24"/>
        </w:rPr>
        <w:t>TSB NOTE 2 – Except draft X.1365 (X.ibc-iot), no ITU-T A.5 justification document has been prepared for other determined draft texts.</w:t>
      </w:r>
      <w:r>
        <w:rPr>
          <w:rFonts w:ascii="Times New Roman" w:hAnsi="Times New Roman"/>
          <w:szCs w:val="24"/>
        </w:rPr>
        <w:br w:type="page"/>
      </w:r>
    </w:p>
    <w:p w14:paraId="2D9AD40D" w14:textId="2C349E0A" w:rsidR="00A43CA0" w:rsidRPr="00BA09A9" w:rsidRDefault="007C7DA8" w:rsidP="003B6E07">
      <w:pPr>
        <w:spacing w:before="100"/>
      </w:pPr>
      <w:r w:rsidRPr="00BA09A9">
        <w:rPr>
          <w:bCs/>
          <w:szCs w:val="22"/>
        </w:rPr>
        <w:lastRenderedPageBreak/>
        <w:t>3</w:t>
      </w:r>
      <w:r w:rsidR="00691DAA" w:rsidRPr="00BA09A9">
        <w:rPr>
          <w:szCs w:val="22"/>
        </w:rPr>
        <w:tab/>
      </w:r>
      <w:r w:rsidR="00E54801" w:rsidRPr="00BA09A9">
        <w:rPr>
          <w:szCs w:val="22"/>
        </w:rPr>
        <w:t xml:space="preserve">This Circular </w:t>
      </w:r>
      <w:r w:rsidR="00860AE1" w:rsidRPr="00BA09A9">
        <w:rPr>
          <w:szCs w:val="22"/>
        </w:rPr>
        <w:t xml:space="preserve">initiates </w:t>
      </w:r>
      <w:r w:rsidR="00E54801" w:rsidRPr="00BA09A9">
        <w:rPr>
          <w:szCs w:val="22"/>
        </w:rPr>
        <w:t xml:space="preserve">the formal consultation </w:t>
      </w:r>
      <w:r w:rsidR="00860AE1" w:rsidRPr="00BA09A9">
        <w:rPr>
          <w:szCs w:val="22"/>
        </w:rPr>
        <w:t xml:space="preserve">with </w:t>
      </w:r>
      <w:r w:rsidR="00E54801" w:rsidRPr="00BA09A9">
        <w:rPr>
          <w:szCs w:val="22"/>
        </w:rPr>
        <w:t xml:space="preserve">ITU Member States on whether </w:t>
      </w:r>
      <w:r w:rsidR="00860AE1" w:rsidRPr="00BA09A9">
        <w:rPr>
          <w:szCs w:val="22"/>
        </w:rPr>
        <w:t xml:space="preserve">these texts may </w:t>
      </w:r>
      <w:r w:rsidR="00E54801" w:rsidRPr="00BA09A9">
        <w:rPr>
          <w:szCs w:val="22"/>
        </w:rPr>
        <w:t xml:space="preserve">be considered </w:t>
      </w:r>
      <w:r w:rsidR="00860AE1" w:rsidRPr="00BA09A9">
        <w:rPr>
          <w:szCs w:val="22"/>
        </w:rPr>
        <w:t xml:space="preserve">for approval </w:t>
      </w:r>
      <w:r w:rsidR="00E54801" w:rsidRPr="00BA09A9">
        <w:rPr>
          <w:szCs w:val="22"/>
        </w:rPr>
        <w:t>at the upcoming meeting, i</w:t>
      </w:r>
      <w:r w:rsidR="00E32F10" w:rsidRPr="00BA09A9">
        <w:rPr>
          <w:szCs w:val="22"/>
        </w:rPr>
        <w:t xml:space="preserve">n accordance with </w:t>
      </w:r>
      <w:r w:rsidR="002E0E8B" w:rsidRPr="00BA09A9">
        <w:rPr>
          <w:szCs w:val="22"/>
        </w:rPr>
        <w:t>clause</w:t>
      </w:r>
      <w:r w:rsidR="00E32F10" w:rsidRPr="00BA09A9">
        <w:rPr>
          <w:szCs w:val="22"/>
        </w:rPr>
        <w:t xml:space="preserve"> 9.4 of Resolution 1</w:t>
      </w:r>
      <w:r w:rsidR="00E54801" w:rsidRPr="00BA09A9">
        <w:rPr>
          <w:szCs w:val="22"/>
        </w:rPr>
        <w:t xml:space="preserve">. Member </w:t>
      </w:r>
      <w:r w:rsidR="00860AE1" w:rsidRPr="00BA09A9">
        <w:rPr>
          <w:szCs w:val="22"/>
        </w:rPr>
        <w:t xml:space="preserve">States </w:t>
      </w:r>
      <w:r w:rsidR="00E54801" w:rsidRPr="00BA09A9">
        <w:rPr>
          <w:szCs w:val="22"/>
        </w:rPr>
        <w:t>are kindly request</w:t>
      </w:r>
      <w:r w:rsidR="00860AE1" w:rsidRPr="00BA09A9">
        <w:rPr>
          <w:szCs w:val="22"/>
        </w:rPr>
        <w:t>ed</w:t>
      </w:r>
      <w:r w:rsidR="00E54801" w:rsidRPr="00BA09A9">
        <w:rPr>
          <w:szCs w:val="22"/>
        </w:rPr>
        <w:t xml:space="preserve"> to </w:t>
      </w:r>
      <w:r w:rsidR="00860AE1" w:rsidRPr="00BA09A9">
        <w:rPr>
          <w:szCs w:val="22"/>
        </w:rPr>
        <w:t xml:space="preserve">complete and </w:t>
      </w:r>
      <w:r w:rsidR="00E54801" w:rsidRPr="00BA09A9">
        <w:rPr>
          <w:szCs w:val="22"/>
        </w:rPr>
        <w:t xml:space="preserve">return the </w:t>
      </w:r>
      <w:r w:rsidR="00860AE1" w:rsidRPr="00BA09A9">
        <w:rPr>
          <w:szCs w:val="22"/>
        </w:rPr>
        <w:t>form</w:t>
      </w:r>
      <w:r w:rsidR="00E54801" w:rsidRPr="00BA09A9">
        <w:rPr>
          <w:szCs w:val="22"/>
        </w:rPr>
        <w:t xml:space="preserve"> in </w:t>
      </w:r>
      <w:r w:rsidR="00E54801" w:rsidRPr="00563A6B">
        <w:rPr>
          <w:b/>
          <w:bCs/>
          <w:szCs w:val="22"/>
        </w:rPr>
        <w:t>Annex 2</w:t>
      </w:r>
      <w:r w:rsidR="00E54801" w:rsidRPr="00BA09A9">
        <w:rPr>
          <w:szCs w:val="22"/>
        </w:rPr>
        <w:t xml:space="preserve"> </w:t>
      </w:r>
      <w:r w:rsidR="002E0E8B" w:rsidRPr="00BA09A9">
        <w:rPr>
          <w:szCs w:val="22"/>
        </w:rPr>
        <w:t xml:space="preserve">by </w:t>
      </w:r>
      <w:r w:rsidR="00E54801" w:rsidRPr="00BA09A9">
        <w:rPr>
          <w:szCs w:val="22"/>
        </w:rPr>
        <w:t>2359 </w:t>
      </w:r>
      <w:r w:rsidR="00E32F10" w:rsidRPr="00BA09A9">
        <w:rPr>
          <w:szCs w:val="22"/>
        </w:rPr>
        <w:t xml:space="preserve">hours UTC </w:t>
      </w:r>
      <w:r w:rsidR="00E32F10" w:rsidRPr="00481C1B">
        <w:rPr>
          <w:szCs w:val="22"/>
        </w:rPr>
        <w:t>on</w:t>
      </w:r>
      <w:r w:rsidR="00BA09A9" w:rsidRPr="00481C1B">
        <w:rPr>
          <w:szCs w:val="22"/>
        </w:rPr>
        <w:t xml:space="preserve"> </w:t>
      </w:r>
      <w:r w:rsidR="00766213" w:rsidRPr="00481C1B">
        <w:rPr>
          <w:b/>
          <w:bCs/>
          <w:szCs w:val="22"/>
        </w:rPr>
        <w:t>2</w:t>
      </w:r>
      <w:r w:rsidR="0007515C">
        <w:rPr>
          <w:b/>
          <w:bCs/>
          <w:szCs w:val="22"/>
        </w:rPr>
        <w:t>9</w:t>
      </w:r>
      <w:r w:rsidR="00095FF2" w:rsidRPr="00481C1B">
        <w:rPr>
          <w:b/>
          <w:bCs/>
          <w:szCs w:val="22"/>
        </w:rPr>
        <w:t xml:space="preserve"> February</w:t>
      </w:r>
      <w:r w:rsidR="00095FF2">
        <w:rPr>
          <w:b/>
          <w:bCs/>
          <w:szCs w:val="22"/>
        </w:rPr>
        <w:t xml:space="preserve"> 2020</w:t>
      </w:r>
      <w:r w:rsidR="00E32F10" w:rsidRPr="00BA09A9">
        <w:t>.</w:t>
      </w:r>
    </w:p>
    <w:p w14:paraId="27C5C6AC" w14:textId="392FBF73" w:rsidR="00D92917" w:rsidRPr="00D7384A" w:rsidRDefault="006A2FAB" w:rsidP="00607019">
      <w:pPr>
        <w:spacing w:before="100"/>
        <w:rPr>
          <w:szCs w:val="22"/>
        </w:rPr>
      </w:pPr>
      <w:r w:rsidRPr="00BA09A9">
        <w:rPr>
          <w:bCs/>
        </w:rPr>
        <w:t>4</w:t>
      </w:r>
      <w:r w:rsidR="007C7DA8" w:rsidRPr="00BA09A9">
        <w:tab/>
        <w:t xml:space="preserve">If 70% or more of the replies </w:t>
      </w:r>
      <w:r w:rsidR="00F751B3" w:rsidRPr="00BA09A9">
        <w:t>from Member States</w:t>
      </w:r>
      <w:r w:rsidR="00F751B3" w:rsidRPr="00D7384A">
        <w:t xml:space="preserve">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43991803" w14:textId="1F5131AB" w:rsidR="00B25913" w:rsidRDefault="00691DAA" w:rsidP="00B25913">
      <w:pPr>
        <w:spacing w:before="200"/>
      </w:pPr>
      <w:r w:rsidRPr="00D7384A">
        <w:t>Yours faithfully,</w:t>
      </w:r>
    </w:p>
    <w:p w14:paraId="3B46D651" w14:textId="2F938186" w:rsidR="00887188" w:rsidRPr="00D7384A" w:rsidRDefault="00B25913" w:rsidP="00B25913">
      <w:pPr>
        <w:spacing w:before="960"/>
      </w:pPr>
      <w:r>
        <w:rPr>
          <w:noProof/>
          <w:lang w:eastAsia="en-GB"/>
        </w:rPr>
        <w:drawing>
          <wp:anchor distT="0" distB="0" distL="114300" distR="114300" simplePos="0" relativeHeight="251658240" behindDoc="1" locked="0" layoutInCell="1" allowOverlap="1" wp14:anchorId="7EE4ECFB" wp14:editId="4B22F96C">
            <wp:simplePos x="0" y="0"/>
            <wp:positionH relativeFrom="column">
              <wp:posOffset>-53340</wp:posOffset>
            </wp:positionH>
            <wp:positionV relativeFrom="paragraph">
              <wp:posOffset>137795</wp:posOffset>
            </wp:positionV>
            <wp:extent cx="933450" cy="39430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0">
                      <a:extLst>
                        <a:ext uri="{28A0092B-C50C-407E-A947-70E740481C1C}">
                          <a14:useLocalDpi xmlns:a14="http://schemas.microsoft.com/office/drawing/2010/main" val="0"/>
                        </a:ext>
                      </a:extLst>
                    </a:blip>
                    <a:stretch>
                      <a:fillRect/>
                    </a:stretch>
                  </pic:blipFill>
                  <pic:spPr>
                    <a:xfrm>
                      <a:off x="0" y="0"/>
                      <a:ext cx="933450" cy="394302"/>
                    </a:xfrm>
                    <a:prstGeom prst="rect">
                      <a:avLst/>
                    </a:prstGeom>
                  </pic:spPr>
                </pic:pic>
              </a:graphicData>
            </a:graphic>
            <wp14:sizeRelH relativeFrom="margin">
              <wp14:pctWidth>0</wp14:pctWidth>
            </wp14:sizeRelH>
            <wp14:sizeRelV relativeFrom="margin">
              <wp14:pctHeight>0</wp14:pctHeight>
            </wp14:sizeRelV>
          </wp:anchor>
        </w:drawing>
      </w:r>
      <w:r w:rsidR="00691DAA" w:rsidRPr="00D7384A">
        <w:t>Chaesub Lee</w:t>
      </w:r>
      <w:r w:rsidR="00691DAA" w:rsidRPr="00D7384A">
        <w:br/>
        <w:t>Director of the Telecommunication</w:t>
      </w:r>
      <w:r w:rsidR="00691DAA" w:rsidRPr="00D7384A">
        <w:br/>
        <w:t>Standardization Bureau</w:t>
      </w:r>
    </w:p>
    <w:p w14:paraId="1ECE778E" w14:textId="77777777" w:rsidR="00852B82" w:rsidRPr="00D7384A" w:rsidRDefault="00691DAA" w:rsidP="00763EF0">
      <w:pPr>
        <w:spacing w:before="1440"/>
      </w:pPr>
      <w:r w:rsidRPr="00D7384A">
        <w:rPr>
          <w:b/>
        </w:rPr>
        <w:t>Annex</w:t>
      </w:r>
      <w:r w:rsidR="00F96117" w:rsidRPr="00D7384A">
        <w:rPr>
          <w:b/>
        </w:rPr>
        <w:t>es</w:t>
      </w:r>
      <w:r w:rsidRPr="00D7384A">
        <w:rPr>
          <w:b/>
        </w:rPr>
        <w:t xml:space="preserve">: </w:t>
      </w:r>
      <w:r w:rsidR="00F96117" w:rsidRPr="00481C1B">
        <w:t>2</w:t>
      </w:r>
      <w:r w:rsidRPr="00D7384A">
        <w:br w:type="page"/>
      </w:r>
      <w:bookmarkStart w:id="0" w:name="_GoBack"/>
      <w:bookmarkEnd w:id="0"/>
    </w:p>
    <w:p w14:paraId="71CD4AAA" w14:textId="7F24D43C" w:rsidR="00852B82" w:rsidRPr="00FD1EBA" w:rsidRDefault="009D4B5F" w:rsidP="009D4B5F">
      <w:pPr>
        <w:pStyle w:val="Annextitle"/>
      </w:pPr>
      <w:r w:rsidRPr="00FD1EBA">
        <w:lastRenderedPageBreak/>
        <w:t xml:space="preserve">ANNEX </w:t>
      </w:r>
      <w:r w:rsidR="00691DAA" w:rsidRPr="00FD1EBA">
        <w:t>1</w:t>
      </w:r>
    </w:p>
    <w:p w14:paraId="6BB651EB" w14:textId="2337E2D1" w:rsidR="00852B82" w:rsidRPr="00FD1EBA" w:rsidRDefault="00691DAA" w:rsidP="001956EF">
      <w:pPr>
        <w:pStyle w:val="Annextitle"/>
      </w:pPr>
      <w:r w:rsidRPr="00FD1EBA">
        <w:t>Summary and location</w:t>
      </w:r>
      <w:r w:rsidR="0006765F" w:rsidRPr="00FD1EBA">
        <w:t xml:space="preserve"> of Determined draft </w:t>
      </w:r>
      <w:r w:rsidR="00607019" w:rsidRPr="00FD1EBA">
        <w:t xml:space="preserve">Recommendations </w:t>
      </w:r>
      <w:r w:rsidR="004A0C22" w:rsidRPr="00FD1EBA">
        <w:t xml:space="preserve">ITU-T </w:t>
      </w:r>
      <w:r w:rsidR="00411F36" w:rsidRPr="00FD1EBA">
        <w:t xml:space="preserve">X1332 (X.sgsec-3), </w:t>
      </w:r>
      <w:r w:rsidR="004A0C22" w:rsidRPr="00FD1EBA">
        <w:t>X.1365 (X.ibc</w:t>
      </w:r>
      <w:r w:rsidR="004A0C22" w:rsidRPr="00FD1EBA">
        <w:noBreakHyphen/>
      </w:r>
      <w:r w:rsidR="00532862" w:rsidRPr="00FD1EBA">
        <w:t>iot)</w:t>
      </w:r>
      <w:r w:rsidR="004A0C22" w:rsidRPr="00FD1EBA">
        <w:t xml:space="preserve">, </w:t>
      </w:r>
      <w:r w:rsidR="001956EF">
        <w:t xml:space="preserve">X.1372 (X.itssec-2), </w:t>
      </w:r>
      <w:r w:rsidR="00411F36" w:rsidRPr="00FD1EBA">
        <w:t xml:space="preserve">X.1604 (X.SRNaaS), and </w:t>
      </w:r>
      <w:r w:rsidR="004A0C22" w:rsidRPr="00FD1EBA">
        <w:t>X1605</w:t>
      </w:r>
      <w:r w:rsidR="001956EF">
        <w:t> </w:t>
      </w:r>
      <w:r w:rsidR="004A0C22" w:rsidRPr="00FD1EBA">
        <w:t xml:space="preserve">(X.SRIaaS) </w:t>
      </w:r>
    </w:p>
    <w:p w14:paraId="6B58D816" w14:textId="3ABA836E" w:rsidR="002D6150" w:rsidRPr="00FD1EBA" w:rsidRDefault="00411F36" w:rsidP="00411F36">
      <w:pPr>
        <w:pStyle w:val="Heading1"/>
        <w:spacing w:before="200"/>
      </w:pPr>
      <w:r w:rsidRPr="00FD1EBA">
        <w:t>1</w:t>
      </w:r>
      <w:r w:rsidR="002D6150" w:rsidRPr="00FD1EBA">
        <w:tab/>
        <w:t xml:space="preserve">Draft new Recommendation </w:t>
      </w:r>
      <w:r w:rsidR="002D6150" w:rsidRPr="00FD1EBA">
        <w:rPr>
          <w:szCs w:val="22"/>
        </w:rPr>
        <w:t>ITU-T</w:t>
      </w:r>
      <w:r w:rsidR="002D6150" w:rsidRPr="00FD1EBA">
        <w:t xml:space="preserve"> </w:t>
      </w:r>
      <w:r w:rsidR="002D6150" w:rsidRPr="00FD1EBA">
        <w:rPr>
          <w:szCs w:val="22"/>
        </w:rPr>
        <w:t>X.1332 (X.sgsec-3) [</w:t>
      </w:r>
      <w:hyperlink r:id="rId11" w:history="1">
        <w:r w:rsidR="002D6150" w:rsidRPr="00FD1EBA">
          <w:rPr>
            <w:rStyle w:val="Hyperlink"/>
            <w:szCs w:val="22"/>
          </w:rPr>
          <w:t>R046</w:t>
        </w:r>
      </w:hyperlink>
      <w:r w:rsidR="002D6150" w:rsidRPr="00FD1EBA">
        <w:t>]</w:t>
      </w:r>
    </w:p>
    <w:p w14:paraId="00667CF0" w14:textId="77777777" w:rsidR="003344E4" w:rsidRPr="00FD1EBA" w:rsidRDefault="003344E4" w:rsidP="003344E4">
      <w:pPr>
        <w:pStyle w:val="Heading2"/>
      </w:pPr>
      <w:r w:rsidRPr="00FD1EBA">
        <w:rPr>
          <w:lang w:val="en-US"/>
        </w:rPr>
        <w:t>Security guidelines for smart metering services in smart grids</w:t>
      </w:r>
      <w:r w:rsidRPr="00FD1EBA">
        <w:t xml:space="preserve"> </w:t>
      </w:r>
    </w:p>
    <w:p w14:paraId="615C7C89" w14:textId="521EBDDC" w:rsidR="002D6150" w:rsidRPr="00FD1EBA" w:rsidRDefault="002D6150" w:rsidP="003344E4">
      <w:pPr>
        <w:pStyle w:val="Heading2"/>
      </w:pPr>
      <w:r w:rsidRPr="00FD1EBA">
        <w:t>Summary</w:t>
      </w:r>
    </w:p>
    <w:p w14:paraId="34228104" w14:textId="709D612E" w:rsidR="002D6150" w:rsidRPr="00FD1EBA" w:rsidRDefault="003344E4" w:rsidP="003344E4">
      <w:pPr>
        <w:jc w:val="both"/>
        <w:rPr>
          <w:szCs w:val="22"/>
          <w:lang w:val="en-US" w:eastAsia="ko-KR"/>
        </w:rPr>
      </w:pPr>
      <w:r w:rsidRPr="00FD1EBA">
        <w:rPr>
          <w:szCs w:val="22"/>
          <w:lang w:val="en-US" w:eastAsia="ko-KR"/>
        </w:rPr>
        <w:t>Smart metering services have been widely deployed worldwide to make electricity grids more efficient and reliable by gathering/providing electricity usage information from/to customers, respectively. This information can be used to estimate customers’ electricity demands, and the estimation can be used to shift demand or to change customers’ electricity consumption behavior by providing electricity usage information to them. However, smart metering services can malfunction because of various threats. For example, invalid metering information can lead to erroneous demand management decision, and abusing load control functions can cause economic and physical damage to customers. The Recommendation 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p>
    <w:p w14:paraId="4583DDB5" w14:textId="46139591" w:rsidR="00411F36" w:rsidRPr="00FD1EBA" w:rsidRDefault="00411F36" w:rsidP="00411F36">
      <w:pPr>
        <w:pStyle w:val="Heading1"/>
        <w:spacing w:before="200"/>
      </w:pPr>
      <w:r w:rsidRPr="00FD1EBA">
        <w:t>2</w:t>
      </w:r>
      <w:r w:rsidR="002D6150" w:rsidRPr="00FD1EBA">
        <w:tab/>
      </w:r>
      <w:r w:rsidRPr="00FD1EBA">
        <w:t xml:space="preserve">Draft new Recommendation </w:t>
      </w:r>
      <w:r w:rsidRPr="00FD1EBA">
        <w:rPr>
          <w:szCs w:val="22"/>
        </w:rPr>
        <w:t>ITU-T</w:t>
      </w:r>
      <w:r w:rsidRPr="00FD1EBA">
        <w:t xml:space="preserve"> X.1365 (X.ibc-iot)</w:t>
      </w:r>
      <w:r w:rsidRPr="00FD1EBA">
        <w:rPr>
          <w:szCs w:val="22"/>
        </w:rPr>
        <w:t xml:space="preserve"> [</w:t>
      </w:r>
      <w:hyperlink r:id="rId12" w:history="1">
        <w:r w:rsidRPr="00FD1EBA">
          <w:rPr>
            <w:rStyle w:val="Hyperlink"/>
            <w:szCs w:val="22"/>
          </w:rPr>
          <w:t>R043</w:t>
        </w:r>
      </w:hyperlink>
      <w:r w:rsidRPr="00FD1EBA">
        <w:t>]</w:t>
      </w:r>
    </w:p>
    <w:p w14:paraId="6EDD3BC6" w14:textId="77777777" w:rsidR="00411F36" w:rsidRPr="00FD1EBA" w:rsidRDefault="00411F36" w:rsidP="00411F36">
      <w:pPr>
        <w:pStyle w:val="Heading2"/>
        <w:tabs>
          <w:tab w:val="clear" w:pos="1191"/>
          <w:tab w:val="left" w:pos="0"/>
        </w:tabs>
        <w:ind w:left="0" w:firstLine="0"/>
      </w:pPr>
      <w:r w:rsidRPr="00FD1EBA">
        <w:rPr>
          <w:lang w:val="en-US"/>
        </w:rPr>
        <w:t>Security methodology for the use of identity-based cryptography in support of Internet of things services over telecommunication networks</w:t>
      </w:r>
    </w:p>
    <w:p w14:paraId="384AFEA9" w14:textId="77777777" w:rsidR="00411F36" w:rsidRPr="00FD1EBA" w:rsidRDefault="00411F36" w:rsidP="00411F36">
      <w:pPr>
        <w:pStyle w:val="Heading2"/>
      </w:pPr>
      <w:r w:rsidRPr="00FD1EBA">
        <w:t>Summary</w:t>
      </w:r>
    </w:p>
    <w:p w14:paraId="30186A3E" w14:textId="77777777" w:rsidR="00411F36" w:rsidRPr="00FD1EBA" w:rsidRDefault="00411F36" w:rsidP="00411F36">
      <w:pPr>
        <w:jc w:val="both"/>
      </w:pPr>
      <w:r w:rsidRPr="00FD1EBA">
        <w:t xml:space="preserve">Traditional certificate-based security methodology involves heavyweight key management operations including certificate issue, querying and revocation. Such systems face great difficulty in keeping up with the increasing numbers of devices connected to </w:t>
      </w:r>
      <w:r w:rsidRPr="00FD1EBA">
        <w:rPr>
          <w:lang w:eastAsia="zh-CN"/>
        </w:rPr>
        <w:t>Internet of things (</w:t>
      </w:r>
      <w:r w:rsidRPr="00FD1EBA">
        <w:t>IoT) while maintaining decent performance.</w:t>
      </w:r>
    </w:p>
    <w:p w14:paraId="33B0A5FD" w14:textId="77777777" w:rsidR="00411F36" w:rsidRPr="00FD1EBA" w:rsidRDefault="00411F36" w:rsidP="00411F36">
      <w:pPr>
        <w:jc w:val="both"/>
      </w:pPr>
      <w:r w:rsidRPr="00FD1EBA">
        <w:t>Identity-based cryptography (IBC) technology is another security methodology that uses an entity's identity as a public key. An essential feature of IoT is that everything has a unique identifier (ID). Using such ID</w:t>
      </w:r>
      <w:r w:rsidRPr="00FD1EBA">
        <w:rPr>
          <w:rFonts w:hint="eastAsia"/>
          <w:lang w:eastAsia="zh-CN"/>
        </w:rPr>
        <w:t>s</w:t>
      </w:r>
      <w:r w:rsidRPr="00FD1EBA">
        <w:t xml:space="preserve"> as public keys, no certificates are required. Consequently, an IBC security solution utilizes simpler key management, enables distributed authorities to control their own devices and scales well to both a high number of endpoints and diverse devices. </w:t>
      </w:r>
    </w:p>
    <w:p w14:paraId="1ADCB01B" w14:textId="165C938D" w:rsidR="00411F36" w:rsidRPr="00FD1EBA" w:rsidRDefault="00411F36" w:rsidP="00411F36">
      <w:pPr>
        <w:jc w:val="both"/>
      </w:pPr>
      <w:r w:rsidRPr="00FD1EBA">
        <w:t xml:space="preserve">This Recommendation provides a security methodology for </w:t>
      </w:r>
      <w:r w:rsidRPr="00FD1EBA">
        <w:rPr>
          <w:rFonts w:hint="eastAsia"/>
          <w:lang w:eastAsia="zh-CN"/>
        </w:rPr>
        <w:t xml:space="preserve">the </w:t>
      </w:r>
      <w:r w:rsidRPr="00FD1EBA">
        <w:t>use of IBC public key technology in support of IoT services over telecommunications networks including mechanisms of identity management, key management architecture, key management operations and authentication.</w:t>
      </w:r>
    </w:p>
    <w:p w14:paraId="789540CA" w14:textId="26CEDA62" w:rsidR="00952D8F" w:rsidRPr="001846BB" w:rsidRDefault="00952D8F" w:rsidP="00766213">
      <w:pPr>
        <w:spacing w:before="240"/>
        <w:jc w:val="both"/>
        <w:rPr>
          <w:rFonts w:asciiTheme="minorHAnsi" w:hAnsiTheme="minorHAnsi" w:cstheme="minorHAnsi"/>
          <w:szCs w:val="22"/>
          <w:lang w:eastAsia="ko-KR"/>
        </w:rPr>
      </w:pPr>
      <w:r w:rsidRPr="001846BB">
        <w:rPr>
          <w:rFonts w:asciiTheme="minorHAnsi" w:hAnsiTheme="minorHAnsi" w:cstheme="minorHAnsi"/>
          <w:szCs w:val="24"/>
        </w:rPr>
        <w:t xml:space="preserve">This </w:t>
      </w:r>
      <w:r w:rsidR="00766213" w:rsidRPr="001846BB">
        <w:rPr>
          <w:rFonts w:asciiTheme="minorHAnsi" w:hAnsiTheme="minorHAnsi" w:cstheme="minorHAnsi"/>
          <w:szCs w:val="24"/>
        </w:rPr>
        <w:t>d</w:t>
      </w:r>
      <w:r w:rsidRPr="001846BB">
        <w:rPr>
          <w:rFonts w:asciiTheme="minorHAnsi" w:hAnsiTheme="minorHAnsi" w:cstheme="minorHAnsi"/>
          <w:szCs w:val="24"/>
        </w:rPr>
        <w:t xml:space="preserve">etermined draft text includes normative references that require an ITU-T A.5 justification, which can be found in </w:t>
      </w:r>
      <w:hyperlink r:id="rId13" w:history="1">
        <w:r w:rsidRPr="001846BB">
          <w:rPr>
            <w:rStyle w:val="Hyperlink"/>
            <w:rFonts w:asciiTheme="minorHAnsi" w:hAnsiTheme="minorHAnsi" w:cstheme="minorHAnsi"/>
            <w:szCs w:val="24"/>
          </w:rPr>
          <w:t>SG17-TD2366</w:t>
        </w:r>
      </w:hyperlink>
      <w:r w:rsidRPr="001846BB">
        <w:rPr>
          <w:rFonts w:asciiTheme="minorHAnsi" w:hAnsiTheme="minorHAnsi" w:cstheme="minorHAnsi"/>
          <w:szCs w:val="24"/>
        </w:rPr>
        <w:t>.</w:t>
      </w:r>
    </w:p>
    <w:p w14:paraId="683F19B0" w14:textId="670314AA" w:rsidR="003B6E07" w:rsidRPr="00FD1EBA" w:rsidRDefault="003B6E07" w:rsidP="003B6E07">
      <w:pPr>
        <w:pStyle w:val="Heading1"/>
        <w:spacing w:before="200"/>
      </w:pPr>
      <w:r>
        <w:lastRenderedPageBreak/>
        <w:t>3</w:t>
      </w:r>
      <w:r w:rsidRPr="00FD1EBA">
        <w:tab/>
        <w:t xml:space="preserve">Draft new Recommendation </w:t>
      </w:r>
      <w:r w:rsidRPr="00FD1EBA">
        <w:rPr>
          <w:szCs w:val="22"/>
        </w:rPr>
        <w:t>ITU-T</w:t>
      </w:r>
      <w:r w:rsidRPr="00FD1EBA">
        <w:t xml:space="preserve"> </w:t>
      </w:r>
      <w:r w:rsidRPr="00FD1EBA">
        <w:rPr>
          <w:szCs w:val="22"/>
        </w:rPr>
        <w:t>X.13</w:t>
      </w:r>
      <w:r>
        <w:rPr>
          <w:szCs w:val="22"/>
        </w:rPr>
        <w:t>7</w:t>
      </w:r>
      <w:r w:rsidRPr="00FD1EBA">
        <w:rPr>
          <w:szCs w:val="22"/>
        </w:rPr>
        <w:t>2 (X.</w:t>
      </w:r>
      <w:r w:rsidRPr="003B6E07">
        <w:rPr>
          <w:szCs w:val="22"/>
        </w:rPr>
        <w:t>itssec-2</w:t>
      </w:r>
      <w:r w:rsidRPr="00FD1EBA">
        <w:rPr>
          <w:szCs w:val="22"/>
        </w:rPr>
        <w:t>) [</w:t>
      </w:r>
      <w:hyperlink r:id="rId14" w:history="1">
        <w:r w:rsidRPr="00FD1EBA">
          <w:rPr>
            <w:rStyle w:val="Hyperlink"/>
            <w:szCs w:val="22"/>
          </w:rPr>
          <w:t>R0</w:t>
        </w:r>
        <w:r>
          <w:rPr>
            <w:rStyle w:val="Hyperlink"/>
            <w:szCs w:val="22"/>
          </w:rPr>
          <w:t>49</w:t>
        </w:r>
      </w:hyperlink>
      <w:r w:rsidRPr="00FD1EBA">
        <w:t>]</w:t>
      </w:r>
    </w:p>
    <w:p w14:paraId="57C959B7" w14:textId="77777777" w:rsidR="003B6E07" w:rsidRPr="00FD1EBA" w:rsidRDefault="003B6E07" w:rsidP="003B6E07">
      <w:pPr>
        <w:pStyle w:val="Heading2"/>
      </w:pPr>
      <w:r w:rsidRPr="003B6E07">
        <w:rPr>
          <w:bCs/>
        </w:rPr>
        <w:t>Security guidelines for Vehicle-to-Everything (V2X) communication</w:t>
      </w:r>
    </w:p>
    <w:p w14:paraId="6283A715" w14:textId="77777777" w:rsidR="003B6E07" w:rsidRPr="00FD1EBA" w:rsidRDefault="003B6E07" w:rsidP="003B6E07">
      <w:pPr>
        <w:pStyle w:val="Heading2"/>
      </w:pPr>
      <w:r w:rsidRPr="00FD1EBA">
        <w:t>Summary</w:t>
      </w:r>
    </w:p>
    <w:p w14:paraId="6FADB627" w14:textId="77777777" w:rsidR="003B6E07" w:rsidRPr="003B6E07" w:rsidRDefault="003B6E07" w:rsidP="003B6E07">
      <w:pPr>
        <w:jc w:val="both"/>
        <w:rPr>
          <w:lang w:val="en-US"/>
        </w:rPr>
      </w:pPr>
      <w:r w:rsidRPr="003B6E07">
        <w:rPr>
          <w:lang w:val="en-US"/>
        </w:rPr>
        <w:t xml:space="preserve">This Recommendation provides security guidelines for Vehicle-to-Everything (V2X) communication. V2X is a generic term for the communication modes termed as vehicle-to-vehicle (V2V), vehicle-to-infrastructure (V2I), vehicle-to-nomadic devices (V2D) and vehicle-to-pedestrian (V2P) discussed in this Recommendation. </w:t>
      </w:r>
    </w:p>
    <w:p w14:paraId="7631FB16" w14:textId="77777777" w:rsidR="003B6E07" w:rsidRPr="003B6E07" w:rsidRDefault="003B6E07" w:rsidP="003B6E07">
      <w:pPr>
        <w:jc w:val="both"/>
        <w:rPr>
          <w:lang w:val="en-US"/>
        </w:rPr>
      </w:pPr>
      <w:r w:rsidRPr="003B6E07">
        <w:rPr>
          <w:lang w:val="en-US"/>
        </w:rPr>
        <w:t>Significant developments have taken place over the past few years in the area of vehicular communication in the intelligent transportation system (ITS) environment. The V2X communication significantly improves road safety, decreases traffic congestion and increases convenience. However, V2X communication also makes relevant entities in the ITS environment vulnerable to various forms of cyber-attack.</w:t>
      </w:r>
    </w:p>
    <w:p w14:paraId="6B7359E0" w14:textId="6D2DB684" w:rsidR="003B6E07" w:rsidRDefault="003B6E07" w:rsidP="003B6E07">
      <w:pPr>
        <w:jc w:val="both"/>
        <w:rPr>
          <w:lang w:val="en-US"/>
        </w:rPr>
      </w:pPr>
      <w:r w:rsidRPr="003B6E07">
        <w:rPr>
          <w:lang w:val="en-US"/>
        </w:rPr>
        <w:t>To address this security problem, this Recommendation identifies threats in V2X communication environments and specifies security requirements for V2X communication to mitigate these threats. This Recommendation also provides description of possible implementation of V2X communication with security.</w:t>
      </w:r>
    </w:p>
    <w:p w14:paraId="64399CBC" w14:textId="257BA2FB" w:rsidR="00411F36" w:rsidRPr="00FD1EBA" w:rsidRDefault="001956EF" w:rsidP="00411F36">
      <w:pPr>
        <w:pStyle w:val="Heading1"/>
        <w:spacing w:before="200"/>
      </w:pPr>
      <w:r>
        <w:t>4</w:t>
      </w:r>
      <w:r w:rsidR="00411F36" w:rsidRPr="00FD1EBA">
        <w:tab/>
        <w:t xml:space="preserve">Draft new Recommendation </w:t>
      </w:r>
      <w:r w:rsidR="00411F36" w:rsidRPr="00FD1EBA">
        <w:rPr>
          <w:szCs w:val="22"/>
        </w:rPr>
        <w:t>ITU-T X.1604 (X.SRNaaS) [</w:t>
      </w:r>
      <w:hyperlink r:id="rId15" w:history="1">
        <w:r w:rsidR="00411F36" w:rsidRPr="00FD1EBA">
          <w:rPr>
            <w:rStyle w:val="Hyperlink"/>
            <w:szCs w:val="22"/>
          </w:rPr>
          <w:t>R048</w:t>
        </w:r>
      </w:hyperlink>
      <w:r w:rsidR="00411F36" w:rsidRPr="00FD1EBA">
        <w:rPr>
          <w:szCs w:val="22"/>
        </w:rPr>
        <w:t>]</w:t>
      </w:r>
    </w:p>
    <w:p w14:paraId="113EBDD4" w14:textId="77777777" w:rsidR="00411F36" w:rsidRPr="00FD1EBA" w:rsidRDefault="00411F36" w:rsidP="00411F36">
      <w:pPr>
        <w:pStyle w:val="Heading2"/>
      </w:pPr>
      <w:r w:rsidRPr="00FD1EBA">
        <w:rPr>
          <w:lang w:val="en-US"/>
        </w:rPr>
        <w:t>Security requirements of network as a service (NaaS) in cloud computing</w:t>
      </w:r>
    </w:p>
    <w:p w14:paraId="2F052637" w14:textId="77777777" w:rsidR="00411F36" w:rsidRPr="00FD1EBA" w:rsidRDefault="00411F36" w:rsidP="00411F36">
      <w:pPr>
        <w:pStyle w:val="Heading2"/>
      </w:pPr>
      <w:r w:rsidRPr="00FD1EBA">
        <w:t>Summary</w:t>
      </w:r>
    </w:p>
    <w:p w14:paraId="7397C84C" w14:textId="369E871B" w:rsidR="00411F36" w:rsidRPr="00FD1EBA" w:rsidRDefault="00411F36" w:rsidP="00411F36">
      <w:pPr>
        <w:jc w:val="both"/>
      </w:pPr>
      <w:r w:rsidRPr="00FD1EBA">
        <w:t>This Recommendation analyses security threats and challenges on network as a service (NaaS) in cloud computing and specifies security requirements of NaaS in NaaS application, NaaS platform and NaaS connectivity aspects based on corresponding cloud capability types.</w:t>
      </w:r>
    </w:p>
    <w:p w14:paraId="2ABC49DA" w14:textId="0FD5F93A" w:rsidR="002D6150" w:rsidRPr="00FD1EBA" w:rsidRDefault="001956EF" w:rsidP="00F601E1">
      <w:pPr>
        <w:pStyle w:val="Heading1"/>
        <w:spacing w:before="200"/>
      </w:pPr>
      <w:r>
        <w:t>5</w:t>
      </w:r>
      <w:r w:rsidR="00411F36" w:rsidRPr="00FD1EBA">
        <w:tab/>
      </w:r>
      <w:r w:rsidR="002D6150" w:rsidRPr="00FD1EBA">
        <w:t xml:space="preserve">Draft new Recommendation </w:t>
      </w:r>
      <w:r w:rsidR="002D6150" w:rsidRPr="00FD1EBA">
        <w:rPr>
          <w:szCs w:val="22"/>
        </w:rPr>
        <w:t xml:space="preserve">ITU-T </w:t>
      </w:r>
      <w:r w:rsidR="00F601E1" w:rsidRPr="00FD1EBA">
        <w:rPr>
          <w:szCs w:val="22"/>
        </w:rPr>
        <w:t xml:space="preserve">X.1605 (X.SRIaaS) </w:t>
      </w:r>
      <w:r w:rsidR="002D6150" w:rsidRPr="00FD1EBA">
        <w:rPr>
          <w:szCs w:val="22"/>
        </w:rPr>
        <w:t>[</w:t>
      </w:r>
      <w:hyperlink r:id="rId16" w:history="1">
        <w:r w:rsidR="002D6150" w:rsidRPr="00FD1EBA">
          <w:rPr>
            <w:rStyle w:val="Hyperlink"/>
            <w:szCs w:val="22"/>
          </w:rPr>
          <w:t>R04</w:t>
        </w:r>
        <w:r w:rsidR="00F601E1" w:rsidRPr="00FD1EBA">
          <w:rPr>
            <w:rStyle w:val="Hyperlink"/>
            <w:szCs w:val="22"/>
          </w:rPr>
          <w:t>7</w:t>
        </w:r>
      </w:hyperlink>
      <w:r w:rsidR="002D6150" w:rsidRPr="00FD1EBA">
        <w:rPr>
          <w:szCs w:val="22"/>
        </w:rPr>
        <w:t>]</w:t>
      </w:r>
    </w:p>
    <w:p w14:paraId="1469EA0B" w14:textId="074E7123" w:rsidR="002D6150" w:rsidRPr="00FD1EBA" w:rsidRDefault="00D16438" w:rsidP="00D16438">
      <w:pPr>
        <w:pStyle w:val="Heading2"/>
        <w:rPr>
          <w:bCs/>
        </w:rPr>
      </w:pPr>
      <w:r w:rsidRPr="00FD1EBA">
        <w:rPr>
          <w:bCs/>
          <w:lang w:val="en-US"/>
        </w:rPr>
        <w:t xml:space="preserve">Security </w:t>
      </w:r>
      <w:r w:rsidRPr="00FD1EBA">
        <w:rPr>
          <w:rFonts w:hint="eastAsia"/>
          <w:bCs/>
          <w:lang w:val="en-US"/>
        </w:rPr>
        <w:t>r</w:t>
      </w:r>
      <w:r w:rsidRPr="00FD1EBA">
        <w:rPr>
          <w:bCs/>
          <w:lang w:val="en-US"/>
        </w:rPr>
        <w:t xml:space="preserve">equirements of </w:t>
      </w:r>
      <w:r w:rsidRPr="00FD1EBA">
        <w:rPr>
          <w:rFonts w:hint="eastAsia"/>
          <w:bCs/>
          <w:lang w:val="en-US"/>
        </w:rPr>
        <w:t>p</w:t>
      </w:r>
      <w:r w:rsidRPr="00FD1EBA">
        <w:rPr>
          <w:bCs/>
          <w:lang w:val="en-US"/>
        </w:rPr>
        <w:t xml:space="preserve">ublic </w:t>
      </w:r>
      <w:r w:rsidRPr="00FD1EBA">
        <w:rPr>
          <w:rFonts w:hint="eastAsia"/>
          <w:bCs/>
          <w:lang w:val="en-US"/>
        </w:rPr>
        <w:t>i</w:t>
      </w:r>
      <w:r w:rsidRPr="00FD1EBA">
        <w:rPr>
          <w:bCs/>
          <w:lang w:val="en-US"/>
        </w:rPr>
        <w:t xml:space="preserve">nfrastructure as a </w:t>
      </w:r>
      <w:r w:rsidRPr="00FD1EBA">
        <w:rPr>
          <w:rFonts w:hint="eastAsia"/>
          <w:bCs/>
          <w:lang w:val="en-US"/>
        </w:rPr>
        <w:t>s</w:t>
      </w:r>
      <w:r w:rsidRPr="00FD1EBA">
        <w:rPr>
          <w:bCs/>
          <w:lang w:val="en-US"/>
        </w:rPr>
        <w:t xml:space="preserve">ervice (IaaS) in </w:t>
      </w:r>
      <w:r w:rsidRPr="00FD1EBA">
        <w:rPr>
          <w:rFonts w:hint="eastAsia"/>
          <w:bCs/>
          <w:lang w:val="en-US"/>
        </w:rPr>
        <w:t>c</w:t>
      </w:r>
      <w:r w:rsidRPr="00FD1EBA">
        <w:rPr>
          <w:bCs/>
          <w:lang w:val="en-US"/>
        </w:rPr>
        <w:t xml:space="preserve">loud </w:t>
      </w:r>
      <w:r w:rsidRPr="00FD1EBA">
        <w:rPr>
          <w:rFonts w:hint="eastAsia"/>
          <w:bCs/>
          <w:lang w:val="en-US"/>
        </w:rPr>
        <w:t>c</w:t>
      </w:r>
      <w:r w:rsidRPr="00FD1EBA">
        <w:rPr>
          <w:bCs/>
          <w:lang w:val="en-US"/>
        </w:rPr>
        <w:t>omputing</w:t>
      </w:r>
    </w:p>
    <w:p w14:paraId="3E44642A" w14:textId="77777777" w:rsidR="002D6150" w:rsidRPr="00FD1EBA" w:rsidRDefault="002D6150" w:rsidP="002D6150">
      <w:pPr>
        <w:pStyle w:val="Heading2"/>
      </w:pPr>
      <w:r w:rsidRPr="00FD1EBA">
        <w:t>Summary</w:t>
      </w:r>
    </w:p>
    <w:p w14:paraId="4537AF32" w14:textId="79CE865D" w:rsidR="002D6150" w:rsidRPr="00FD1EBA" w:rsidRDefault="00D16438" w:rsidP="00867AB9">
      <w:pPr>
        <w:jc w:val="both"/>
        <w:rPr>
          <w:lang w:val="en-US"/>
        </w:rPr>
      </w:pPr>
      <w:r w:rsidRPr="00FD1EBA">
        <w:rPr>
          <w:rFonts w:hint="eastAsia"/>
          <w:lang w:val="en-US"/>
        </w:rPr>
        <w:t>Infrastructure as a service</w:t>
      </w:r>
      <w:r w:rsidR="00867AB9" w:rsidRPr="00FD1EBA">
        <w:rPr>
          <w:rFonts w:ascii="MS Gothic" w:eastAsia="MS Gothic" w:hAnsi="MS Gothic" w:cs="MS Gothic"/>
          <w:lang w:val="en-US"/>
        </w:rPr>
        <w:t xml:space="preserve"> </w:t>
      </w:r>
      <w:r w:rsidR="00867AB9" w:rsidRPr="00FD1EBA">
        <w:rPr>
          <w:lang w:val="en-US"/>
        </w:rPr>
        <w:t>(I</w:t>
      </w:r>
      <w:r w:rsidRPr="00FD1EBA">
        <w:rPr>
          <w:lang w:val="en-US"/>
        </w:rPr>
        <w:t>aaS</w:t>
      </w:r>
      <w:r w:rsidR="00867AB9" w:rsidRPr="00FD1EBA">
        <w:rPr>
          <w:rFonts w:asciiTheme="minorHAnsi" w:eastAsia="MS Gothic" w:hAnsiTheme="minorHAnsi" w:cstheme="minorHAnsi" w:hint="eastAsia"/>
          <w:lang w:val="en-US"/>
        </w:rPr>
        <w:t>)</w:t>
      </w:r>
      <w:r w:rsidRPr="00FD1EBA">
        <w:rPr>
          <w:rFonts w:hint="eastAsia"/>
          <w:lang w:val="en-US"/>
        </w:rPr>
        <w:t>platforms</w:t>
      </w:r>
      <w:r w:rsidRPr="00FD1EBA">
        <w:rPr>
          <w:lang w:val="en-US"/>
        </w:rPr>
        <w:t xml:space="preserve"> and virtualized services fac</w:t>
      </w:r>
      <w:r w:rsidRPr="00FD1EBA">
        <w:rPr>
          <w:rFonts w:hint="eastAsia"/>
          <w:lang w:val="en-US"/>
        </w:rPr>
        <w:t>e</w:t>
      </w:r>
      <w:r w:rsidRPr="00FD1EBA">
        <w:rPr>
          <w:lang w:val="en-US"/>
        </w:rPr>
        <w:t xml:space="preserve"> different, and perhaps</w:t>
      </w:r>
      <w:r w:rsidRPr="00FD1EBA">
        <w:rPr>
          <w:rFonts w:hint="eastAsia"/>
          <w:lang w:val="en-US"/>
        </w:rPr>
        <w:t xml:space="preserve"> </w:t>
      </w:r>
      <w:r w:rsidRPr="00FD1EBA">
        <w:rPr>
          <w:lang w:val="en-US"/>
        </w:rPr>
        <w:t xml:space="preserve">more, challenges and threats than traditional information technology infrastructure and application. </w:t>
      </w:r>
      <w:r w:rsidRPr="00FD1EBA">
        <w:rPr>
          <w:rFonts w:hint="eastAsia"/>
          <w:lang w:val="en-US"/>
        </w:rPr>
        <w:t>IaaS p</w:t>
      </w:r>
      <w:r w:rsidRPr="00FD1EBA">
        <w:rPr>
          <w:lang w:val="en-US"/>
        </w:rPr>
        <w:t xml:space="preserve">latforms that share computing, storage and networking services need protections specific to threats in IaaS environment. This </w:t>
      </w:r>
      <w:r w:rsidRPr="00FD1EBA">
        <w:rPr>
          <w:rFonts w:hint="eastAsia"/>
          <w:lang w:val="en-US"/>
        </w:rPr>
        <w:t>R</w:t>
      </w:r>
      <w:r w:rsidRPr="00FD1EBA">
        <w:rPr>
          <w:lang w:val="en-US"/>
        </w:rPr>
        <w:t xml:space="preserve">ecommendation aims to document security requirements of public IaaS in order to help IaaS </w:t>
      </w:r>
      <w:r w:rsidRPr="00FD1EBA">
        <w:rPr>
          <w:rFonts w:hint="eastAsia"/>
          <w:lang w:val="en-US"/>
        </w:rPr>
        <w:t>providers</w:t>
      </w:r>
      <w:r w:rsidRPr="00FD1EBA">
        <w:rPr>
          <w:lang w:val="en-US"/>
        </w:rPr>
        <w:t xml:space="preserve"> to improve security of IaaS platform throughout the planning, </w:t>
      </w:r>
      <w:r w:rsidRPr="00FD1EBA">
        <w:rPr>
          <w:rFonts w:hint="eastAsia"/>
          <w:lang w:val="en-US"/>
        </w:rPr>
        <w:t>build</w:t>
      </w:r>
      <w:r w:rsidRPr="00FD1EBA">
        <w:rPr>
          <w:lang w:val="en-US"/>
        </w:rPr>
        <w:t>ing and operating stages.</w:t>
      </w:r>
    </w:p>
    <w:p w14:paraId="45C31967" w14:textId="77777777" w:rsidR="00952D8F" w:rsidRPr="00766213" w:rsidRDefault="00952D8F" w:rsidP="00766213">
      <w:pPr>
        <w:spacing w:before="240"/>
        <w:jc w:val="both"/>
        <w:rPr>
          <w:rFonts w:ascii="Times New Roman" w:hAnsi="Times New Roman"/>
          <w:szCs w:val="24"/>
        </w:rPr>
      </w:pPr>
    </w:p>
    <w:p w14:paraId="29D091A3" w14:textId="4B51BB75" w:rsidR="009A1A66" w:rsidRPr="00D7384A" w:rsidRDefault="009D4B5F" w:rsidP="009D4B5F">
      <w:pPr>
        <w:pStyle w:val="Annextitle"/>
        <w:spacing w:before="120"/>
      </w:pPr>
      <w:r w:rsidRPr="00D7384A">
        <w:lastRenderedPageBreak/>
        <w:t xml:space="preserve">ANNEX </w:t>
      </w:r>
      <w:r w:rsidR="009A1A66" w:rsidRPr="00D7384A">
        <w:t>2</w:t>
      </w:r>
    </w:p>
    <w:p w14:paraId="416FE5D1" w14:textId="669F4123" w:rsidR="008F14F3" w:rsidRDefault="008F14F3" w:rsidP="00315BDD">
      <w:pPr>
        <w:pStyle w:val="Annextitle"/>
        <w:rPr>
          <w:szCs w:val="22"/>
        </w:rPr>
      </w:pPr>
      <w:r w:rsidRPr="00D7384A">
        <w:t xml:space="preserve">Subject: </w:t>
      </w:r>
      <w:r w:rsidR="00692261" w:rsidRPr="00D7384A">
        <w:t>Member State response</w:t>
      </w:r>
      <w:r w:rsidRPr="00D7384A">
        <w:t xml:space="preserve"> to TSB Circular </w:t>
      </w:r>
      <w:r w:rsidR="00315BDD">
        <w:t>1</w:t>
      </w:r>
      <w:r w:rsidR="004C32E6">
        <w:t>95</w:t>
      </w:r>
      <w:r w:rsidR="00692261" w:rsidRPr="00D7384A">
        <w:t>:</w:t>
      </w:r>
      <w:r w:rsidR="00692261" w:rsidRPr="00D7384A">
        <w:br/>
      </w:r>
      <w:r w:rsidR="0016049B" w:rsidRPr="00D7384A">
        <w:t xml:space="preserve">Consultation on </w:t>
      </w:r>
      <w:r w:rsidR="004C32E6" w:rsidRPr="004C32E6">
        <w:t>Determined draft Recommendations ITU-T X1332 (X.sgsec-3), X.1365 (X.ibc</w:t>
      </w:r>
      <w:r w:rsidR="004C32E6" w:rsidRPr="004C32E6">
        <w:noBreakHyphen/>
        <w:t>iot), X.1604 (X.SRNaaS), and X1605 (X.SRIaaS)</w:t>
      </w:r>
    </w:p>
    <w:p w14:paraId="7CD06754" w14:textId="77777777" w:rsidR="00186D49" w:rsidRPr="00186D49" w:rsidRDefault="00186D49" w:rsidP="00186D49"/>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C55CF34" w14:textId="77777777" w:rsidTr="00780D16">
        <w:tc>
          <w:tcPr>
            <w:tcW w:w="1005" w:type="dxa"/>
            <w:shd w:val="clear" w:color="auto" w:fill="auto"/>
          </w:tcPr>
          <w:p w14:paraId="6218EAA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70EE696C"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054F37E5" w14:textId="77777777" w:rsidR="008A779C" w:rsidRPr="00A43CA0" w:rsidRDefault="008A779C" w:rsidP="008F14F3">
            <w:pPr>
              <w:spacing w:before="0"/>
              <w:rPr>
                <w:szCs w:val="24"/>
                <w:lang w:val="fr-CH"/>
              </w:rPr>
            </w:pPr>
            <w:r w:rsidRPr="00A43CA0">
              <w:rPr>
                <w:szCs w:val="24"/>
                <w:lang w:val="fr-CH"/>
              </w:rPr>
              <w:t>International Telecommunication Union</w:t>
            </w:r>
          </w:p>
          <w:p w14:paraId="4B1FEFC8" w14:textId="77777777" w:rsidR="008A779C" w:rsidRPr="00A43CA0" w:rsidRDefault="008A779C" w:rsidP="008F14F3">
            <w:pPr>
              <w:spacing w:before="0"/>
              <w:rPr>
                <w:szCs w:val="24"/>
                <w:lang w:val="fr-CH"/>
              </w:rPr>
            </w:pPr>
            <w:r w:rsidRPr="00A43CA0">
              <w:rPr>
                <w:szCs w:val="24"/>
                <w:lang w:val="fr-CH"/>
              </w:rPr>
              <w:t>Place des Nations</w:t>
            </w:r>
          </w:p>
          <w:p w14:paraId="233EB036"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6FAD851"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4966F4" w14:textId="77777777" w:rsidR="009A1A66" w:rsidRPr="00D7384A" w:rsidRDefault="008A779C" w:rsidP="009A1A66">
            <w:pPr>
              <w:rPr>
                <w:szCs w:val="24"/>
                <w:highlight w:val="green"/>
              </w:rPr>
            </w:pPr>
            <w:r w:rsidRPr="00D7384A">
              <w:rPr>
                <w:szCs w:val="24"/>
                <w:highlight w:val="green"/>
              </w:rPr>
              <w:t>[Name]</w:t>
            </w:r>
          </w:p>
          <w:p w14:paraId="2AFF7C14" w14:textId="77777777" w:rsidR="008A779C" w:rsidRPr="00D7384A" w:rsidRDefault="008A779C" w:rsidP="008F14F3">
            <w:pPr>
              <w:spacing w:before="0"/>
              <w:rPr>
                <w:szCs w:val="24"/>
                <w:highlight w:val="green"/>
              </w:rPr>
            </w:pPr>
            <w:r w:rsidRPr="00D7384A">
              <w:rPr>
                <w:szCs w:val="24"/>
                <w:highlight w:val="green"/>
              </w:rPr>
              <w:t>[Official role/title]</w:t>
            </w:r>
          </w:p>
          <w:p w14:paraId="2647D226" w14:textId="77777777" w:rsidR="008A779C" w:rsidRPr="00D7384A" w:rsidRDefault="008A779C" w:rsidP="009B72DB">
            <w:pPr>
              <w:spacing w:before="0"/>
              <w:rPr>
                <w:szCs w:val="24"/>
              </w:rPr>
            </w:pPr>
            <w:r w:rsidRPr="00D7384A">
              <w:rPr>
                <w:szCs w:val="24"/>
                <w:highlight w:val="green"/>
              </w:rPr>
              <w:t>[Address]</w:t>
            </w:r>
          </w:p>
        </w:tc>
      </w:tr>
      <w:tr w:rsidR="009A1A66" w:rsidRPr="00D7384A" w14:paraId="1D7009E5" w14:textId="77777777" w:rsidTr="00780D16">
        <w:tc>
          <w:tcPr>
            <w:tcW w:w="1005" w:type="dxa"/>
            <w:shd w:val="clear" w:color="auto" w:fill="auto"/>
          </w:tcPr>
          <w:p w14:paraId="72FAB7BC"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76789D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A1F5E75" w14:textId="77777777" w:rsidR="009A1A66" w:rsidRPr="00D7384A" w:rsidRDefault="008A779C" w:rsidP="00692261">
            <w:pPr>
              <w:spacing w:before="0"/>
              <w:rPr>
                <w:szCs w:val="24"/>
              </w:rPr>
            </w:pPr>
            <w:r w:rsidRPr="00D7384A">
              <w:rPr>
                <w:szCs w:val="24"/>
              </w:rPr>
              <w:t>+41-22-730-5853</w:t>
            </w:r>
          </w:p>
          <w:p w14:paraId="2077A38B" w14:textId="77777777" w:rsidR="008A779C" w:rsidRPr="00D7384A" w:rsidRDefault="00B25913" w:rsidP="00692261">
            <w:pPr>
              <w:spacing w:before="0"/>
              <w:rPr>
                <w:szCs w:val="24"/>
              </w:rPr>
            </w:pPr>
            <w:hyperlink r:id="rId17"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28C9DAD9"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2DD780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55232B4" w14:textId="77777777" w:rsidR="009A1A66" w:rsidRPr="00D7384A" w:rsidRDefault="009A1A66" w:rsidP="00692261">
            <w:pPr>
              <w:spacing w:before="0"/>
              <w:rPr>
                <w:szCs w:val="24"/>
              </w:rPr>
            </w:pPr>
          </w:p>
        </w:tc>
      </w:tr>
    </w:tbl>
    <w:p w14:paraId="6E385C3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0337D6B9" w14:textId="52037824" w:rsidR="00C51F4B" w:rsidRDefault="006D7724" w:rsidP="00B919FF">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60787D">
        <w:rPr>
          <w:szCs w:val="24"/>
        </w:rPr>
        <w:t xml:space="preserve">Determined </w:t>
      </w:r>
      <w:r w:rsidRPr="0060787D">
        <w:rPr>
          <w:szCs w:val="24"/>
        </w:rPr>
        <w:t>draft</w:t>
      </w:r>
      <w:r w:rsidR="0016049B" w:rsidRPr="0060787D">
        <w:rPr>
          <w:szCs w:val="24"/>
        </w:rPr>
        <w:t xml:space="preserve"> </w:t>
      </w:r>
      <w:r w:rsidR="0060787D" w:rsidRPr="0060787D">
        <w:rPr>
          <w:szCs w:val="24"/>
        </w:rPr>
        <w:t>texts</w:t>
      </w:r>
      <w:r w:rsidRPr="0060787D">
        <w:rPr>
          <w:szCs w:val="24"/>
        </w:rPr>
        <w:t xml:space="preserve"> listed</w:t>
      </w:r>
      <w:r w:rsidRPr="00D7384A">
        <w:rPr>
          <w:szCs w:val="24"/>
        </w:rPr>
        <w:t xml:space="preserve"> in </w:t>
      </w:r>
      <w:r w:rsidR="00C51F4B" w:rsidRPr="00D7384A">
        <w:rPr>
          <w:szCs w:val="24"/>
        </w:rPr>
        <w:t xml:space="preserve">TSB Circular </w:t>
      </w:r>
      <w:r w:rsidR="00315BDD">
        <w:rPr>
          <w:szCs w:val="24"/>
        </w:rPr>
        <w:t>1</w:t>
      </w:r>
      <w:r w:rsidR="00B919FF">
        <w:rPr>
          <w:szCs w:val="24"/>
        </w:rPr>
        <w:t>95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p w14:paraId="6A24CDB3" w14:textId="77777777" w:rsidR="003B6E07" w:rsidRDefault="003B6E07" w:rsidP="00B919F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1D29CE9A" w14:textId="77777777" w:rsidTr="00B919FF">
        <w:tc>
          <w:tcPr>
            <w:tcW w:w="2067" w:type="dxa"/>
            <w:shd w:val="clear" w:color="auto" w:fill="auto"/>
            <w:vAlign w:val="center"/>
          </w:tcPr>
          <w:p w14:paraId="1035382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4B8B5F8"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4C32E6" w:rsidRPr="00BC4AC3" w14:paraId="2FB2A753" w14:textId="77777777" w:rsidTr="00B919FF">
        <w:trPr>
          <w:trHeight w:val="748"/>
        </w:trPr>
        <w:tc>
          <w:tcPr>
            <w:tcW w:w="2067" w:type="dxa"/>
            <w:vMerge w:val="restart"/>
            <w:shd w:val="clear" w:color="auto" w:fill="auto"/>
            <w:vAlign w:val="center"/>
          </w:tcPr>
          <w:p w14:paraId="1233CE12" w14:textId="77777777" w:rsidR="004C32E6" w:rsidRDefault="004C32E6" w:rsidP="004C32E6">
            <w:pPr>
              <w:spacing w:before="60" w:after="60"/>
              <w:jc w:val="center"/>
              <w:rPr>
                <w:b/>
                <w:bCs/>
                <w:szCs w:val="24"/>
                <w:lang w:val="fr-CH"/>
              </w:rPr>
            </w:pPr>
            <w:r>
              <w:rPr>
                <w:b/>
                <w:bCs/>
                <w:szCs w:val="24"/>
                <w:lang w:val="fr-CH"/>
              </w:rPr>
              <w:t>Draft</w:t>
            </w:r>
          </w:p>
          <w:p w14:paraId="35A756B3" w14:textId="68755018" w:rsidR="004C32E6" w:rsidRPr="00E77535" w:rsidRDefault="004C32E6" w:rsidP="004C32E6">
            <w:pPr>
              <w:spacing w:before="60" w:after="60"/>
              <w:jc w:val="center"/>
              <w:rPr>
                <w:b/>
                <w:bCs/>
                <w:szCs w:val="24"/>
                <w:lang w:val="fr-CH"/>
              </w:rPr>
            </w:pPr>
            <w:r w:rsidRPr="0060787D">
              <w:rPr>
                <w:b/>
                <w:bCs/>
                <w:szCs w:val="24"/>
                <w:lang w:val="fr-CH"/>
              </w:rPr>
              <w:t xml:space="preserve">Recommendation </w:t>
            </w:r>
            <w:r w:rsidRPr="004C32E6">
              <w:rPr>
                <w:b/>
                <w:bCs/>
                <w:szCs w:val="24"/>
                <w:lang w:val="fr-CH"/>
              </w:rPr>
              <w:t>ITU-T X1332 (X.sgsec-3)</w:t>
            </w:r>
          </w:p>
        </w:tc>
        <w:tc>
          <w:tcPr>
            <w:tcW w:w="7652" w:type="dxa"/>
            <w:shd w:val="clear" w:color="auto" w:fill="auto"/>
            <w:vAlign w:val="center"/>
          </w:tcPr>
          <w:p w14:paraId="268E1F68"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B25913">
              <w:rPr>
                <w:sz w:val="22"/>
                <w:szCs w:val="22"/>
              </w:rPr>
            </w:r>
            <w:r w:rsidR="00B25913">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3557A1EA"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6FB5E22C" w14:textId="7DEB4C45" w:rsidR="004C32E6" w:rsidRPr="004C32E6" w:rsidRDefault="004C32E6" w:rsidP="00766213">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04C613BC" w14:textId="77777777" w:rsidTr="00B919FF">
        <w:trPr>
          <w:trHeight w:val="748"/>
        </w:trPr>
        <w:tc>
          <w:tcPr>
            <w:tcW w:w="2067" w:type="dxa"/>
            <w:vMerge/>
            <w:shd w:val="clear" w:color="auto" w:fill="auto"/>
            <w:vAlign w:val="center"/>
          </w:tcPr>
          <w:p w14:paraId="06C610E8" w14:textId="77777777" w:rsidR="004C32E6" w:rsidRPr="004C32E6" w:rsidRDefault="004C32E6" w:rsidP="00E77535">
            <w:pPr>
              <w:spacing w:before="60" w:after="60"/>
              <w:jc w:val="center"/>
              <w:rPr>
                <w:b/>
                <w:bCs/>
                <w:szCs w:val="24"/>
              </w:rPr>
            </w:pPr>
          </w:p>
        </w:tc>
        <w:tc>
          <w:tcPr>
            <w:tcW w:w="7652" w:type="dxa"/>
            <w:shd w:val="clear" w:color="auto" w:fill="auto"/>
            <w:vAlign w:val="center"/>
          </w:tcPr>
          <w:p w14:paraId="778357A4" w14:textId="70960B37" w:rsidR="004C32E6" w:rsidRPr="00BC4AC3" w:rsidRDefault="004C32E6" w:rsidP="0060787D">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B25913">
              <w:rPr>
                <w:sz w:val="22"/>
                <w:szCs w:val="22"/>
              </w:rPr>
            </w:r>
            <w:r w:rsidR="00B25913">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4C32E6" w:rsidRPr="00BC4AC3" w14:paraId="44449206" w14:textId="77777777" w:rsidTr="009D7822">
        <w:trPr>
          <w:trHeight w:val="748"/>
        </w:trPr>
        <w:tc>
          <w:tcPr>
            <w:tcW w:w="2067" w:type="dxa"/>
            <w:vMerge w:val="restart"/>
            <w:tcBorders>
              <w:top w:val="single" w:sz="4" w:space="0" w:color="auto"/>
              <w:left w:val="single" w:sz="4" w:space="0" w:color="auto"/>
              <w:right w:val="single" w:sz="4" w:space="0" w:color="auto"/>
            </w:tcBorders>
            <w:shd w:val="clear" w:color="auto" w:fill="auto"/>
            <w:vAlign w:val="center"/>
          </w:tcPr>
          <w:p w14:paraId="29596EDD" w14:textId="3A06DDD1" w:rsidR="004C32E6" w:rsidRPr="002F7498" w:rsidRDefault="004C32E6" w:rsidP="004C32E6">
            <w:pPr>
              <w:spacing w:before="60" w:after="60"/>
              <w:jc w:val="center"/>
              <w:rPr>
                <w:b/>
                <w:bCs/>
                <w:szCs w:val="24"/>
                <w:lang w:val="fr-CH"/>
              </w:rPr>
            </w:pPr>
            <w:r w:rsidRPr="00E77535">
              <w:rPr>
                <w:b/>
                <w:bCs/>
                <w:szCs w:val="24"/>
                <w:lang w:val="fr-CH"/>
              </w:rPr>
              <w:t xml:space="preserve">Draft Recommendation ITU-T </w:t>
            </w:r>
            <w:r w:rsidRPr="00B919FF">
              <w:rPr>
                <w:b/>
                <w:lang w:val="fr-CH"/>
              </w:rPr>
              <w:t>X.1365 (X.ibc-iot)</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6FEEE0C"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B25913">
              <w:rPr>
                <w:sz w:val="22"/>
                <w:szCs w:val="22"/>
              </w:rPr>
            </w:r>
            <w:r w:rsidR="00B25913">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5CFF336D"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4564BA1C"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17BD8938" w14:textId="77777777" w:rsidTr="009D7822">
        <w:trPr>
          <w:trHeight w:val="748"/>
        </w:trPr>
        <w:tc>
          <w:tcPr>
            <w:tcW w:w="2067" w:type="dxa"/>
            <w:vMerge/>
            <w:tcBorders>
              <w:left w:val="single" w:sz="4" w:space="0" w:color="auto"/>
              <w:bottom w:val="single" w:sz="4" w:space="0" w:color="auto"/>
              <w:right w:val="single" w:sz="4" w:space="0" w:color="auto"/>
            </w:tcBorders>
            <w:shd w:val="clear" w:color="auto" w:fill="auto"/>
            <w:vAlign w:val="center"/>
          </w:tcPr>
          <w:p w14:paraId="15A2BF75" w14:textId="77777777" w:rsidR="004C32E6" w:rsidRPr="004C32E6" w:rsidRDefault="004C32E6" w:rsidP="004C32E6">
            <w:pPr>
              <w:spacing w:before="60" w:after="60"/>
              <w:jc w:val="center"/>
              <w:rPr>
                <w:b/>
                <w:bCs/>
                <w:szCs w:val="24"/>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1F97A5BA" w14:textId="77777777" w:rsidR="004C32E6" w:rsidRPr="004C32E6" w:rsidRDefault="004C32E6" w:rsidP="004C32E6">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B25913">
              <w:rPr>
                <w:sz w:val="22"/>
                <w:szCs w:val="22"/>
              </w:rPr>
            </w:r>
            <w:r w:rsidR="00B25913">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EB5806" w:rsidRPr="00BC4AC3" w14:paraId="0EA08133" w14:textId="77777777" w:rsidTr="00B919FF">
        <w:trPr>
          <w:trHeight w:val="748"/>
        </w:trPr>
        <w:tc>
          <w:tcPr>
            <w:tcW w:w="2067" w:type="dxa"/>
            <w:vMerge w:val="restart"/>
            <w:shd w:val="clear" w:color="auto" w:fill="auto"/>
            <w:vAlign w:val="center"/>
          </w:tcPr>
          <w:p w14:paraId="599AF903" w14:textId="77777777" w:rsidR="003B6E07" w:rsidRDefault="003B6E07" w:rsidP="003B6E07">
            <w:pPr>
              <w:keepNext/>
              <w:keepLines/>
              <w:spacing w:before="60" w:after="60"/>
              <w:jc w:val="center"/>
              <w:rPr>
                <w:b/>
                <w:bCs/>
                <w:szCs w:val="24"/>
                <w:lang w:val="fr-CH"/>
              </w:rPr>
            </w:pPr>
            <w:r>
              <w:rPr>
                <w:b/>
                <w:bCs/>
                <w:szCs w:val="24"/>
                <w:lang w:val="fr-CH"/>
              </w:rPr>
              <w:lastRenderedPageBreak/>
              <w:t>Draft</w:t>
            </w:r>
          </w:p>
          <w:p w14:paraId="294FC3F4" w14:textId="77777777" w:rsidR="003B6E07" w:rsidRDefault="003B6E07" w:rsidP="003B6E07">
            <w:pPr>
              <w:keepNext/>
              <w:keepLines/>
              <w:spacing w:before="60" w:after="60"/>
              <w:jc w:val="center"/>
              <w:rPr>
                <w:b/>
                <w:lang w:val="fr-CH"/>
              </w:rPr>
            </w:pPr>
            <w:r w:rsidRPr="0060787D">
              <w:rPr>
                <w:b/>
                <w:bCs/>
                <w:szCs w:val="24"/>
                <w:lang w:val="fr-CH"/>
              </w:rPr>
              <w:t xml:space="preserve">Recommendation </w:t>
            </w:r>
            <w:r w:rsidRPr="0060787D">
              <w:rPr>
                <w:b/>
                <w:bCs/>
                <w:szCs w:val="22"/>
                <w:lang w:val="fr-CH"/>
              </w:rPr>
              <w:t xml:space="preserve">ITU-T </w:t>
            </w:r>
            <w:r w:rsidRPr="002F7498">
              <w:rPr>
                <w:b/>
                <w:lang w:val="fr-CH"/>
              </w:rPr>
              <w:t>X1</w:t>
            </w:r>
            <w:r>
              <w:rPr>
                <w:b/>
                <w:lang w:val="fr-CH"/>
              </w:rPr>
              <w:t>372</w:t>
            </w:r>
          </w:p>
          <w:p w14:paraId="67E7A5D0" w14:textId="01DFD5C5" w:rsidR="00EB5806" w:rsidRPr="00B919FF" w:rsidRDefault="003B6E07" w:rsidP="003B6E07">
            <w:pPr>
              <w:keepNext/>
              <w:keepLines/>
              <w:spacing w:before="60" w:after="60"/>
              <w:jc w:val="center"/>
              <w:rPr>
                <w:b/>
                <w:bCs/>
                <w:szCs w:val="24"/>
                <w:lang w:val="fr-CH"/>
              </w:rPr>
            </w:pPr>
            <w:r w:rsidRPr="002F7498">
              <w:rPr>
                <w:b/>
                <w:lang w:val="fr-CH"/>
              </w:rPr>
              <w:t>(X.</w:t>
            </w:r>
            <w:r w:rsidRPr="003B6E07">
              <w:rPr>
                <w:b/>
                <w:lang w:val="fr-CH"/>
              </w:rPr>
              <w:t>itssec-2</w:t>
            </w:r>
            <w:r>
              <w:rPr>
                <w:b/>
                <w:lang w:val="fr-CH"/>
              </w:rPr>
              <w:t>)</w:t>
            </w:r>
          </w:p>
        </w:tc>
        <w:tc>
          <w:tcPr>
            <w:tcW w:w="7652" w:type="dxa"/>
            <w:shd w:val="clear" w:color="auto" w:fill="auto"/>
            <w:vAlign w:val="center"/>
          </w:tcPr>
          <w:p w14:paraId="3CD0FB6C" w14:textId="77777777" w:rsidR="00EB5806" w:rsidRPr="00BC4AC3" w:rsidRDefault="00EB5806" w:rsidP="003B6E07">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25913">
              <w:rPr>
                <w:sz w:val="22"/>
                <w:szCs w:val="22"/>
              </w:rPr>
            </w:r>
            <w:r w:rsidR="00B2591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sidR="0060787D">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84A366D"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216C56C"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EB5806" w:rsidRPr="00BC4AC3" w14:paraId="326012A7" w14:textId="77777777" w:rsidTr="00B919FF">
        <w:trPr>
          <w:trHeight w:val="747"/>
        </w:trPr>
        <w:tc>
          <w:tcPr>
            <w:tcW w:w="2067" w:type="dxa"/>
            <w:vMerge/>
            <w:shd w:val="clear" w:color="auto" w:fill="auto"/>
            <w:vAlign w:val="center"/>
          </w:tcPr>
          <w:p w14:paraId="3E894783" w14:textId="77777777" w:rsidR="00EB5806" w:rsidRPr="00BC4AC3" w:rsidRDefault="00EB5806" w:rsidP="003B6E07">
            <w:pPr>
              <w:keepNext/>
              <w:keepLines/>
              <w:spacing w:before="60" w:after="60"/>
              <w:jc w:val="center"/>
              <w:rPr>
                <w:b/>
                <w:bCs/>
                <w:szCs w:val="24"/>
                <w:lang w:val="en-US"/>
              </w:rPr>
            </w:pPr>
          </w:p>
        </w:tc>
        <w:tc>
          <w:tcPr>
            <w:tcW w:w="7652" w:type="dxa"/>
            <w:shd w:val="clear" w:color="auto" w:fill="auto"/>
            <w:vAlign w:val="center"/>
          </w:tcPr>
          <w:p w14:paraId="33893918" w14:textId="77777777" w:rsidR="00EB5806" w:rsidRPr="00BC4AC3" w:rsidRDefault="00EB5806" w:rsidP="003B6E07">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25913">
              <w:rPr>
                <w:sz w:val="22"/>
                <w:szCs w:val="22"/>
              </w:rPr>
            </w:r>
            <w:r w:rsidR="00B2591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60787D">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60787D" w:rsidRPr="00BC4AC3" w14:paraId="7DBCC796" w14:textId="77777777" w:rsidTr="00B919FF">
        <w:trPr>
          <w:trHeight w:val="747"/>
        </w:trPr>
        <w:tc>
          <w:tcPr>
            <w:tcW w:w="2067" w:type="dxa"/>
            <w:vMerge w:val="restart"/>
            <w:shd w:val="clear" w:color="auto" w:fill="auto"/>
            <w:vAlign w:val="center"/>
          </w:tcPr>
          <w:p w14:paraId="3CF17931" w14:textId="77777777" w:rsidR="003B6E07" w:rsidRDefault="003B6E07" w:rsidP="003B6E07">
            <w:pPr>
              <w:keepNext/>
              <w:keepLines/>
              <w:spacing w:before="60" w:after="60"/>
              <w:jc w:val="center"/>
              <w:rPr>
                <w:b/>
                <w:bCs/>
                <w:szCs w:val="24"/>
                <w:lang w:val="fr-CH"/>
              </w:rPr>
            </w:pPr>
            <w:r>
              <w:rPr>
                <w:b/>
                <w:bCs/>
                <w:szCs w:val="24"/>
                <w:lang w:val="fr-CH"/>
              </w:rPr>
              <w:t>Draft</w:t>
            </w:r>
          </w:p>
          <w:p w14:paraId="7FAE17AD" w14:textId="2AD11ADF" w:rsidR="0060787D" w:rsidRPr="002F7498" w:rsidRDefault="003B6E07" w:rsidP="003B6E07">
            <w:pPr>
              <w:keepNext/>
              <w:keepLines/>
              <w:spacing w:before="60" w:after="60"/>
              <w:jc w:val="center"/>
              <w:rPr>
                <w:b/>
                <w:bCs/>
                <w:szCs w:val="24"/>
                <w:lang w:val="fr-CH"/>
              </w:rPr>
            </w:pPr>
            <w:r w:rsidRPr="00E77535">
              <w:rPr>
                <w:b/>
                <w:bCs/>
                <w:szCs w:val="24"/>
                <w:lang w:val="fr-CH"/>
              </w:rPr>
              <w:t xml:space="preserve">Recommendation </w:t>
            </w:r>
            <w:r>
              <w:rPr>
                <w:b/>
                <w:bCs/>
                <w:szCs w:val="22"/>
                <w:lang w:val="fr-CH"/>
              </w:rPr>
              <w:t xml:space="preserve">ITU-T </w:t>
            </w:r>
            <w:r w:rsidRPr="002F7498">
              <w:rPr>
                <w:b/>
                <w:bCs/>
                <w:szCs w:val="22"/>
                <w:lang w:val="fr-CH"/>
              </w:rPr>
              <w:t>X.1604 (X.SRNaaS)</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54CF4EA5" w14:textId="77777777" w:rsidR="0060787D" w:rsidRPr="00BC4AC3" w:rsidRDefault="0060787D" w:rsidP="0060787D">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25913">
              <w:rPr>
                <w:sz w:val="22"/>
                <w:szCs w:val="22"/>
              </w:rPr>
            </w:r>
            <w:r w:rsidR="00B2591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008E117" w14:textId="77777777" w:rsidR="0060787D" w:rsidRPr="00BC4AC3" w:rsidRDefault="0060787D" w:rsidP="0060787D">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FAFFE54" w14:textId="77777777" w:rsidR="0060787D" w:rsidRPr="0060787D" w:rsidRDefault="0060787D" w:rsidP="0060787D">
            <w:pPr>
              <w:tabs>
                <w:tab w:val="clear" w:pos="794"/>
                <w:tab w:val="clear" w:pos="1191"/>
                <w:tab w:val="clear" w:pos="1588"/>
                <w:tab w:val="clear" w:pos="1985"/>
              </w:tabs>
              <w:spacing w:before="60" w:after="60"/>
              <w:ind w:left="939" w:hanging="459"/>
              <w:rPr>
                <w:b/>
                <w:bCs/>
                <w:szCs w:val="24"/>
              </w:rPr>
            </w:pPr>
            <w:r w:rsidRPr="00BC4AC3">
              <w:rPr>
                <w:sz w:val="20"/>
              </w:rPr>
              <w:t>⃝</w:t>
            </w:r>
            <w:r w:rsidRPr="00BC4AC3">
              <w:rPr>
                <w:sz w:val="20"/>
              </w:rPr>
              <w:tab/>
            </w:r>
            <w:r w:rsidRPr="00BC4AC3">
              <w:rPr>
                <w:szCs w:val="24"/>
              </w:rPr>
              <w:t>Comments and suggested changes are attached</w:t>
            </w:r>
          </w:p>
        </w:tc>
      </w:tr>
      <w:tr w:rsidR="0060787D" w:rsidRPr="00BC4AC3" w14:paraId="40E4F204" w14:textId="77777777" w:rsidTr="00B919FF">
        <w:trPr>
          <w:trHeight w:val="747"/>
        </w:trPr>
        <w:tc>
          <w:tcPr>
            <w:tcW w:w="2067" w:type="dxa"/>
            <w:vMerge/>
            <w:shd w:val="clear" w:color="auto" w:fill="auto"/>
            <w:vAlign w:val="center"/>
          </w:tcPr>
          <w:p w14:paraId="4E41B4FC" w14:textId="77777777" w:rsidR="0060787D" w:rsidRPr="00BC4AC3" w:rsidRDefault="0060787D" w:rsidP="00A612BD">
            <w:pPr>
              <w:spacing w:before="60" w:after="60"/>
              <w:jc w:val="center"/>
              <w:rPr>
                <w:b/>
                <w:bCs/>
                <w:szCs w:val="24"/>
                <w:lang w:val="en-US"/>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49C90C2D" w14:textId="77777777" w:rsidR="0060787D" w:rsidRPr="0060787D" w:rsidRDefault="0060787D" w:rsidP="0060787D">
            <w:pPr>
              <w:tabs>
                <w:tab w:val="clear" w:pos="794"/>
                <w:tab w:val="clear" w:pos="1191"/>
                <w:tab w:val="clear" w:pos="1588"/>
                <w:tab w:val="clear" w:pos="1985"/>
              </w:tabs>
              <w:spacing w:before="60" w:after="60"/>
              <w:ind w:left="459" w:hanging="459"/>
              <w:rPr>
                <w:b/>
                <w:bCs/>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25913">
              <w:rPr>
                <w:sz w:val="22"/>
                <w:szCs w:val="22"/>
              </w:rPr>
            </w:r>
            <w:r w:rsidR="00B2591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3B6E07" w:rsidRPr="0060787D" w14:paraId="68D477F9" w14:textId="77777777" w:rsidTr="003B6E07">
        <w:trPr>
          <w:trHeight w:val="747"/>
        </w:trPr>
        <w:tc>
          <w:tcPr>
            <w:tcW w:w="2067" w:type="dxa"/>
            <w:vMerge w:val="restart"/>
            <w:shd w:val="clear" w:color="auto" w:fill="auto"/>
            <w:vAlign w:val="center"/>
          </w:tcPr>
          <w:p w14:paraId="65E41EBC" w14:textId="77777777" w:rsidR="003B6E07" w:rsidRDefault="003B6E07" w:rsidP="003B6E07">
            <w:pPr>
              <w:spacing w:before="60" w:after="60"/>
              <w:jc w:val="center"/>
              <w:rPr>
                <w:b/>
                <w:bCs/>
                <w:szCs w:val="24"/>
                <w:lang w:val="fr-CH"/>
              </w:rPr>
            </w:pPr>
            <w:r>
              <w:rPr>
                <w:b/>
                <w:bCs/>
                <w:szCs w:val="24"/>
                <w:lang w:val="fr-CH"/>
              </w:rPr>
              <w:t>Draft</w:t>
            </w:r>
          </w:p>
          <w:p w14:paraId="7B7C0D2D" w14:textId="77777777" w:rsidR="003B6E07" w:rsidRDefault="003B6E07" w:rsidP="003B6E07">
            <w:pPr>
              <w:spacing w:before="60" w:after="60"/>
              <w:jc w:val="center"/>
              <w:rPr>
                <w:b/>
                <w:lang w:val="fr-CH"/>
              </w:rPr>
            </w:pPr>
            <w:r w:rsidRPr="0060787D">
              <w:rPr>
                <w:b/>
                <w:bCs/>
                <w:szCs w:val="24"/>
                <w:lang w:val="fr-CH"/>
              </w:rPr>
              <w:t xml:space="preserve">Recommendation </w:t>
            </w:r>
            <w:r w:rsidRPr="0060787D">
              <w:rPr>
                <w:b/>
                <w:bCs/>
                <w:szCs w:val="22"/>
                <w:lang w:val="fr-CH"/>
              </w:rPr>
              <w:t xml:space="preserve">ITU-T </w:t>
            </w:r>
            <w:r w:rsidRPr="002F7498">
              <w:rPr>
                <w:b/>
                <w:lang w:val="fr-CH"/>
              </w:rPr>
              <w:t>X1605</w:t>
            </w:r>
          </w:p>
          <w:p w14:paraId="4BE6A7B9" w14:textId="6112735A" w:rsidR="003B6E07" w:rsidRPr="002F7498" w:rsidRDefault="003B6E07" w:rsidP="003B6E07">
            <w:pPr>
              <w:spacing w:before="60" w:after="60"/>
              <w:jc w:val="center"/>
              <w:rPr>
                <w:b/>
                <w:bCs/>
                <w:szCs w:val="24"/>
                <w:lang w:val="fr-CH"/>
              </w:rPr>
            </w:pPr>
            <w:r w:rsidRPr="002F7498">
              <w:rPr>
                <w:b/>
                <w:lang w:val="fr-CH"/>
              </w:rPr>
              <w:t>(X.SRIaaS)</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ABD520D" w14:textId="77777777" w:rsidR="003B6E07" w:rsidRPr="003B6E07" w:rsidRDefault="003B6E07" w:rsidP="003B6E07">
            <w:pPr>
              <w:tabs>
                <w:tab w:val="clear" w:pos="794"/>
                <w:tab w:val="clear" w:pos="1191"/>
                <w:tab w:val="clear" w:pos="1588"/>
                <w:tab w:val="clear" w:pos="1985"/>
              </w:tabs>
              <w:spacing w:before="60" w:after="60"/>
              <w:ind w:left="459" w:hanging="459"/>
              <w:rPr>
                <w:szCs w:val="24"/>
              </w:rPr>
            </w:pPr>
            <w:r w:rsidRPr="003B6E07">
              <w:rPr>
                <w:b/>
                <w:bCs/>
                <w:szCs w:val="24"/>
                <w:lang w:val="fr-CH"/>
              </w:rPr>
              <w:fldChar w:fldCharType="begin">
                <w:ffData>
                  <w:name w:val="Check1"/>
                  <w:enabled/>
                  <w:calcOnExit w:val="0"/>
                  <w:checkBox>
                    <w:sizeAuto/>
                    <w:default w:val="0"/>
                  </w:checkBox>
                </w:ffData>
              </w:fldChar>
            </w:r>
            <w:r w:rsidRPr="003B6E07">
              <w:rPr>
                <w:b/>
                <w:bCs/>
                <w:szCs w:val="24"/>
              </w:rPr>
              <w:instrText xml:space="preserve"> FORMCHECKBOX </w:instrText>
            </w:r>
            <w:r w:rsidR="00B25913">
              <w:rPr>
                <w:b/>
                <w:bCs/>
                <w:szCs w:val="24"/>
                <w:lang w:val="fr-CH"/>
              </w:rPr>
            </w:r>
            <w:r w:rsidR="00B25913">
              <w:rPr>
                <w:b/>
                <w:bCs/>
                <w:szCs w:val="24"/>
                <w:lang w:val="fr-CH"/>
              </w:rPr>
              <w:fldChar w:fldCharType="separate"/>
            </w:r>
            <w:r w:rsidRPr="003B6E07">
              <w:rPr>
                <w:b/>
                <w:bCs/>
                <w:szCs w:val="24"/>
                <w:lang w:val="fr-CH"/>
              </w:rPr>
              <w:fldChar w:fldCharType="end"/>
            </w:r>
            <w:r w:rsidRPr="003B6E07">
              <w:rPr>
                <w:b/>
                <w:bCs/>
                <w:szCs w:val="24"/>
              </w:rPr>
              <w:tab/>
              <w:t xml:space="preserve">assigns authority </w:t>
            </w:r>
            <w:r w:rsidRPr="003B6E07">
              <w:rPr>
                <w:szCs w:val="24"/>
              </w:rPr>
              <w:t>to Study Group 17 to consider this text for approval (in which case, select one of the two options ⃝):</w:t>
            </w:r>
          </w:p>
          <w:p w14:paraId="7C01A17F" w14:textId="77777777" w:rsidR="003B6E07" w:rsidRPr="003B6E07" w:rsidRDefault="003B6E07" w:rsidP="003B6E07">
            <w:pPr>
              <w:tabs>
                <w:tab w:val="clear" w:pos="794"/>
                <w:tab w:val="clear" w:pos="1191"/>
                <w:tab w:val="clear" w:pos="1588"/>
                <w:tab w:val="clear" w:pos="1985"/>
              </w:tabs>
              <w:spacing w:before="60" w:after="60"/>
              <w:ind w:left="939" w:hanging="459"/>
              <w:rPr>
                <w:szCs w:val="24"/>
              </w:rPr>
            </w:pPr>
            <w:r w:rsidRPr="003B6E07">
              <w:rPr>
                <w:szCs w:val="24"/>
              </w:rPr>
              <w:t>⃝</w:t>
            </w:r>
            <w:r w:rsidRPr="003B6E07">
              <w:rPr>
                <w:szCs w:val="24"/>
              </w:rPr>
              <w:tab/>
              <w:t>No comments or suggested changes</w:t>
            </w:r>
          </w:p>
          <w:p w14:paraId="659D911A" w14:textId="77777777" w:rsidR="003B6E07" w:rsidRPr="003B6E07" w:rsidRDefault="003B6E07" w:rsidP="003B6E07">
            <w:pPr>
              <w:tabs>
                <w:tab w:val="clear" w:pos="794"/>
                <w:tab w:val="clear" w:pos="1191"/>
                <w:tab w:val="clear" w:pos="1588"/>
                <w:tab w:val="clear" w:pos="1985"/>
              </w:tabs>
              <w:spacing w:before="60" w:after="60"/>
              <w:ind w:left="939" w:hanging="459"/>
              <w:rPr>
                <w:b/>
                <w:bCs/>
                <w:szCs w:val="24"/>
              </w:rPr>
            </w:pPr>
            <w:r w:rsidRPr="003B6E07">
              <w:rPr>
                <w:szCs w:val="24"/>
              </w:rPr>
              <w:t>⃝</w:t>
            </w:r>
            <w:r w:rsidRPr="003B6E07">
              <w:rPr>
                <w:szCs w:val="24"/>
              </w:rPr>
              <w:tab/>
              <w:t>Comments and suggested changes are attached</w:t>
            </w:r>
          </w:p>
        </w:tc>
      </w:tr>
      <w:tr w:rsidR="003B6E07" w:rsidRPr="0060787D" w14:paraId="059840A9" w14:textId="77777777" w:rsidTr="003B6E07">
        <w:trPr>
          <w:trHeight w:val="747"/>
        </w:trPr>
        <w:tc>
          <w:tcPr>
            <w:tcW w:w="2067" w:type="dxa"/>
            <w:vMerge/>
            <w:shd w:val="clear" w:color="auto" w:fill="auto"/>
            <w:vAlign w:val="center"/>
          </w:tcPr>
          <w:p w14:paraId="3A0B6A04" w14:textId="77777777" w:rsidR="003B6E07" w:rsidRPr="00BC4AC3" w:rsidRDefault="003B6E07" w:rsidP="00C44A26">
            <w:pPr>
              <w:spacing w:before="60" w:after="60"/>
              <w:jc w:val="center"/>
              <w:rPr>
                <w:b/>
                <w:bCs/>
                <w:szCs w:val="24"/>
                <w:lang w:val="en-US"/>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2EEFE22" w14:textId="11647403" w:rsidR="003B6E07" w:rsidRPr="003B6E07" w:rsidRDefault="003B6E07" w:rsidP="003B6E07">
            <w:pPr>
              <w:tabs>
                <w:tab w:val="clear" w:pos="794"/>
                <w:tab w:val="clear" w:pos="1191"/>
                <w:tab w:val="clear" w:pos="1588"/>
                <w:tab w:val="clear" w:pos="1985"/>
              </w:tabs>
              <w:spacing w:before="60" w:after="60"/>
              <w:ind w:left="459" w:hanging="459"/>
              <w:rPr>
                <w:b/>
                <w:bCs/>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25913">
              <w:rPr>
                <w:sz w:val="22"/>
                <w:szCs w:val="22"/>
              </w:rPr>
            </w:r>
            <w:r w:rsidR="00B2591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2A254ADD" w14:textId="77777777" w:rsidR="00C51F4B" w:rsidRPr="00D7384A" w:rsidRDefault="00C51F4B" w:rsidP="009A1A66"/>
    <w:p w14:paraId="73B5B7BB" w14:textId="77777777" w:rsidR="008F14F3" w:rsidRPr="00D7384A" w:rsidRDefault="008F14F3" w:rsidP="00692261">
      <w:pPr>
        <w:spacing w:before="0"/>
      </w:pPr>
      <w:r w:rsidRPr="00D7384A">
        <w:t>Yours faithfully,</w:t>
      </w:r>
    </w:p>
    <w:p w14:paraId="1D566AA9" w14:textId="77777777" w:rsidR="008F14F3" w:rsidRPr="00D7384A" w:rsidRDefault="008F14F3" w:rsidP="008F14F3"/>
    <w:p w14:paraId="17469443" w14:textId="77777777" w:rsidR="00692261" w:rsidRPr="00D7384A" w:rsidRDefault="00692261" w:rsidP="00692261">
      <w:pPr>
        <w:rPr>
          <w:szCs w:val="24"/>
          <w:highlight w:val="green"/>
        </w:rPr>
      </w:pPr>
      <w:r w:rsidRPr="00D7384A">
        <w:rPr>
          <w:szCs w:val="24"/>
          <w:highlight w:val="green"/>
        </w:rPr>
        <w:t>[Name]</w:t>
      </w:r>
    </w:p>
    <w:p w14:paraId="09B29108" w14:textId="77777777" w:rsidR="00692261" w:rsidRPr="00D7384A" w:rsidRDefault="00692261" w:rsidP="00692261">
      <w:pPr>
        <w:rPr>
          <w:szCs w:val="24"/>
        </w:rPr>
      </w:pPr>
      <w:r w:rsidRPr="00D7384A">
        <w:rPr>
          <w:szCs w:val="24"/>
          <w:highlight w:val="green"/>
        </w:rPr>
        <w:t>[Official role/title]</w:t>
      </w:r>
    </w:p>
    <w:p w14:paraId="22728659"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1E98BEC7" w14:textId="77777777" w:rsidR="0060787D" w:rsidRPr="00D7384A" w:rsidRDefault="0060787D" w:rsidP="00692261">
      <w:pPr>
        <w:rPr>
          <w:szCs w:val="24"/>
        </w:rPr>
      </w:pPr>
    </w:p>
    <w:p w14:paraId="64DBA5D8" w14:textId="77777777" w:rsidR="00852B82" w:rsidRPr="00D7384A" w:rsidRDefault="00691DAA" w:rsidP="008F14F3">
      <w:pPr>
        <w:jc w:val="center"/>
      </w:pPr>
      <w:r w:rsidRPr="00D7384A">
        <w:t>___________</w:t>
      </w:r>
      <w:r w:rsidR="0060787D">
        <w:t>_____</w:t>
      </w:r>
    </w:p>
    <w:sectPr w:rsidR="00852B82" w:rsidRPr="00D7384A" w:rsidSect="003B6E07">
      <w:headerReference w:type="default" r:id="rId18"/>
      <w:footerReference w:type="first" r:id="rId19"/>
      <w:type w:val="oddPage"/>
      <w:pgSz w:w="11907" w:h="16834" w:code="9"/>
      <w:pgMar w:top="567" w:right="1089" w:bottom="156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FE10" w14:textId="77777777" w:rsidR="00AE6763" w:rsidRDefault="00AE6763">
      <w:r>
        <w:separator/>
      </w:r>
    </w:p>
  </w:endnote>
  <w:endnote w:type="continuationSeparator" w:id="0">
    <w:p w14:paraId="2D3500E1" w14:textId="77777777" w:rsidR="00AE6763" w:rsidRDefault="00A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34F3"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E03C" w14:textId="77777777" w:rsidR="00AE6763" w:rsidRDefault="00AE6763">
      <w:r>
        <w:t>____________________</w:t>
      </w:r>
    </w:p>
  </w:footnote>
  <w:footnote w:type="continuationSeparator" w:id="0">
    <w:p w14:paraId="7AC555D1" w14:textId="77777777" w:rsidR="00AE6763" w:rsidRDefault="00AE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4AF6" w14:textId="0E295040" w:rsidR="008F14F3" w:rsidRDefault="008F14F3" w:rsidP="004A0C22">
    <w:pPr>
      <w:pStyle w:val="Header"/>
    </w:pPr>
    <w:r>
      <w:t xml:space="preserve">- </w:t>
    </w:r>
    <w:r>
      <w:fldChar w:fldCharType="begin"/>
    </w:r>
    <w:r>
      <w:instrText xml:space="preserve"> PAGE   \* MERGEFORMAT </w:instrText>
    </w:r>
    <w:r>
      <w:fldChar w:fldCharType="separate"/>
    </w:r>
    <w:r w:rsidR="00B25913">
      <w:rPr>
        <w:noProof/>
      </w:rPr>
      <w:t>2</w:t>
    </w:r>
    <w:r>
      <w:rPr>
        <w:noProof/>
      </w:rPr>
      <w:fldChar w:fldCharType="end"/>
    </w:r>
    <w:r>
      <w:rPr>
        <w:noProof/>
      </w:rPr>
      <w:t xml:space="preserve"> -</w:t>
    </w:r>
    <w:r>
      <w:rPr>
        <w:noProof/>
      </w:rPr>
      <w:br/>
    </w:r>
    <w:r>
      <w:t>TSB Circular</w:t>
    </w:r>
    <w:r w:rsidRPr="00F763C8">
      <w:t xml:space="preserve"> </w:t>
    </w:r>
    <w:r w:rsidR="004A0C22">
      <w:t>195</w:t>
    </w:r>
  </w:p>
  <w:p w14:paraId="316A7FE2" w14:textId="77777777" w:rsidR="008F14F3" w:rsidRDefault="008F14F3" w:rsidP="00D16438">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C"/>
    <w:rsid w:val="00025026"/>
    <w:rsid w:val="00041231"/>
    <w:rsid w:val="000528FF"/>
    <w:rsid w:val="00060383"/>
    <w:rsid w:val="0006765F"/>
    <w:rsid w:val="00067FDC"/>
    <w:rsid w:val="0007515C"/>
    <w:rsid w:val="00076B60"/>
    <w:rsid w:val="00087690"/>
    <w:rsid w:val="00095FF2"/>
    <w:rsid w:val="000E7066"/>
    <w:rsid w:val="0016049B"/>
    <w:rsid w:val="00164419"/>
    <w:rsid w:val="001846BB"/>
    <w:rsid w:val="0018632F"/>
    <w:rsid w:val="00186D49"/>
    <w:rsid w:val="001956EF"/>
    <w:rsid w:val="001B1770"/>
    <w:rsid w:val="001E06AC"/>
    <w:rsid w:val="001E32E7"/>
    <w:rsid w:val="001F3BDD"/>
    <w:rsid w:val="001F4FBE"/>
    <w:rsid w:val="002414F2"/>
    <w:rsid w:val="00290976"/>
    <w:rsid w:val="00290E11"/>
    <w:rsid w:val="002A4977"/>
    <w:rsid w:val="002B3E1F"/>
    <w:rsid w:val="002D6150"/>
    <w:rsid w:val="002E0E8B"/>
    <w:rsid w:val="002F1165"/>
    <w:rsid w:val="002F7498"/>
    <w:rsid w:val="00315BDD"/>
    <w:rsid w:val="003344E4"/>
    <w:rsid w:val="00334A43"/>
    <w:rsid w:val="00341324"/>
    <w:rsid w:val="00393848"/>
    <w:rsid w:val="003B6E07"/>
    <w:rsid w:val="003C7BEF"/>
    <w:rsid w:val="003D4331"/>
    <w:rsid w:val="003E07CD"/>
    <w:rsid w:val="003F7BEF"/>
    <w:rsid w:val="00411F36"/>
    <w:rsid w:val="00440CB5"/>
    <w:rsid w:val="00444503"/>
    <w:rsid w:val="0045007E"/>
    <w:rsid w:val="00450779"/>
    <w:rsid w:val="00481C1B"/>
    <w:rsid w:val="004A0AC7"/>
    <w:rsid w:val="004A0C22"/>
    <w:rsid w:val="004B1587"/>
    <w:rsid w:val="004B50B2"/>
    <w:rsid w:val="004C32E6"/>
    <w:rsid w:val="004D4E26"/>
    <w:rsid w:val="004D7317"/>
    <w:rsid w:val="00506DD7"/>
    <w:rsid w:val="00520612"/>
    <w:rsid w:val="00532862"/>
    <w:rsid w:val="00563A6B"/>
    <w:rsid w:val="005A496C"/>
    <w:rsid w:val="005D124E"/>
    <w:rsid w:val="005D297E"/>
    <w:rsid w:val="00607019"/>
    <w:rsid w:val="0060787D"/>
    <w:rsid w:val="00626967"/>
    <w:rsid w:val="00630BA3"/>
    <w:rsid w:val="006344DB"/>
    <w:rsid w:val="006812CD"/>
    <w:rsid w:val="00691DAA"/>
    <w:rsid w:val="00692261"/>
    <w:rsid w:val="00694E3D"/>
    <w:rsid w:val="006A2FAB"/>
    <w:rsid w:val="006D7724"/>
    <w:rsid w:val="00700B81"/>
    <w:rsid w:val="00711B2A"/>
    <w:rsid w:val="0072062B"/>
    <w:rsid w:val="00733B5C"/>
    <w:rsid w:val="00763B08"/>
    <w:rsid w:val="00763EF0"/>
    <w:rsid w:val="00765253"/>
    <w:rsid w:val="00766213"/>
    <w:rsid w:val="00770EF1"/>
    <w:rsid w:val="00780D16"/>
    <w:rsid w:val="00796CDA"/>
    <w:rsid w:val="007A0105"/>
    <w:rsid w:val="007C7DA8"/>
    <w:rsid w:val="00812EB0"/>
    <w:rsid w:val="00831BAA"/>
    <w:rsid w:val="00852B82"/>
    <w:rsid w:val="00860AE1"/>
    <w:rsid w:val="00867AB9"/>
    <w:rsid w:val="00887188"/>
    <w:rsid w:val="008A779C"/>
    <w:rsid w:val="008E5C2F"/>
    <w:rsid w:val="008F14F3"/>
    <w:rsid w:val="00901734"/>
    <w:rsid w:val="00944A88"/>
    <w:rsid w:val="0094539E"/>
    <w:rsid w:val="00952D8F"/>
    <w:rsid w:val="00964A6B"/>
    <w:rsid w:val="00985B35"/>
    <w:rsid w:val="009A1A66"/>
    <w:rsid w:val="009B7193"/>
    <w:rsid w:val="009B72DB"/>
    <w:rsid w:val="009D4B5F"/>
    <w:rsid w:val="009E484E"/>
    <w:rsid w:val="009F7B79"/>
    <w:rsid w:val="00A2322C"/>
    <w:rsid w:val="00A4376F"/>
    <w:rsid w:val="00A43CA0"/>
    <w:rsid w:val="00A57AB7"/>
    <w:rsid w:val="00AE6763"/>
    <w:rsid w:val="00B25913"/>
    <w:rsid w:val="00B33034"/>
    <w:rsid w:val="00B45C37"/>
    <w:rsid w:val="00B6629C"/>
    <w:rsid w:val="00B919FF"/>
    <w:rsid w:val="00B94A59"/>
    <w:rsid w:val="00BA09A9"/>
    <w:rsid w:val="00BA28E3"/>
    <w:rsid w:val="00BC4AC3"/>
    <w:rsid w:val="00C007D7"/>
    <w:rsid w:val="00C23D2B"/>
    <w:rsid w:val="00C332D7"/>
    <w:rsid w:val="00C50517"/>
    <w:rsid w:val="00C51F4B"/>
    <w:rsid w:val="00C65B9E"/>
    <w:rsid w:val="00C76C12"/>
    <w:rsid w:val="00C93D6D"/>
    <w:rsid w:val="00CE26DC"/>
    <w:rsid w:val="00CE6A79"/>
    <w:rsid w:val="00CF3418"/>
    <w:rsid w:val="00D16438"/>
    <w:rsid w:val="00D22D78"/>
    <w:rsid w:val="00D35885"/>
    <w:rsid w:val="00D62CEF"/>
    <w:rsid w:val="00D7384A"/>
    <w:rsid w:val="00D92917"/>
    <w:rsid w:val="00DB770A"/>
    <w:rsid w:val="00E32F10"/>
    <w:rsid w:val="00E54801"/>
    <w:rsid w:val="00E55E1F"/>
    <w:rsid w:val="00E72D24"/>
    <w:rsid w:val="00E77535"/>
    <w:rsid w:val="00EB5806"/>
    <w:rsid w:val="00ED2245"/>
    <w:rsid w:val="00ED76A0"/>
    <w:rsid w:val="00F11BC5"/>
    <w:rsid w:val="00F601E1"/>
    <w:rsid w:val="00F751B3"/>
    <w:rsid w:val="00F763C8"/>
    <w:rsid w:val="00F9489F"/>
    <w:rsid w:val="00F96117"/>
    <w:rsid w:val="00FD1EBA"/>
    <w:rsid w:val="00FE49D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F48568"/>
  <w15:docId w15:val="{EB7ACB1F-F3AD-40E9-96FA-BB88E87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Heading1Char">
    <w:name w:val="Heading 1 Char"/>
    <w:basedOn w:val="DefaultParagraphFont"/>
    <w:link w:val="Heading1"/>
    <w:rsid w:val="00E77535"/>
    <w:rPr>
      <w:rFonts w:ascii="Calibri" w:hAnsi="Calibri"/>
      <w:b/>
      <w:sz w:val="28"/>
      <w:lang w:eastAsia="en-US"/>
    </w:rPr>
  </w:style>
  <w:style w:type="character" w:customStyle="1" w:styleId="Heading2Char">
    <w:name w:val="Heading 2 Char"/>
    <w:basedOn w:val="DefaultParagraphFont"/>
    <w:link w:val="Heading2"/>
    <w:rsid w:val="00E77535"/>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72301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T17-SG17-190827-TD-PLEN-236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md/T17-SG17-R-0043" TargetMode="External"/><Relationship Id="rId17"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hyperlink" Target="https://www.itu.int/md/T17-SG17-R-00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7-R-0046" TargetMode="External"/><Relationship Id="rId5" Type="http://schemas.openxmlformats.org/officeDocument/2006/relationships/footnotes" Target="footnotes.xml"/><Relationship Id="rId15" Type="http://schemas.openxmlformats.org/officeDocument/2006/relationships/hyperlink" Target="https://www.itu.int/md/T17-SG17-R-0048"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T17-SG17-R-004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262</TotalTime>
  <Pages>6</Pages>
  <Words>1628</Words>
  <Characters>9595</Characters>
  <Application>Microsoft Office Word</Application>
  <DocSecurity>0</DocSecurity>
  <Lines>246</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11080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Braud, Olivia</cp:lastModifiedBy>
  <cp:revision>28</cp:revision>
  <cp:lastPrinted>2018-10-17T10:12:00Z</cp:lastPrinted>
  <dcterms:created xsi:type="dcterms:W3CDTF">2019-09-11T10:32:00Z</dcterms:created>
  <dcterms:modified xsi:type="dcterms:W3CDTF">2019-11-29T08:53:00Z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