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1" w:type="dxa"/>
        <w:jc w:val="center"/>
        <w:tblLayout w:type="fixed"/>
        <w:tblCellMar>
          <w:left w:w="0" w:type="dxa"/>
          <w:right w:w="0" w:type="dxa"/>
        </w:tblCellMar>
        <w:tblLook w:val="0000" w:firstRow="0" w:lastRow="0" w:firstColumn="0" w:lastColumn="0" w:noHBand="0" w:noVBand="0"/>
      </w:tblPr>
      <w:tblGrid>
        <w:gridCol w:w="8"/>
        <w:gridCol w:w="1268"/>
        <w:gridCol w:w="142"/>
        <w:gridCol w:w="567"/>
        <w:gridCol w:w="2835"/>
        <w:gridCol w:w="2977"/>
        <w:gridCol w:w="2126"/>
        <w:gridCol w:w="8"/>
      </w:tblGrid>
      <w:tr w:rsidR="00036F4F" w:rsidRPr="009E00F0" w:rsidTr="00582131">
        <w:trPr>
          <w:gridAfter w:val="1"/>
          <w:wAfter w:w="8" w:type="dxa"/>
          <w:cantSplit/>
          <w:jc w:val="center"/>
        </w:trPr>
        <w:tc>
          <w:tcPr>
            <w:tcW w:w="1418" w:type="dxa"/>
            <w:gridSpan w:val="3"/>
            <w:vAlign w:val="center"/>
          </w:tcPr>
          <w:p w:rsidR="00036F4F" w:rsidRPr="009E00F0" w:rsidRDefault="00036F4F" w:rsidP="002904E2">
            <w:pPr>
              <w:tabs>
                <w:tab w:val="right" w:pos="8732"/>
              </w:tabs>
              <w:spacing w:before="0"/>
              <w:rPr>
                <w:b/>
                <w:bCs/>
                <w:iCs/>
                <w:color w:val="FFFFFF"/>
                <w:sz w:val="30"/>
                <w:szCs w:val="30"/>
                <w:lang w:val="fr-CH"/>
              </w:rPr>
            </w:pPr>
            <w:r w:rsidRPr="009E00F0">
              <w:rPr>
                <w:noProof/>
                <w:lang w:val="en-GB" w:eastAsia="en-GB"/>
              </w:rPr>
              <w:drawing>
                <wp:inline distT="0" distB="0" distL="0" distR="0" wp14:anchorId="14F7886E" wp14:editId="77399F1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rsidR="00036F4F" w:rsidRPr="009E00F0" w:rsidRDefault="00036F4F" w:rsidP="002904E2">
            <w:pPr>
              <w:spacing w:before="0"/>
              <w:rPr>
                <w:rFonts w:cs="Times New Roman Bold"/>
                <w:b/>
                <w:bCs/>
                <w:iCs/>
                <w:smallCaps/>
                <w:sz w:val="34"/>
                <w:szCs w:val="34"/>
                <w:lang w:val="fr-CH"/>
              </w:rPr>
            </w:pPr>
            <w:r w:rsidRPr="009E00F0">
              <w:rPr>
                <w:rFonts w:cs="Times New Roman Bold"/>
                <w:b/>
                <w:bCs/>
                <w:iCs/>
                <w:smallCaps/>
                <w:sz w:val="34"/>
                <w:szCs w:val="34"/>
                <w:lang w:val="fr-CH"/>
              </w:rPr>
              <w:t>Union internationale des télécommunications</w:t>
            </w:r>
          </w:p>
          <w:p w:rsidR="00036F4F" w:rsidRPr="009E00F0" w:rsidRDefault="00036F4F" w:rsidP="002904E2">
            <w:pPr>
              <w:tabs>
                <w:tab w:val="right" w:pos="8732"/>
              </w:tabs>
              <w:spacing w:before="0"/>
              <w:rPr>
                <w:b/>
                <w:bCs/>
                <w:iCs/>
                <w:color w:val="FFFFFF"/>
                <w:sz w:val="30"/>
                <w:szCs w:val="30"/>
                <w:lang w:val="fr-CH"/>
              </w:rPr>
            </w:pPr>
            <w:r w:rsidRPr="009E00F0">
              <w:rPr>
                <w:rFonts w:cs="Times New Roman Bold"/>
                <w:b/>
                <w:bCs/>
                <w:iCs/>
                <w:smallCaps/>
                <w:sz w:val="28"/>
                <w:szCs w:val="28"/>
                <w:lang w:val="fr-CH"/>
              </w:rPr>
              <w:t>B</w:t>
            </w:r>
            <w:r w:rsidRPr="009E00F0">
              <w:rPr>
                <w:b/>
                <w:bCs/>
                <w:iCs/>
                <w:smallCaps/>
                <w:sz w:val="28"/>
                <w:szCs w:val="28"/>
                <w:lang w:val="fr-CH"/>
              </w:rPr>
              <w:t>ureau de la Normalisation des Télécommunications</w:t>
            </w:r>
          </w:p>
        </w:tc>
        <w:tc>
          <w:tcPr>
            <w:tcW w:w="2126" w:type="dxa"/>
            <w:vAlign w:val="center"/>
          </w:tcPr>
          <w:p w:rsidR="00036F4F" w:rsidRPr="009E00F0" w:rsidRDefault="00036F4F" w:rsidP="002904E2">
            <w:pPr>
              <w:spacing w:before="0"/>
              <w:jc w:val="right"/>
              <w:rPr>
                <w:color w:val="FFFFFF"/>
                <w:sz w:val="26"/>
                <w:szCs w:val="26"/>
                <w:lang w:val="fr-CH"/>
              </w:rPr>
            </w:pPr>
          </w:p>
        </w:tc>
      </w:tr>
      <w:tr w:rsidR="00036F4F" w:rsidRPr="009E00F0" w:rsidTr="00AC2323">
        <w:trPr>
          <w:gridBefore w:val="1"/>
          <w:wBefore w:w="8" w:type="dxa"/>
          <w:cantSplit/>
          <w:jc w:val="center"/>
        </w:trPr>
        <w:tc>
          <w:tcPr>
            <w:tcW w:w="1977" w:type="dxa"/>
            <w:gridSpan w:val="3"/>
          </w:tcPr>
          <w:p w:rsidR="00036F4F" w:rsidRPr="009E00F0" w:rsidRDefault="00036F4F" w:rsidP="002904E2">
            <w:pPr>
              <w:tabs>
                <w:tab w:val="left" w:pos="4111"/>
              </w:tabs>
              <w:spacing w:before="10"/>
              <w:ind w:left="57"/>
              <w:rPr>
                <w:lang w:val="fr-CH"/>
              </w:rPr>
            </w:pPr>
          </w:p>
        </w:tc>
        <w:tc>
          <w:tcPr>
            <w:tcW w:w="2835" w:type="dxa"/>
          </w:tcPr>
          <w:p w:rsidR="00036F4F" w:rsidRPr="009E00F0" w:rsidRDefault="00036F4F" w:rsidP="002904E2">
            <w:pPr>
              <w:tabs>
                <w:tab w:val="left" w:pos="4111"/>
              </w:tabs>
              <w:spacing w:before="10"/>
              <w:ind w:left="57"/>
              <w:rPr>
                <w:b/>
                <w:lang w:val="fr-CH"/>
              </w:rPr>
            </w:pPr>
          </w:p>
        </w:tc>
        <w:tc>
          <w:tcPr>
            <w:tcW w:w="5111" w:type="dxa"/>
            <w:gridSpan w:val="3"/>
          </w:tcPr>
          <w:p w:rsidR="00036F4F" w:rsidRPr="009E00F0" w:rsidRDefault="00036F4F" w:rsidP="002904E2">
            <w:pPr>
              <w:tabs>
                <w:tab w:val="clear" w:pos="794"/>
                <w:tab w:val="clear" w:pos="1191"/>
                <w:tab w:val="clear" w:pos="1588"/>
                <w:tab w:val="clear" w:pos="1985"/>
                <w:tab w:val="left" w:pos="284"/>
              </w:tabs>
              <w:spacing w:after="120"/>
              <w:ind w:left="284" w:hanging="227"/>
              <w:rPr>
                <w:lang w:val="fr-CH"/>
              </w:rPr>
            </w:pPr>
            <w:r w:rsidRPr="009E00F0">
              <w:rPr>
                <w:lang w:val="fr-CH"/>
              </w:rPr>
              <w:t>Genève, le</w:t>
            </w:r>
            <w:r w:rsidR="00F576C6" w:rsidRPr="009E00F0">
              <w:rPr>
                <w:lang w:val="fr-CH"/>
              </w:rPr>
              <w:t xml:space="preserve"> </w:t>
            </w:r>
            <w:r w:rsidR="000F053D" w:rsidRPr="009E00F0">
              <w:rPr>
                <w:lang w:val="fr-CH"/>
              </w:rPr>
              <w:t>24 juillet</w:t>
            </w:r>
            <w:r w:rsidR="00F576C6" w:rsidRPr="009E00F0">
              <w:rPr>
                <w:lang w:val="fr-CH"/>
              </w:rPr>
              <w:t xml:space="preserve"> 2019</w:t>
            </w:r>
          </w:p>
        </w:tc>
      </w:tr>
      <w:tr w:rsidR="00036F4F" w:rsidRPr="009E00F0" w:rsidTr="00AC2323">
        <w:trPr>
          <w:gridBefore w:val="1"/>
          <w:wBefore w:w="8" w:type="dxa"/>
          <w:cantSplit/>
          <w:trHeight w:val="340"/>
          <w:jc w:val="center"/>
        </w:trPr>
        <w:tc>
          <w:tcPr>
            <w:tcW w:w="1268" w:type="dxa"/>
          </w:tcPr>
          <w:p w:rsidR="00036F4F" w:rsidRPr="009E00F0" w:rsidRDefault="00036F4F" w:rsidP="002904E2">
            <w:pPr>
              <w:tabs>
                <w:tab w:val="left" w:pos="4111"/>
              </w:tabs>
              <w:spacing w:before="10"/>
              <w:ind w:left="57"/>
              <w:rPr>
                <w:b/>
                <w:bCs/>
                <w:lang w:val="fr-CH"/>
              </w:rPr>
            </w:pPr>
            <w:r w:rsidRPr="009E00F0">
              <w:rPr>
                <w:b/>
                <w:bCs/>
                <w:lang w:val="fr-CH"/>
              </w:rPr>
              <w:t>Réf.:</w:t>
            </w:r>
          </w:p>
          <w:p w:rsidR="00036F4F" w:rsidRPr="009E00F0" w:rsidRDefault="00036F4F" w:rsidP="002904E2">
            <w:pPr>
              <w:tabs>
                <w:tab w:val="left" w:pos="4111"/>
              </w:tabs>
              <w:spacing w:before="10"/>
              <w:ind w:left="57"/>
              <w:rPr>
                <w:b/>
                <w:bCs/>
                <w:lang w:val="fr-CH"/>
              </w:rPr>
            </w:pPr>
          </w:p>
        </w:tc>
        <w:tc>
          <w:tcPr>
            <w:tcW w:w="3544" w:type="dxa"/>
            <w:gridSpan w:val="3"/>
          </w:tcPr>
          <w:p w:rsidR="00036F4F" w:rsidRPr="009E00F0" w:rsidRDefault="00036F4F" w:rsidP="002904E2">
            <w:pPr>
              <w:tabs>
                <w:tab w:val="left" w:pos="4111"/>
              </w:tabs>
              <w:spacing w:before="10"/>
              <w:ind w:left="57"/>
              <w:rPr>
                <w:b/>
                <w:lang w:val="fr-CH"/>
              </w:rPr>
            </w:pPr>
            <w:r w:rsidRPr="009E00F0">
              <w:rPr>
                <w:b/>
                <w:lang w:val="fr-CH"/>
              </w:rPr>
              <w:t xml:space="preserve">Circulaire TSB </w:t>
            </w:r>
            <w:r w:rsidR="000F053D" w:rsidRPr="009E00F0">
              <w:rPr>
                <w:b/>
                <w:lang w:val="fr-CH"/>
              </w:rPr>
              <w:t>189</w:t>
            </w:r>
          </w:p>
          <w:p w:rsidR="00036F4F" w:rsidRPr="009E00F0" w:rsidRDefault="000F053D" w:rsidP="002904E2">
            <w:pPr>
              <w:tabs>
                <w:tab w:val="left" w:pos="4111"/>
              </w:tabs>
              <w:spacing w:before="10"/>
              <w:ind w:left="57"/>
              <w:rPr>
                <w:b/>
                <w:lang w:val="fr-CH"/>
              </w:rPr>
            </w:pPr>
            <w:r w:rsidRPr="009E00F0">
              <w:rPr>
                <w:lang w:val="fr-CH"/>
              </w:rPr>
              <w:t>CE 15</w:t>
            </w:r>
            <w:r w:rsidR="00036F4F" w:rsidRPr="009E00F0">
              <w:rPr>
                <w:lang w:val="fr-CH"/>
              </w:rPr>
              <w:t>/</w:t>
            </w:r>
            <w:r w:rsidRPr="009E00F0">
              <w:rPr>
                <w:lang w:val="fr-CH"/>
              </w:rPr>
              <w:t>HO</w:t>
            </w:r>
          </w:p>
        </w:tc>
        <w:tc>
          <w:tcPr>
            <w:tcW w:w="5111" w:type="dxa"/>
            <w:gridSpan w:val="3"/>
            <w:vMerge w:val="restart"/>
          </w:tcPr>
          <w:p w:rsidR="00036F4F" w:rsidRPr="009E00F0" w:rsidRDefault="0072652B" w:rsidP="002904E2">
            <w:pPr>
              <w:tabs>
                <w:tab w:val="clear" w:pos="794"/>
                <w:tab w:val="clear" w:pos="1191"/>
                <w:tab w:val="clear" w:pos="1588"/>
                <w:tab w:val="clear" w:pos="1985"/>
                <w:tab w:val="left" w:pos="284"/>
              </w:tabs>
              <w:spacing w:before="0"/>
              <w:ind w:left="284" w:hanging="227"/>
              <w:rPr>
                <w:lang w:val="fr-CH"/>
              </w:rPr>
            </w:pPr>
            <w:bookmarkStart w:id="0" w:name="Addressee_F"/>
            <w:bookmarkEnd w:id="0"/>
            <w:r w:rsidRPr="009E00F0">
              <w:rPr>
                <w:lang w:val="fr-CH"/>
              </w:rPr>
              <w:t>–</w:t>
            </w:r>
            <w:r w:rsidR="00036F4F" w:rsidRPr="009E00F0">
              <w:rPr>
                <w:lang w:val="fr-CH"/>
              </w:rPr>
              <w:tab/>
              <w:t xml:space="preserve">Aux administrations des </w:t>
            </w:r>
            <w:r w:rsidR="002904E2" w:rsidRPr="009E00F0">
              <w:rPr>
                <w:lang w:val="fr-CH"/>
              </w:rPr>
              <w:t>É</w:t>
            </w:r>
            <w:r w:rsidRPr="009E00F0">
              <w:rPr>
                <w:lang w:val="fr-CH"/>
              </w:rPr>
              <w:t>tats</w:t>
            </w:r>
            <w:r w:rsidR="00036F4F" w:rsidRPr="009E00F0">
              <w:rPr>
                <w:lang w:val="fr-CH"/>
              </w:rPr>
              <w:t xml:space="preserve"> Membres de l'Union</w:t>
            </w:r>
            <w:r w:rsidR="000F053D" w:rsidRPr="009E00F0">
              <w:rPr>
                <w:lang w:val="fr-CH"/>
              </w:rPr>
              <w:t>;</w:t>
            </w:r>
          </w:p>
          <w:p w:rsidR="000F053D" w:rsidRPr="009E00F0" w:rsidRDefault="000F053D" w:rsidP="002904E2">
            <w:pPr>
              <w:tabs>
                <w:tab w:val="clear" w:pos="794"/>
                <w:tab w:val="clear" w:pos="1191"/>
                <w:tab w:val="clear" w:pos="1588"/>
                <w:tab w:val="clear" w:pos="1985"/>
                <w:tab w:val="left" w:pos="284"/>
              </w:tabs>
              <w:spacing w:before="0"/>
              <w:ind w:left="284" w:hanging="227"/>
              <w:rPr>
                <w:lang w:val="fr-CH"/>
              </w:rPr>
            </w:pPr>
            <w:r w:rsidRPr="009E00F0">
              <w:rPr>
                <w:lang w:val="fr-CH"/>
              </w:rPr>
              <w:t>–</w:t>
            </w:r>
            <w:r w:rsidRPr="009E00F0">
              <w:rPr>
                <w:lang w:val="fr-CH"/>
              </w:rPr>
              <w:tab/>
              <w:t>Aux Membres du Secteur UIT-T</w:t>
            </w:r>
          </w:p>
        </w:tc>
      </w:tr>
      <w:tr w:rsidR="00036F4F" w:rsidRPr="009E00F0" w:rsidTr="00AC2323">
        <w:trPr>
          <w:gridBefore w:val="1"/>
          <w:wBefore w:w="8" w:type="dxa"/>
          <w:cantSplit/>
          <w:jc w:val="center"/>
        </w:trPr>
        <w:tc>
          <w:tcPr>
            <w:tcW w:w="1268" w:type="dxa"/>
          </w:tcPr>
          <w:p w:rsidR="00036F4F" w:rsidRPr="009E00F0" w:rsidRDefault="00036F4F" w:rsidP="002904E2">
            <w:pPr>
              <w:tabs>
                <w:tab w:val="left" w:pos="4111"/>
              </w:tabs>
              <w:spacing w:before="10"/>
              <w:ind w:left="57"/>
              <w:rPr>
                <w:b/>
                <w:bCs/>
                <w:sz w:val="20"/>
                <w:lang w:val="fr-CH"/>
              </w:rPr>
            </w:pPr>
            <w:r w:rsidRPr="009E00F0">
              <w:rPr>
                <w:b/>
                <w:bCs/>
                <w:lang w:val="fr-CH"/>
              </w:rPr>
              <w:t>Tél.:</w:t>
            </w:r>
          </w:p>
        </w:tc>
        <w:tc>
          <w:tcPr>
            <w:tcW w:w="3544" w:type="dxa"/>
            <w:gridSpan w:val="3"/>
          </w:tcPr>
          <w:p w:rsidR="00036F4F" w:rsidRPr="009E00F0" w:rsidRDefault="00036F4F" w:rsidP="002904E2">
            <w:pPr>
              <w:tabs>
                <w:tab w:val="left" w:pos="4111"/>
              </w:tabs>
              <w:spacing w:before="0"/>
              <w:ind w:left="57"/>
              <w:rPr>
                <w:lang w:val="fr-CH"/>
              </w:rPr>
            </w:pPr>
            <w:r w:rsidRPr="009E00F0">
              <w:rPr>
                <w:lang w:val="fr-CH"/>
              </w:rPr>
              <w:t>+41 22 730</w:t>
            </w:r>
            <w:r w:rsidR="00F576C6" w:rsidRPr="009E00F0">
              <w:rPr>
                <w:lang w:val="fr-CH"/>
              </w:rPr>
              <w:t xml:space="preserve"> </w:t>
            </w:r>
            <w:r w:rsidR="000F053D" w:rsidRPr="009E00F0">
              <w:rPr>
                <w:lang w:val="fr-CH"/>
              </w:rPr>
              <w:t>6356</w:t>
            </w:r>
          </w:p>
        </w:tc>
        <w:tc>
          <w:tcPr>
            <w:tcW w:w="5111" w:type="dxa"/>
            <w:gridSpan w:val="3"/>
            <w:vMerge/>
          </w:tcPr>
          <w:p w:rsidR="00036F4F" w:rsidRPr="009E00F0" w:rsidRDefault="00036F4F" w:rsidP="002904E2">
            <w:pPr>
              <w:tabs>
                <w:tab w:val="left" w:pos="4111"/>
              </w:tabs>
              <w:spacing w:before="0"/>
              <w:rPr>
                <w:b/>
                <w:lang w:val="fr-CH"/>
              </w:rPr>
            </w:pPr>
          </w:p>
        </w:tc>
      </w:tr>
      <w:tr w:rsidR="00036F4F" w:rsidRPr="009E00F0" w:rsidTr="00AC2323">
        <w:trPr>
          <w:gridBefore w:val="1"/>
          <w:wBefore w:w="8" w:type="dxa"/>
          <w:cantSplit/>
          <w:jc w:val="center"/>
        </w:trPr>
        <w:tc>
          <w:tcPr>
            <w:tcW w:w="1268" w:type="dxa"/>
          </w:tcPr>
          <w:p w:rsidR="00036F4F" w:rsidRPr="009E00F0" w:rsidRDefault="008B6BAC" w:rsidP="002904E2">
            <w:pPr>
              <w:tabs>
                <w:tab w:val="left" w:pos="4111"/>
              </w:tabs>
              <w:spacing w:before="10"/>
              <w:ind w:left="57"/>
              <w:rPr>
                <w:b/>
                <w:bCs/>
                <w:sz w:val="20"/>
                <w:lang w:val="fr-CH"/>
              </w:rPr>
            </w:pPr>
            <w:r w:rsidRPr="009E00F0">
              <w:rPr>
                <w:b/>
                <w:bCs/>
                <w:lang w:val="fr-CH"/>
              </w:rPr>
              <w:t>Télécopie</w:t>
            </w:r>
            <w:r w:rsidR="00036F4F" w:rsidRPr="009E00F0">
              <w:rPr>
                <w:b/>
                <w:bCs/>
                <w:lang w:val="fr-CH"/>
              </w:rPr>
              <w:t>:</w:t>
            </w:r>
          </w:p>
        </w:tc>
        <w:tc>
          <w:tcPr>
            <w:tcW w:w="3544" w:type="dxa"/>
            <w:gridSpan w:val="3"/>
          </w:tcPr>
          <w:p w:rsidR="00036F4F" w:rsidRPr="009E00F0" w:rsidRDefault="00036F4F" w:rsidP="002904E2">
            <w:pPr>
              <w:tabs>
                <w:tab w:val="left" w:pos="4111"/>
              </w:tabs>
              <w:spacing w:before="0"/>
              <w:ind w:left="57"/>
              <w:rPr>
                <w:lang w:val="fr-CH"/>
              </w:rPr>
            </w:pPr>
            <w:r w:rsidRPr="009E00F0">
              <w:rPr>
                <w:lang w:val="fr-CH"/>
              </w:rPr>
              <w:t>+41 22 730 5853</w:t>
            </w:r>
          </w:p>
        </w:tc>
        <w:tc>
          <w:tcPr>
            <w:tcW w:w="5111" w:type="dxa"/>
            <w:gridSpan w:val="3"/>
            <w:vMerge/>
          </w:tcPr>
          <w:p w:rsidR="00036F4F" w:rsidRPr="009E00F0" w:rsidRDefault="00036F4F" w:rsidP="002904E2">
            <w:pPr>
              <w:tabs>
                <w:tab w:val="left" w:pos="4111"/>
              </w:tabs>
              <w:spacing w:before="0"/>
              <w:rPr>
                <w:b/>
                <w:lang w:val="fr-CH"/>
              </w:rPr>
            </w:pPr>
          </w:p>
        </w:tc>
      </w:tr>
      <w:tr w:rsidR="00517A03" w:rsidRPr="009E00F0" w:rsidTr="00AC2323">
        <w:trPr>
          <w:gridBefore w:val="1"/>
          <w:wBefore w:w="8" w:type="dxa"/>
          <w:cantSplit/>
          <w:jc w:val="center"/>
        </w:trPr>
        <w:tc>
          <w:tcPr>
            <w:tcW w:w="1268" w:type="dxa"/>
          </w:tcPr>
          <w:p w:rsidR="00517A03" w:rsidRPr="009E00F0" w:rsidRDefault="008B6BAC" w:rsidP="002904E2">
            <w:pPr>
              <w:tabs>
                <w:tab w:val="left" w:pos="4111"/>
              </w:tabs>
              <w:spacing w:before="10"/>
              <w:ind w:left="57"/>
              <w:rPr>
                <w:b/>
                <w:bCs/>
                <w:sz w:val="20"/>
                <w:lang w:val="fr-CH"/>
              </w:rPr>
            </w:pPr>
            <w:r w:rsidRPr="009E00F0">
              <w:rPr>
                <w:b/>
                <w:bCs/>
                <w:lang w:val="fr-CH"/>
              </w:rPr>
              <w:t>Courriel</w:t>
            </w:r>
            <w:r w:rsidR="00036F4F" w:rsidRPr="009E00F0">
              <w:rPr>
                <w:b/>
                <w:bCs/>
                <w:lang w:val="fr-CH"/>
              </w:rPr>
              <w:t>:</w:t>
            </w:r>
          </w:p>
        </w:tc>
        <w:tc>
          <w:tcPr>
            <w:tcW w:w="3544" w:type="dxa"/>
            <w:gridSpan w:val="3"/>
          </w:tcPr>
          <w:p w:rsidR="00517A03" w:rsidRPr="009E00F0" w:rsidRDefault="00A24504" w:rsidP="002904E2">
            <w:pPr>
              <w:tabs>
                <w:tab w:val="left" w:pos="4111"/>
              </w:tabs>
              <w:spacing w:before="0"/>
              <w:ind w:left="57"/>
              <w:rPr>
                <w:lang w:val="fr-CH"/>
              </w:rPr>
            </w:pPr>
            <w:hyperlink r:id="rId9" w:history="1">
              <w:r w:rsidR="00D70571" w:rsidRPr="009E00F0">
                <w:rPr>
                  <w:rStyle w:val="Hyperlink"/>
                  <w:lang w:val="fr-CH"/>
                </w:rPr>
                <w:t>tsbsg15@itu.int</w:t>
              </w:r>
            </w:hyperlink>
          </w:p>
        </w:tc>
        <w:tc>
          <w:tcPr>
            <w:tcW w:w="5111" w:type="dxa"/>
            <w:gridSpan w:val="3"/>
          </w:tcPr>
          <w:p w:rsidR="00517A03" w:rsidRPr="009E00F0" w:rsidRDefault="00517A03" w:rsidP="002904E2">
            <w:pPr>
              <w:tabs>
                <w:tab w:val="left" w:pos="4111"/>
              </w:tabs>
              <w:spacing w:before="0"/>
              <w:rPr>
                <w:lang w:val="fr-CH"/>
              </w:rPr>
            </w:pPr>
            <w:r w:rsidRPr="009E00F0">
              <w:rPr>
                <w:b/>
                <w:lang w:val="fr-CH"/>
              </w:rPr>
              <w:t>Copie</w:t>
            </w:r>
            <w:r w:rsidRPr="009E00F0">
              <w:rPr>
                <w:lang w:val="fr-CH"/>
              </w:rPr>
              <w:t>:</w:t>
            </w:r>
          </w:p>
          <w:p w:rsidR="00CF70F5" w:rsidRPr="009E00F0" w:rsidRDefault="00CF70F5" w:rsidP="002904E2">
            <w:pPr>
              <w:tabs>
                <w:tab w:val="clear" w:pos="794"/>
                <w:tab w:val="left" w:pos="226"/>
                <w:tab w:val="left" w:pos="4111"/>
              </w:tabs>
              <w:spacing w:before="0"/>
              <w:ind w:left="226" w:hanging="226"/>
              <w:rPr>
                <w:lang w:val="fr-CH"/>
              </w:rPr>
            </w:pPr>
            <w:r w:rsidRPr="009E00F0">
              <w:rPr>
                <w:lang w:val="fr-CH"/>
              </w:rPr>
              <w:t>–</w:t>
            </w:r>
            <w:r w:rsidRPr="009E00F0">
              <w:rPr>
                <w:lang w:val="fr-CH"/>
              </w:rPr>
              <w:tab/>
              <w:t>Aux Associés de l'UIT-T participant aux tra</w:t>
            </w:r>
            <w:r w:rsidR="000F053D" w:rsidRPr="009E00F0">
              <w:rPr>
                <w:lang w:val="fr-CH"/>
              </w:rPr>
              <w:t>vaux de la Commission d'études 15</w:t>
            </w:r>
            <w:r w:rsidRPr="009E00F0">
              <w:rPr>
                <w:lang w:val="fr-CH"/>
              </w:rPr>
              <w:t>;</w:t>
            </w:r>
          </w:p>
          <w:p w:rsidR="00517A03" w:rsidRPr="009E00F0" w:rsidRDefault="0072652B" w:rsidP="002904E2">
            <w:pPr>
              <w:tabs>
                <w:tab w:val="clear" w:pos="794"/>
                <w:tab w:val="left" w:pos="226"/>
                <w:tab w:val="left" w:pos="4111"/>
              </w:tabs>
              <w:spacing w:before="0"/>
              <w:ind w:left="226" w:hanging="226"/>
              <w:rPr>
                <w:lang w:val="fr-CH"/>
              </w:rPr>
            </w:pPr>
            <w:r w:rsidRPr="009E00F0">
              <w:rPr>
                <w:lang w:val="fr-CH"/>
              </w:rPr>
              <w:t>–</w:t>
            </w:r>
            <w:r w:rsidR="00517A03" w:rsidRPr="009E00F0">
              <w:rPr>
                <w:lang w:val="fr-CH"/>
              </w:rPr>
              <w:tab/>
            </w:r>
            <w:r w:rsidR="000C56BE" w:rsidRPr="009E00F0">
              <w:rPr>
                <w:lang w:val="fr-CH"/>
              </w:rPr>
              <w:t xml:space="preserve">Aux établissements universitaires participant aux </w:t>
            </w:r>
            <w:r w:rsidR="00CF70F5" w:rsidRPr="009E00F0">
              <w:rPr>
                <w:lang w:val="fr-CH"/>
              </w:rPr>
              <w:t>travaux de l'UIT</w:t>
            </w:r>
            <w:r w:rsidR="000C56BE" w:rsidRPr="009E00F0">
              <w:rPr>
                <w:lang w:val="fr-CH"/>
              </w:rPr>
              <w:t>;</w:t>
            </w:r>
          </w:p>
          <w:p w:rsidR="00517A03" w:rsidRPr="009E00F0" w:rsidRDefault="0072652B" w:rsidP="002904E2">
            <w:pPr>
              <w:tabs>
                <w:tab w:val="clear" w:pos="794"/>
                <w:tab w:val="left" w:pos="226"/>
                <w:tab w:val="left" w:pos="4111"/>
              </w:tabs>
              <w:spacing w:before="0"/>
              <w:ind w:left="226" w:hanging="226"/>
              <w:rPr>
                <w:lang w:val="fr-CH"/>
              </w:rPr>
            </w:pPr>
            <w:r w:rsidRPr="009E00F0">
              <w:rPr>
                <w:lang w:val="fr-CH"/>
              </w:rPr>
              <w:t>–</w:t>
            </w:r>
            <w:r w:rsidR="00517A03" w:rsidRPr="009E00F0">
              <w:rPr>
                <w:lang w:val="fr-CH"/>
              </w:rPr>
              <w:tab/>
              <w:t>Aux Président et Vice-Présidents de la Commission d</w:t>
            </w:r>
            <w:r w:rsidR="00167472" w:rsidRPr="009E00F0">
              <w:rPr>
                <w:lang w:val="fr-CH"/>
              </w:rPr>
              <w:t>'</w:t>
            </w:r>
            <w:r w:rsidR="00F576C6" w:rsidRPr="009E00F0">
              <w:rPr>
                <w:lang w:val="fr-CH"/>
              </w:rPr>
              <w:t xml:space="preserve">études </w:t>
            </w:r>
            <w:r w:rsidR="008B6BAC" w:rsidRPr="009E00F0">
              <w:rPr>
                <w:lang w:val="fr-CH"/>
              </w:rPr>
              <w:t>15</w:t>
            </w:r>
            <w:r w:rsidR="00F576C6" w:rsidRPr="009E00F0">
              <w:rPr>
                <w:lang w:val="fr-CH"/>
              </w:rPr>
              <w:t xml:space="preserve"> de l'UIT-T</w:t>
            </w:r>
            <w:r w:rsidR="00517A03" w:rsidRPr="009E00F0">
              <w:rPr>
                <w:lang w:val="fr-CH"/>
              </w:rPr>
              <w:t>;</w:t>
            </w:r>
          </w:p>
          <w:p w:rsidR="00517A03" w:rsidRPr="009E00F0" w:rsidRDefault="0072652B" w:rsidP="00582131">
            <w:pPr>
              <w:tabs>
                <w:tab w:val="clear" w:pos="794"/>
                <w:tab w:val="left" w:pos="226"/>
                <w:tab w:val="left" w:pos="4111"/>
              </w:tabs>
              <w:spacing w:before="0"/>
              <w:ind w:left="226" w:hanging="226"/>
              <w:rPr>
                <w:lang w:val="fr-CH"/>
              </w:rPr>
            </w:pPr>
            <w:r w:rsidRPr="009E00F0">
              <w:rPr>
                <w:lang w:val="fr-CH"/>
              </w:rPr>
              <w:t>–</w:t>
            </w:r>
            <w:r w:rsidR="00517A03" w:rsidRPr="009E00F0">
              <w:rPr>
                <w:lang w:val="fr-CH"/>
              </w:rPr>
              <w:tab/>
            </w:r>
            <w:r w:rsidR="003F54A3" w:rsidRPr="009E00F0">
              <w:rPr>
                <w:lang w:val="fr-CH"/>
              </w:rPr>
              <w:t>A</w:t>
            </w:r>
            <w:r w:rsidR="00603470" w:rsidRPr="009E00F0">
              <w:rPr>
                <w:lang w:val="fr-CH"/>
              </w:rPr>
              <w:t xml:space="preserve"> la Directrice </w:t>
            </w:r>
            <w:r w:rsidR="00517A03" w:rsidRPr="009E00F0">
              <w:rPr>
                <w:lang w:val="fr-CH"/>
              </w:rPr>
              <w:t>du Bureau de développement des</w:t>
            </w:r>
            <w:r w:rsidR="00582131">
              <w:rPr>
                <w:lang w:val="fr-CH"/>
              </w:rPr>
              <w:t> </w:t>
            </w:r>
            <w:r w:rsidR="00517A03" w:rsidRPr="009E00F0">
              <w:rPr>
                <w:lang w:val="fr-CH"/>
              </w:rPr>
              <w:t>télécommunications;</w:t>
            </w:r>
          </w:p>
          <w:p w:rsidR="00517A03" w:rsidRPr="009E00F0" w:rsidRDefault="0072652B" w:rsidP="002904E2">
            <w:pPr>
              <w:tabs>
                <w:tab w:val="clear" w:pos="794"/>
                <w:tab w:val="left" w:pos="226"/>
                <w:tab w:val="left" w:pos="4111"/>
              </w:tabs>
              <w:spacing w:before="0"/>
              <w:ind w:left="226" w:hanging="226"/>
              <w:rPr>
                <w:lang w:val="fr-CH"/>
              </w:rPr>
            </w:pPr>
            <w:r w:rsidRPr="009E00F0">
              <w:rPr>
                <w:lang w:val="fr-CH"/>
              </w:rPr>
              <w:t>–</w:t>
            </w:r>
            <w:r w:rsidR="00517A03" w:rsidRPr="009E00F0">
              <w:rPr>
                <w:lang w:val="fr-CH"/>
              </w:rPr>
              <w:tab/>
              <w:t>Au Directeur du Bureau des</w:t>
            </w:r>
            <w:r w:rsidR="003F54A3" w:rsidRPr="009E00F0">
              <w:rPr>
                <w:lang w:val="fr-CH"/>
              </w:rPr>
              <w:t xml:space="preserve"> </w:t>
            </w:r>
            <w:r w:rsidR="00517A03" w:rsidRPr="009E00F0">
              <w:rPr>
                <w:lang w:val="fr-CH"/>
              </w:rPr>
              <w:t>radiocommunications</w:t>
            </w:r>
          </w:p>
        </w:tc>
      </w:tr>
      <w:tr w:rsidR="00517A03" w:rsidRPr="009E00F0" w:rsidTr="00582131">
        <w:trPr>
          <w:gridBefore w:val="1"/>
          <w:gridAfter w:val="1"/>
          <w:wBefore w:w="8" w:type="dxa"/>
          <w:wAfter w:w="8" w:type="dxa"/>
          <w:cantSplit/>
          <w:trHeight w:val="680"/>
          <w:jc w:val="center"/>
        </w:trPr>
        <w:tc>
          <w:tcPr>
            <w:tcW w:w="1268" w:type="dxa"/>
          </w:tcPr>
          <w:p w:rsidR="00517A03" w:rsidRPr="009E00F0" w:rsidRDefault="00517A03" w:rsidP="002904E2">
            <w:pPr>
              <w:tabs>
                <w:tab w:val="left" w:pos="4111"/>
              </w:tabs>
              <w:spacing w:before="240"/>
              <w:ind w:left="57"/>
              <w:rPr>
                <w:b/>
                <w:bCs/>
                <w:szCs w:val="24"/>
                <w:lang w:val="fr-CH"/>
              </w:rPr>
            </w:pPr>
            <w:r w:rsidRPr="009E00F0">
              <w:rPr>
                <w:b/>
                <w:bCs/>
                <w:szCs w:val="24"/>
                <w:lang w:val="fr-CH"/>
              </w:rPr>
              <w:t>Objet:</w:t>
            </w:r>
          </w:p>
        </w:tc>
        <w:tc>
          <w:tcPr>
            <w:tcW w:w="8647" w:type="dxa"/>
            <w:gridSpan w:val="5"/>
          </w:tcPr>
          <w:p w:rsidR="00517A03" w:rsidRPr="009E00F0" w:rsidRDefault="00F576C6" w:rsidP="002904E2">
            <w:pPr>
              <w:tabs>
                <w:tab w:val="left" w:pos="4111"/>
              </w:tabs>
              <w:spacing w:before="240"/>
              <w:ind w:left="57"/>
              <w:rPr>
                <w:b/>
                <w:bCs/>
                <w:szCs w:val="24"/>
                <w:lang w:val="fr-CH"/>
              </w:rPr>
            </w:pPr>
            <w:r w:rsidRPr="009E00F0">
              <w:rPr>
                <w:b/>
                <w:bCs/>
                <w:szCs w:val="24"/>
                <w:lang w:val="fr-CH"/>
              </w:rPr>
              <w:t>Proposition de suppression de</w:t>
            </w:r>
            <w:r w:rsidR="000F053D" w:rsidRPr="009E00F0">
              <w:rPr>
                <w:b/>
                <w:bCs/>
                <w:szCs w:val="24"/>
                <w:lang w:val="fr-CH"/>
              </w:rPr>
              <w:t>s</w:t>
            </w:r>
            <w:r w:rsidRPr="009E00F0">
              <w:rPr>
                <w:b/>
                <w:bCs/>
                <w:szCs w:val="24"/>
                <w:lang w:val="fr-CH"/>
              </w:rPr>
              <w:t xml:space="preserve"> Recommandation</w:t>
            </w:r>
            <w:r w:rsidR="000F053D" w:rsidRPr="009E00F0">
              <w:rPr>
                <w:b/>
                <w:bCs/>
                <w:szCs w:val="24"/>
                <w:lang w:val="fr-CH"/>
              </w:rPr>
              <w:t>s</w:t>
            </w:r>
            <w:r w:rsidRPr="009E00F0">
              <w:rPr>
                <w:b/>
                <w:bCs/>
                <w:szCs w:val="24"/>
                <w:lang w:val="fr-CH"/>
              </w:rPr>
              <w:t xml:space="preserve"> UIT-T </w:t>
            </w:r>
            <w:r w:rsidR="000F053D" w:rsidRPr="009E00F0">
              <w:rPr>
                <w:b/>
                <w:bCs/>
                <w:szCs w:val="24"/>
                <w:lang w:val="fr-CH"/>
              </w:rPr>
              <w:t>L.125/L.14 et L.255/L.17</w:t>
            </w:r>
            <w:r w:rsidRPr="009E00F0">
              <w:rPr>
                <w:b/>
                <w:bCs/>
                <w:szCs w:val="24"/>
                <w:lang w:val="fr-CH"/>
              </w:rPr>
              <w:t xml:space="preserve"> conformément </w:t>
            </w:r>
            <w:r w:rsidR="003F54A3" w:rsidRPr="009E00F0">
              <w:rPr>
                <w:b/>
                <w:bCs/>
                <w:szCs w:val="24"/>
                <w:lang w:val="fr-CH"/>
              </w:rPr>
              <w:t>à la </w:t>
            </w:r>
            <w:r w:rsidRPr="009E00F0">
              <w:rPr>
                <w:b/>
                <w:bCs/>
                <w:szCs w:val="24"/>
                <w:lang w:val="fr-CH"/>
              </w:rPr>
              <w:t>décision p</w:t>
            </w:r>
            <w:r w:rsidR="000F053D" w:rsidRPr="009E00F0">
              <w:rPr>
                <w:b/>
                <w:bCs/>
                <w:szCs w:val="24"/>
                <w:lang w:val="fr-CH"/>
              </w:rPr>
              <w:t>rise par la Commission d'études 15</w:t>
            </w:r>
            <w:r w:rsidRPr="009E00F0">
              <w:rPr>
                <w:b/>
                <w:bCs/>
                <w:szCs w:val="24"/>
                <w:lang w:val="fr-CH"/>
              </w:rPr>
              <w:t xml:space="preserve"> de l'UIT-T à sa réunion </w:t>
            </w:r>
            <w:r w:rsidR="00551793" w:rsidRPr="009E00F0">
              <w:rPr>
                <w:b/>
                <w:bCs/>
                <w:szCs w:val="24"/>
                <w:lang w:val="fr-CH"/>
              </w:rPr>
              <w:t xml:space="preserve">tenue </w:t>
            </w:r>
            <w:r w:rsidR="003F54A3" w:rsidRPr="009E00F0">
              <w:rPr>
                <w:b/>
                <w:bCs/>
                <w:szCs w:val="24"/>
                <w:lang w:val="fr-CH"/>
              </w:rPr>
              <w:t>du </w:t>
            </w:r>
            <w:r w:rsidRPr="009E00F0">
              <w:rPr>
                <w:b/>
                <w:bCs/>
                <w:szCs w:val="24"/>
                <w:lang w:val="fr-CH"/>
              </w:rPr>
              <w:t>1</w:t>
            </w:r>
            <w:r w:rsidR="000F053D" w:rsidRPr="009E00F0">
              <w:rPr>
                <w:b/>
                <w:bCs/>
                <w:szCs w:val="24"/>
                <w:lang w:val="fr-CH"/>
              </w:rPr>
              <w:t>er</w:t>
            </w:r>
            <w:r w:rsidR="003F54A3" w:rsidRPr="009E00F0">
              <w:rPr>
                <w:b/>
                <w:bCs/>
                <w:szCs w:val="24"/>
                <w:lang w:val="fr-CH"/>
              </w:rPr>
              <w:t> au </w:t>
            </w:r>
            <w:r w:rsidR="000F053D" w:rsidRPr="009E00F0">
              <w:rPr>
                <w:b/>
                <w:bCs/>
                <w:szCs w:val="24"/>
                <w:lang w:val="fr-CH"/>
              </w:rPr>
              <w:t>12</w:t>
            </w:r>
            <w:r w:rsidR="003F54A3" w:rsidRPr="009E00F0">
              <w:rPr>
                <w:b/>
                <w:bCs/>
                <w:szCs w:val="24"/>
                <w:lang w:val="fr-CH"/>
              </w:rPr>
              <w:t> </w:t>
            </w:r>
            <w:r w:rsidR="000F053D" w:rsidRPr="009E00F0">
              <w:rPr>
                <w:b/>
                <w:bCs/>
                <w:szCs w:val="24"/>
                <w:lang w:val="fr-CH"/>
              </w:rPr>
              <w:t>juillet</w:t>
            </w:r>
            <w:r w:rsidRPr="009E00F0">
              <w:rPr>
                <w:b/>
                <w:bCs/>
                <w:szCs w:val="24"/>
                <w:lang w:val="fr-CH"/>
              </w:rPr>
              <w:t xml:space="preserve"> 2019</w:t>
            </w:r>
          </w:p>
        </w:tc>
      </w:tr>
    </w:tbl>
    <w:p w:rsidR="00517A03" w:rsidRPr="009E00F0" w:rsidRDefault="00517A03" w:rsidP="002904E2">
      <w:pPr>
        <w:spacing w:before="360"/>
        <w:rPr>
          <w:lang w:val="fr-CH"/>
        </w:rPr>
      </w:pPr>
      <w:bookmarkStart w:id="1" w:name="StartTyping_F"/>
      <w:bookmarkEnd w:id="1"/>
      <w:r w:rsidRPr="009E00F0">
        <w:rPr>
          <w:lang w:val="fr-CH"/>
        </w:rPr>
        <w:t>Madame, Monsieur,</w:t>
      </w:r>
    </w:p>
    <w:p w:rsidR="00FA3BD5" w:rsidRPr="009E00F0" w:rsidRDefault="00FA3BD5" w:rsidP="002904E2">
      <w:pPr>
        <w:rPr>
          <w:lang w:val="fr-CH"/>
        </w:rPr>
      </w:pPr>
      <w:r w:rsidRPr="009E00F0">
        <w:rPr>
          <w:bCs/>
          <w:lang w:val="fr-CH"/>
        </w:rPr>
        <w:t>1</w:t>
      </w:r>
      <w:r w:rsidR="002904E2" w:rsidRPr="009E00F0">
        <w:rPr>
          <w:lang w:val="fr-CH"/>
        </w:rPr>
        <w:tab/>
        <w:t>À</w:t>
      </w:r>
      <w:r w:rsidRPr="009E00F0">
        <w:rPr>
          <w:lang w:val="fr-CH"/>
        </w:rPr>
        <w:t xml:space="preserve"> la demande du Président de la Commission d'études </w:t>
      </w:r>
      <w:r w:rsidR="000F053D" w:rsidRPr="009E00F0">
        <w:rPr>
          <w:lang w:val="fr-CH"/>
        </w:rPr>
        <w:t>15</w:t>
      </w:r>
      <w:r w:rsidRPr="009E00F0">
        <w:rPr>
          <w:lang w:val="fr-CH"/>
        </w:rPr>
        <w:t xml:space="preserve"> (</w:t>
      </w:r>
      <w:r w:rsidR="000F053D" w:rsidRPr="009E00F0">
        <w:rPr>
          <w:rFonts w:cs="Segoe UI"/>
          <w:i/>
          <w:iCs/>
          <w:lang w:val="fr-CH"/>
        </w:rPr>
        <w:t>Réseaux, technologies et infrastructures destinés au transport, à l'accès et aux installations domestiques</w:t>
      </w:r>
      <w:r w:rsidRPr="009E00F0">
        <w:rPr>
          <w:lang w:val="fr-CH"/>
        </w:rPr>
        <w:t xml:space="preserve">), j'ai l'honneur de vous informer que ladite Commission d'études, à sa réunion </w:t>
      </w:r>
      <w:r w:rsidR="00551793" w:rsidRPr="009E00F0">
        <w:rPr>
          <w:lang w:val="fr-CH"/>
        </w:rPr>
        <w:t xml:space="preserve">tenue </w:t>
      </w:r>
      <w:r w:rsidRPr="009E00F0">
        <w:rPr>
          <w:lang w:val="fr-CH"/>
        </w:rPr>
        <w:t>du 1</w:t>
      </w:r>
      <w:r w:rsidR="000F053D" w:rsidRPr="009E00F0">
        <w:rPr>
          <w:lang w:val="fr-CH"/>
        </w:rPr>
        <w:t>er</w:t>
      </w:r>
      <w:r w:rsidRPr="009E00F0">
        <w:rPr>
          <w:lang w:val="fr-CH"/>
        </w:rPr>
        <w:t> au </w:t>
      </w:r>
      <w:r w:rsidR="000F053D" w:rsidRPr="009E00F0">
        <w:rPr>
          <w:lang w:val="fr-CH"/>
        </w:rPr>
        <w:t>1</w:t>
      </w:r>
      <w:r w:rsidR="008B6BAC" w:rsidRPr="009E00F0">
        <w:rPr>
          <w:lang w:val="fr-CH"/>
        </w:rPr>
        <w:t>2</w:t>
      </w:r>
      <w:r w:rsidRPr="009E00F0">
        <w:rPr>
          <w:lang w:val="fr-CH"/>
        </w:rPr>
        <w:t xml:space="preserve"> </w:t>
      </w:r>
      <w:r w:rsidR="000F053D" w:rsidRPr="009E00F0">
        <w:rPr>
          <w:lang w:val="fr-CH"/>
        </w:rPr>
        <w:t>juillet</w:t>
      </w:r>
      <w:r w:rsidRPr="009E00F0">
        <w:rPr>
          <w:lang w:val="fr-CH"/>
        </w:rPr>
        <w:t xml:space="preserve"> 2019, a décidé de supprimer l</w:t>
      </w:r>
      <w:r w:rsidR="000F053D" w:rsidRPr="009E00F0">
        <w:rPr>
          <w:lang w:val="fr-CH"/>
        </w:rPr>
        <w:t>es</w:t>
      </w:r>
      <w:r w:rsidRPr="009E00F0">
        <w:rPr>
          <w:lang w:val="fr-CH"/>
        </w:rPr>
        <w:t xml:space="preserve"> Recommandation</w:t>
      </w:r>
      <w:r w:rsidR="000F053D" w:rsidRPr="009E00F0">
        <w:rPr>
          <w:lang w:val="fr-CH"/>
        </w:rPr>
        <w:t>s</w:t>
      </w:r>
      <w:r w:rsidRPr="009E00F0">
        <w:rPr>
          <w:lang w:val="fr-CH"/>
        </w:rPr>
        <w:t xml:space="preserve"> UIT-T </w:t>
      </w:r>
      <w:r w:rsidR="000F053D" w:rsidRPr="009E00F0">
        <w:rPr>
          <w:lang w:val="fr-CH"/>
        </w:rPr>
        <w:t>L.125/L.14 et L.255/L.17</w:t>
      </w:r>
      <w:r w:rsidRPr="009E00F0">
        <w:rPr>
          <w:lang w:val="fr-CH"/>
        </w:rPr>
        <w:t>, conformément aux dispositions du § 9.8.2 de la Section 9 de la Résolution 1 (</w:t>
      </w:r>
      <w:proofErr w:type="spellStart"/>
      <w:r w:rsidRPr="009E00F0">
        <w:rPr>
          <w:lang w:val="fr-CH"/>
        </w:rPr>
        <w:t>Rév</w:t>
      </w:r>
      <w:proofErr w:type="spellEnd"/>
      <w:r w:rsidRPr="009E00F0">
        <w:rPr>
          <w:lang w:val="fr-CH"/>
        </w:rPr>
        <w:t>. Hammamet, 2016)</w:t>
      </w:r>
      <w:r w:rsidR="008B6BAC" w:rsidRPr="009E00F0">
        <w:rPr>
          <w:lang w:val="fr-CH"/>
        </w:rPr>
        <w:t xml:space="preserve"> de l'AMNT</w:t>
      </w:r>
      <w:r w:rsidRPr="009E00F0">
        <w:rPr>
          <w:lang w:val="fr-CH"/>
        </w:rPr>
        <w:t xml:space="preserve">. </w:t>
      </w:r>
      <w:r w:rsidR="000F053D" w:rsidRPr="009E00F0">
        <w:rPr>
          <w:lang w:val="fr-CH"/>
        </w:rPr>
        <w:t>Vingt</w:t>
      </w:r>
      <w:r w:rsidR="000F053D" w:rsidRPr="009E00F0">
        <w:rPr>
          <w:lang w:val="fr-CH"/>
        </w:rPr>
        <w:noBreakHyphen/>
        <w:t>cinq</w:t>
      </w:r>
      <w:r w:rsidRPr="009E00F0">
        <w:rPr>
          <w:lang w:val="fr-CH"/>
        </w:rPr>
        <w:t xml:space="preserve"> </w:t>
      </w:r>
      <w:r w:rsidR="000F053D" w:rsidRPr="009E00F0">
        <w:rPr>
          <w:lang w:val="fr-CH"/>
        </w:rPr>
        <w:t>États</w:t>
      </w:r>
      <w:r w:rsidRPr="009E00F0">
        <w:rPr>
          <w:lang w:val="fr-CH"/>
        </w:rPr>
        <w:t xml:space="preserve"> Membres et </w:t>
      </w:r>
      <w:r w:rsidR="000F053D" w:rsidRPr="009E00F0">
        <w:rPr>
          <w:lang w:val="fr-CH"/>
        </w:rPr>
        <w:t>46</w:t>
      </w:r>
      <w:r w:rsidRPr="009E00F0">
        <w:rPr>
          <w:lang w:val="fr-CH"/>
        </w:rPr>
        <w:t xml:space="preserve"> Membres d</w:t>
      </w:r>
      <w:r w:rsidR="008B6BAC" w:rsidRPr="009E00F0">
        <w:rPr>
          <w:lang w:val="fr-CH"/>
        </w:rPr>
        <w:t>u</w:t>
      </w:r>
      <w:r w:rsidRPr="009E00F0">
        <w:rPr>
          <w:lang w:val="fr-CH"/>
        </w:rPr>
        <w:t xml:space="preserve"> Secteur ont participé à la réunion et aucune objection n'a </w:t>
      </w:r>
      <w:r w:rsidR="002904E2" w:rsidRPr="009E00F0">
        <w:rPr>
          <w:lang w:val="fr-CH"/>
        </w:rPr>
        <w:t>été émise contre cette décision</w:t>
      </w:r>
      <w:r w:rsidRPr="009E00F0">
        <w:rPr>
          <w:lang w:val="fr-CH"/>
        </w:rPr>
        <w:t>.</w:t>
      </w:r>
    </w:p>
    <w:p w:rsidR="00FA3BD5" w:rsidRPr="009E00F0" w:rsidRDefault="00FA3BD5" w:rsidP="002904E2">
      <w:pPr>
        <w:rPr>
          <w:lang w:val="fr-CH"/>
        </w:rPr>
      </w:pPr>
      <w:r w:rsidRPr="009E00F0">
        <w:rPr>
          <w:bCs/>
          <w:lang w:val="fr-CH"/>
        </w:rPr>
        <w:t>2</w:t>
      </w:r>
      <w:r w:rsidRPr="009E00F0">
        <w:rPr>
          <w:lang w:val="fr-CH"/>
        </w:rPr>
        <w:tab/>
        <w:t>L'</w:t>
      </w:r>
      <w:r w:rsidRPr="009E00F0">
        <w:rPr>
          <w:b/>
          <w:lang w:val="fr-CH"/>
        </w:rPr>
        <w:t>Annexe 1</w:t>
      </w:r>
      <w:r w:rsidRPr="009E00F0">
        <w:rPr>
          <w:lang w:val="fr-CH"/>
        </w:rPr>
        <w:t xml:space="preserve"> donne des informations sur cette décision et contient un résumé explicatif des motifs de la suppression.</w:t>
      </w:r>
    </w:p>
    <w:p w:rsidR="00FA3BD5" w:rsidRPr="009E00F0" w:rsidRDefault="00FA3BD5" w:rsidP="002904E2">
      <w:pPr>
        <w:rPr>
          <w:lang w:val="fr-CH"/>
        </w:rPr>
      </w:pPr>
      <w:r w:rsidRPr="009E00F0">
        <w:rPr>
          <w:bCs/>
          <w:lang w:val="fr-CH"/>
        </w:rPr>
        <w:t>3</w:t>
      </w:r>
      <w:r w:rsidRPr="009E00F0">
        <w:rPr>
          <w:lang w:val="fr-CH"/>
        </w:rPr>
        <w:tab/>
        <w:t>Eu égard aux dispositions de la Section 9 de la Résolution 1, je vous serais reconnaissant de bien vouloir m'informer</w:t>
      </w:r>
      <w:r w:rsidR="008B6BAC" w:rsidRPr="009E00F0">
        <w:rPr>
          <w:lang w:val="fr-CH"/>
        </w:rPr>
        <w:t>,</w:t>
      </w:r>
      <w:r w:rsidRPr="009E00F0">
        <w:rPr>
          <w:lang w:val="fr-CH"/>
        </w:rPr>
        <w:t xml:space="preserve"> d'ici </w:t>
      </w:r>
      <w:r w:rsidRPr="009E00F0">
        <w:rPr>
          <w:b/>
          <w:lang w:val="fr-CH"/>
        </w:rPr>
        <w:t xml:space="preserve">au </w:t>
      </w:r>
      <w:r w:rsidR="000F053D" w:rsidRPr="009E00F0">
        <w:rPr>
          <w:b/>
          <w:lang w:val="fr-CH"/>
        </w:rPr>
        <w:t>24 octobre</w:t>
      </w:r>
      <w:r w:rsidRPr="009E00F0">
        <w:rPr>
          <w:b/>
          <w:lang w:val="fr-CH"/>
        </w:rPr>
        <w:t xml:space="preserve"> 2019</w:t>
      </w:r>
      <w:r w:rsidR="008B6BAC" w:rsidRPr="009E00F0">
        <w:rPr>
          <w:bCs/>
          <w:lang w:val="fr-CH"/>
        </w:rPr>
        <w:t xml:space="preserve"> </w:t>
      </w:r>
      <w:r w:rsidRPr="009E00F0">
        <w:rPr>
          <w:lang w:val="fr-CH"/>
        </w:rPr>
        <w:t>à 24 heures UTC au plus tard, si votre Administration/organisation approuve ou rejette cette suppression.</w:t>
      </w:r>
    </w:p>
    <w:p w:rsidR="00FA3BD5" w:rsidRPr="009E00F0" w:rsidRDefault="00FA3BD5" w:rsidP="002904E2">
      <w:pPr>
        <w:rPr>
          <w:lang w:val="fr-CH"/>
        </w:rPr>
      </w:pPr>
      <w:r w:rsidRPr="009E00F0">
        <w:rPr>
          <w:lang w:val="fr-CH"/>
        </w:rPr>
        <w:t>Au cas o</w:t>
      </w:r>
      <w:r w:rsidR="009E00F0">
        <w:rPr>
          <w:lang w:val="fr-CH"/>
        </w:rPr>
        <w:t>ù des É</w:t>
      </w:r>
      <w:r w:rsidRPr="009E00F0">
        <w:rPr>
          <w:lang w:val="fr-CH"/>
        </w:rPr>
        <w:t xml:space="preserve">tats Membres ou des Membres du Secteur estimeraient que la suppression ne doit </w:t>
      </w:r>
      <w:proofErr w:type="gramStart"/>
      <w:r w:rsidRPr="009E00F0">
        <w:rPr>
          <w:lang w:val="fr-CH"/>
        </w:rPr>
        <w:t>pas</w:t>
      </w:r>
      <w:proofErr w:type="gramEnd"/>
      <w:r w:rsidRPr="009E00F0">
        <w:rPr>
          <w:lang w:val="fr-CH"/>
        </w:rPr>
        <w:t xml:space="preserve"> être acceptée, ils devraient indiquer le motif de leur désaccord et la question serait renvoyée à la Commission d'études.</w:t>
      </w:r>
    </w:p>
    <w:p w:rsidR="003F54A3" w:rsidRPr="009E00F0" w:rsidRDefault="003F54A3" w:rsidP="002904E2">
      <w:pPr>
        <w:rPr>
          <w:lang w:val="fr-CH"/>
        </w:rPr>
      </w:pPr>
      <w:r w:rsidRPr="009E00F0">
        <w:rPr>
          <w:lang w:val="fr-CH"/>
        </w:rPr>
        <w:br w:type="page"/>
      </w:r>
    </w:p>
    <w:p w:rsidR="00F576C6" w:rsidRPr="009E00F0" w:rsidRDefault="00F576C6" w:rsidP="002904E2">
      <w:pPr>
        <w:rPr>
          <w:lang w:val="fr-CH"/>
        </w:rPr>
      </w:pPr>
      <w:r w:rsidRPr="009E00F0">
        <w:rPr>
          <w:lang w:val="fr-CH"/>
        </w:rPr>
        <w:lastRenderedPageBreak/>
        <w:t>4</w:t>
      </w:r>
      <w:r w:rsidRPr="009E00F0">
        <w:rPr>
          <w:lang w:val="fr-CH"/>
        </w:rPr>
        <w:tab/>
      </w:r>
      <w:r w:rsidR="00050865" w:rsidRPr="009E00F0">
        <w:rPr>
          <w:lang w:val="fr-CH"/>
        </w:rPr>
        <w:t>Apr</w:t>
      </w:r>
      <w:r w:rsidR="00CF70F5" w:rsidRPr="009E00F0">
        <w:rPr>
          <w:lang w:val="fr-CH"/>
        </w:rPr>
        <w:t>ès la date limite susmentionnée</w:t>
      </w:r>
      <w:r w:rsidR="00050865" w:rsidRPr="009E00F0">
        <w:rPr>
          <w:lang w:val="fr-CH"/>
        </w:rPr>
        <w:t xml:space="preserve"> </w:t>
      </w:r>
      <w:r w:rsidR="00CF70F5" w:rsidRPr="009E00F0">
        <w:rPr>
          <w:lang w:val="fr-CH"/>
        </w:rPr>
        <w:t>(</w:t>
      </w:r>
      <w:r w:rsidR="000F053D" w:rsidRPr="009E00F0">
        <w:rPr>
          <w:b/>
          <w:bCs/>
          <w:lang w:val="fr-CH"/>
        </w:rPr>
        <w:t>24 octobre</w:t>
      </w:r>
      <w:r w:rsidR="00050865" w:rsidRPr="009E00F0">
        <w:rPr>
          <w:b/>
          <w:bCs/>
          <w:lang w:val="fr-CH"/>
        </w:rPr>
        <w:t xml:space="preserve"> 2019</w:t>
      </w:r>
      <w:r w:rsidR="00CF70F5" w:rsidRPr="009E00F0">
        <w:rPr>
          <w:lang w:val="fr-CH"/>
        </w:rPr>
        <w:t>)</w:t>
      </w:r>
      <w:r w:rsidR="00050865" w:rsidRPr="009E00F0">
        <w:rPr>
          <w:lang w:val="fr-CH"/>
        </w:rPr>
        <w:t xml:space="preserve">, le Directeur du TSB fera connaître, dans une </w:t>
      </w:r>
      <w:r w:rsidR="008B6BAC" w:rsidRPr="009E00F0">
        <w:rPr>
          <w:lang w:val="fr-CH"/>
        </w:rPr>
        <w:t>C</w:t>
      </w:r>
      <w:r w:rsidR="00050865" w:rsidRPr="009E00F0">
        <w:rPr>
          <w:lang w:val="fr-CH"/>
        </w:rPr>
        <w:t xml:space="preserve">irculaire, le résultat de la consultation. Cette information sera également publiée dans le Bulletin d'exploitation </w:t>
      </w:r>
      <w:bookmarkStart w:id="2" w:name="_GoBack"/>
      <w:bookmarkEnd w:id="2"/>
      <w:r w:rsidR="00050865" w:rsidRPr="009E00F0">
        <w:rPr>
          <w:lang w:val="fr-CH"/>
        </w:rPr>
        <w:t>de l'UIT.</w:t>
      </w:r>
    </w:p>
    <w:p w:rsidR="00BD6ECF" w:rsidRPr="009E00F0" w:rsidRDefault="00517A03" w:rsidP="002904E2">
      <w:pPr>
        <w:keepNext/>
        <w:rPr>
          <w:lang w:val="fr-CH"/>
        </w:rPr>
      </w:pPr>
      <w:r w:rsidRPr="009E00F0">
        <w:rPr>
          <w:lang w:val="fr-CH"/>
        </w:rPr>
        <w:t>Veuillez agréer, Madame, Monsieur, l</w:t>
      </w:r>
      <w:r w:rsidR="00167472" w:rsidRPr="009E00F0">
        <w:rPr>
          <w:lang w:val="fr-CH"/>
        </w:rPr>
        <w:t>'</w:t>
      </w:r>
      <w:r w:rsidRPr="009E00F0">
        <w:rPr>
          <w:lang w:val="fr-CH"/>
        </w:rPr>
        <w:t>assurance de ma considération</w:t>
      </w:r>
      <w:r w:rsidR="008B6BAC" w:rsidRPr="009E00F0">
        <w:rPr>
          <w:lang w:val="fr-CH"/>
        </w:rPr>
        <w:t xml:space="preserve"> distinguée</w:t>
      </w:r>
      <w:r w:rsidRPr="009E00F0">
        <w:rPr>
          <w:lang w:val="fr-CH"/>
        </w:rPr>
        <w:t>.</w:t>
      </w:r>
    </w:p>
    <w:p w:rsidR="00036F4F" w:rsidRPr="009E00F0" w:rsidRDefault="00036F4F" w:rsidP="002904E2">
      <w:pPr>
        <w:keepNext/>
        <w:keepLines/>
        <w:spacing w:before="480" w:after="480"/>
        <w:rPr>
          <w:i/>
          <w:iCs/>
          <w:lang w:val="fr-CH"/>
        </w:rPr>
      </w:pPr>
      <w:r w:rsidRPr="009E00F0">
        <w:rPr>
          <w:i/>
          <w:iCs/>
          <w:lang w:val="fr-CH"/>
        </w:rPr>
        <w:t>(</w:t>
      </w:r>
      <w:proofErr w:type="gramStart"/>
      <w:r w:rsidRPr="009E00F0">
        <w:rPr>
          <w:i/>
          <w:iCs/>
          <w:lang w:val="fr-CH"/>
        </w:rPr>
        <w:t>signé</w:t>
      </w:r>
      <w:proofErr w:type="gramEnd"/>
      <w:r w:rsidRPr="009E00F0">
        <w:rPr>
          <w:i/>
          <w:iCs/>
          <w:lang w:val="fr-CH"/>
        </w:rPr>
        <w:t>)</w:t>
      </w:r>
    </w:p>
    <w:p w:rsidR="00517A03" w:rsidRPr="009E00F0" w:rsidRDefault="00036F4F" w:rsidP="002904E2">
      <w:pPr>
        <w:keepNext/>
        <w:keepLines/>
        <w:spacing w:before="360"/>
        <w:ind w:right="-284"/>
        <w:rPr>
          <w:b/>
          <w:lang w:val="fr-CH"/>
        </w:rPr>
      </w:pPr>
      <w:r w:rsidRPr="009E00F0">
        <w:rPr>
          <w:lang w:val="fr-CH"/>
        </w:rPr>
        <w:t>Chaesub Lee</w:t>
      </w:r>
      <w:r w:rsidRPr="009E00F0">
        <w:rPr>
          <w:lang w:val="fr-CH"/>
        </w:rPr>
        <w:br/>
        <w:t xml:space="preserve">Directeur du Bureau de la normalisation </w:t>
      </w:r>
      <w:r w:rsidRPr="009E00F0">
        <w:rPr>
          <w:lang w:val="fr-CH"/>
        </w:rPr>
        <w:br/>
        <w:t>des télécommunications</w:t>
      </w:r>
    </w:p>
    <w:p w:rsidR="00050865" w:rsidRPr="009E00F0" w:rsidRDefault="00050865" w:rsidP="002904E2">
      <w:pPr>
        <w:spacing w:before="960"/>
        <w:ind w:right="-284"/>
        <w:rPr>
          <w:bCs/>
          <w:lang w:val="fr-CH"/>
        </w:rPr>
      </w:pPr>
      <w:r w:rsidRPr="009E00F0">
        <w:rPr>
          <w:b/>
          <w:lang w:val="fr-CH"/>
        </w:rPr>
        <w:t>Annexe</w:t>
      </w:r>
      <w:r w:rsidRPr="009E00F0">
        <w:rPr>
          <w:bCs/>
          <w:lang w:val="fr-CH"/>
        </w:rPr>
        <w:t>:</w:t>
      </w:r>
      <w:r w:rsidRPr="009E00F0">
        <w:rPr>
          <w:b/>
          <w:lang w:val="fr-CH"/>
        </w:rPr>
        <w:t xml:space="preserve"> </w:t>
      </w:r>
      <w:r w:rsidRPr="009E00F0">
        <w:rPr>
          <w:bCs/>
          <w:lang w:val="fr-CH"/>
        </w:rPr>
        <w:t>1</w:t>
      </w:r>
    </w:p>
    <w:p w:rsidR="00050865" w:rsidRPr="009E00F0" w:rsidRDefault="00050865" w:rsidP="002904E2">
      <w:pPr>
        <w:tabs>
          <w:tab w:val="clear" w:pos="794"/>
          <w:tab w:val="clear" w:pos="1191"/>
          <w:tab w:val="clear" w:pos="1588"/>
          <w:tab w:val="clear" w:pos="1985"/>
        </w:tabs>
        <w:overflowPunct/>
        <w:autoSpaceDE/>
        <w:autoSpaceDN/>
        <w:adjustRightInd/>
        <w:spacing w:before="0"/>
        <w:textAlignment w:val="auto"/>
        <w:rPr>
          <w:bCs/>
          <w:lang w:val="fr-CH"/>
        </w:rPr>
      </w:pPr>
      <w:r w:rsidRPr="009E00F0">
        <w:rPr>
          <w:bCs/>
          <w:lang w:val="fr-CH"/>
        </w:rPr>
        <w:br w:type="page"/>
      </w:r>
    </w:p>
    <w:p w:rsidR="00050865" w:rsidRPr="00AC2323" w:rsidRDefault="00F3714A" w:rsidP="00AC2323">
      <w:pPr>
        <w:pStyle w:val="AnnexNo"/>
        <w:rPr>
          <w:b/>
          <w:bCs/>
        </w:rPr>
      </w:pPr>
      <w:r w:rsidRPr="00AC2323">
        <w:rPr>
          <w:b/>
          <w:bCs/>
        </w:rPr>
        <w:lastRenderedPageBreak/>
        <w:t xml:space="preserve">ANNEXE </w:t>
      </w:r>
      <w:r w:rsidR="00050865" w:rsidRPr="00AC2323">
        <w:rPr>
          <w:b/>
          <w:bCs/>
        </w:rPr>
        <w:t>1</w:t>
      </w:r>
    </w:p>
    <w:p w:rsidR="00050865" w:rsidRPr="00AC2323" w:rsidRDefault="00050865" w:rsidP="00AC2323">
      <w:pPr>
        <w:pStyle w:val="AnnexTitle"/>
      </w:pPr>
      <w:r w:rsidRPr="00AC2323">
        <w:t>Recommandation</w:t>
      </w:r>
      <w:r w:rsidR="000F053D" w:rsidRPr="00AC2323">
        <w:t>s</w:t>
      </w:r>
      <w:r w:rsidRPr="00AC2323">
        <w:t xml:space="preserve"> dont la suppression est proposée: UIT-T </w:t>
      </w:r>
      <w:r w:rsidR="000F053D" w:rsidRPr="00AC2323">
        <w:t>L.125/L.14 et L.255/L.17</w:t>
      </w:r>
    </w:p>
    <w:p w:rsidR="000F053D" w:rsidRPr="009E00F0" w:rsidRDefault="000F053D" w:rsidP="00AC2323">
      <w:pPr>
        <w:pStyle w:val="headingb"/>
        <w:spacing w:before="480"/>
        <w:rPr>
          <w:lang w:val="fr-CH"/>
        </w:rPr>
      </w:pPr>
      <w:r w:rsidRPr="009E00F0">
        <w:rPr>
          <w:lang w:val="fr-CH"/>
        </w:rPr>
        <w:t xml:space="preserve">L.125/L.14 – </w:t>
      </w:r>
      <w:r w:rsidRPr="009E00F0">
        <w:rPr>
          <w:i/>
          <w:iCs/>
          <w:lang w:val="fr-CH"/>
        </w:rPr>
        <w:t>Méthode de mesure pour déterminer les caractéristiques sous contraintes des câbles à fibres optiques soumis à un effort de traction</w:t>
      </w:r>
    </w:p>
    <w:p w:rsidR="00050865" w:rsidRPr="009E00F0" w:rsidRDefault="00050865" w:rsidP="002904E2">
      <w:pPr>
        <w:pStyle w:val="headingb"/>
        <w:rPr>
          <w:lang w:val="fr-CH"/>
        </w:rPr>
      </w:pPr>
      <w:r w:rsidRPr="009E00F0">
        <w:rPr>
          <w:lang w:val="fr-CH"/>
        </w:rPr>
        <w:t xml:space="preserve">Date d'approbation: </w:t>
      </w:r>
      <w:r w:rsidR="000F053D" w:rsidRPr="009E00F0">
        <w:rPr>
          <w:lang w:val="fr-CH"/>
        </w:rPr>
        <w:t>31-07-1992</w:t>
      </w:r>
    </w:p>
    <w:p w:rsidR="00050865" w:rsidRPr="009E00F0" w:rsidRDefault="00AC2323" w:rsidP="002904E2">
      <w:pPr>
        <w:pStyle w:val="headingb"/>
        <w:rPr>
          <w:lang w:val="fr-CH"/>
        </w:rPr>
      </w:pPr>
      <w:r>
        <w:rPr>
          <w:lang w:val="fr-CH"/>
        </w:rPr>
        <w:t>Résumé</w:t>
      </w:r>
    </w:p>
    <w:p w:rsidR="00050865" w:rsidRPr="009E00F0" w:rsidRDefault="00FE1403" w:rsidP="002904E2">
      <w:pPr>
        <w:rPr>
          <w:lang w:val="fr-CH"/>
        </w:rPr>
      </w:pPr>
      <w:r w:rsidRPr="009E00F0">
        <w:rPr>
          <w:lang w:val="fr-CH"/>
        </w:rPr>
        <w:t>Cette Recommandation traite de la méthode de mesure permettant de déterminer les caractéristiques sous tension des câbles</w:t>
      </w:r>
      <w:r w:rsidR="00472045" w:rsidRPr="009E00F0">
        <w:rPr>
          <w:color w:val="000000"/>
          <w:lang w:val="fr-CH"/>
        </w:rPr>
        <w:t xml:space="preserve"> et préconise de se conformer à la méthode E1</w:t>
      </w:r>
      <w:r w:rsidR="002904E2" w:rsidRPr="009E00F0">
        <w:rPr>
          <w:lang w:val="fr-CH"/>
        </w:rPr>
        <w:t xml:space="preserve"> </w:t>
      </w:r>
      <w:r w:rsidR="00591BBE" w:rsidRPr="009E00F0">
        <w:rPr>
          <w:lang w:val="fr-CH"/>
        </w:rPr>
        <w:t>"</w:t>
      </w:r>
      <w:r w:rsidR="00472045" w:rsidRPr="009E00F0">
        <w:rPr>
          <w:color w:val="000000"/>
          <w:lang w:val="fr-CH"/>
        </w:rPr>
        <w:t>Résistance à la traction</w:t>
      </w:r>
      <w:r w:rsidR="00591BBE" w:rsidRPr="009E00F0">
        <w:rPr>
          <w:color w:val="000000"/>
          <w:lang w:val="fr-CH"/>
        </w:rPr>
        <w:t xml:space="preserve">" </w:t>
      </w:r>
      <w:r w:rsidR="00472045" w:rsidRPr="009E00F0">
        <w:rPr>
          <w:lang w:val="fr-CH"/>
        </w:rPr>
        <w:t>prescrite dans</w:t>
      </w:r>
      <w:r w:rsidR="000F053D" w:rsidRPr="009E00F0">
        <w:rPr>
          <w:lang w:val="fr-CH"/>
        </w:rPr>
        <w:t xml:space="preserve"> </w:t>
      </w:r>
      <w:r w:rsidRPr="009E00F0">
        <w:rPr>
          <w:color w:val="000000"/>
          <w:lang w:val="fr-CH"/>
        </w:rPr>
        <w:t>la publication 794-1 de la CEI</w:t>
      </w:r>
      <w:r w:rsidR="00472045" w:rsidRPr="009E00F0">
        <w:rPr>
          <w:color w:val="000000"/>
          <w:lang w:val="fr-CH"/>
        </w:rPr>
        <w:t>.</w:t>
      </w:r>
    </w:p>
    <w:p w:rsidR="00050865" w:rsidRPr="009E00F0" w:rsidRDefault="00050865" w:rsidP="002904E2">
      <w:pPr>
        <w:pStyle w:val="headingb"/>
        <w:rPr>
          <w:lang w:val="fr-CH"/>
        </w:rPr>
      </w:pPr>
      <w:r w:rsidRPr="009E00F0">
        <w:rPr>
          <w:lang w:val="fr-CH"/>
        </w:rPr>
        <w:t>Résumé explicat</w:t>
      </w:r>
      <w:r w:rsidR="00AC2323">
        <w:rPr>
          <w:lang w:val="fr-CH"/>
        </w:rPr>
        <w:t>if des motifs de la suppression</w:t>
      </w:r>
    </w:p>
    <w:p w:rsidR="000F053D" w:rsidRPr="009E00F0" w:rsidRDefault="00472045" w:rsidP="00591BBE">
      <w:pPr>
        <w:rPr>
          <w:lang w:val="fr-CH"/>
        </w:rPr>
      </w:pPr>
      <w:r w:rsidRPr="009E00F0">
        <w:rPr>
          <w:color w:val="000000"/>
          <w:lang w:val="fr-CH"/>
        </w:rPr>
        <w:t>La Recommandation</w:t>
      </w:r>
      <w:r w:rsidRPr="009E00F0">
        <w:rPr>
          <w:lang w:val="fr-CH"/>
        </w:rPr>
        <w:t xml:space="preserve"> </w:t>
      </w:r>
      <w:r w:rsidR="000F053D" w:rsidRPr="009E00F0">
        <w:rPr>
          <w:lang w:val="fr-CH"/>
        </w:rPr>
        <w:t xml:space="preserve">L.125/L.14 </w:t>
      </w:r>
      <w:r w:rsidRPr="009E00F0">
        <w:rPr>
          <w:color w:val="000000"/>
          <w:lang w:val="fr-CH"/>
        </w:rPr>
        <w:t>est désormais remplacée par la norme</w:t>
      </w:r>
      <w:r w:rsidR="002904E2" w:rsidRPr="009E00F0">
        <w:rPr>
          <w:color w:val="000000"/>
          <w:lang w:val="fr-CH"/>
        </w:rPr>
        <w:t xml:space="preserve"> </w:t>
      </w:r>
      <w:r w:rsidRPr="009E00F0">
        <w:rPr>
          <w:color w:val="000000"/>
          <w:lang w:val="fr-CH"/>
        </w:rPr>
        <w:t>CEI de la série</w:t>
      </w:r>
      <w:r w:rsidR="002904E2" w:rsidRPr="009E00F0">
        <w:rPr>
          <w:color w:val="000000"/>
          <w:lang w:val="fr-CH"/>
        </w:rPr>
        <w:t xml:space="preserve"> </w:t>
      </w:r>
      <w:r w:rsidR="000F053D" w:rsidRPr="009E00F0">
        <w:rPr>
          <w:lang w:val="fr-CH"/>
        </w:rPr>
        <w:t xml:space="preserve">60794-1-21. </w:t>
      </w:r>
      <w:r w:rsidR="00591BBE" w:rsidRPr="009E00F0">
        <w:rPr>
          <w:color w:val="000000"/>
          <w:lang w:val="fr-CH"/>
        </w:rPr>
        <w:t>Toutes les R</w:t>
      </w:r>
      <w:r w:rsidRPr="009E00F0">
        <w:rPr>
          <w:color w:val="000000"/>
          <w:lang w:val="fr-CH"/>
        </w:rPr>
        <w:t xml:space="preserve">ecommandations connexes de l'UIT-T </w:t>
      </w:r>
      <w:r w:rsidR="00591BBE" w:rsidRPr="009E00F0">
        <w:rPr>
          <w:color w:val="000000"/>
          <w:lang w:val="fr-CH"/>
        </w:rPr>
        <w:t xml:space="preserve">font </w:t>
      </w:r>
      <w:r w:rsidRPr="009E00F0">
        <w:rPr>
          <w:color w:val="000000"/>
          <w:lang w:val="fr-CH"/>
        </w:rPr>
        <w:t>mention de la norme CEI de la série</w:t>
      </w:r>
      <w:r w:rsidR="00591BBE" w:rsidRPr="009E00F0">
        <w:rPr>
          <w:color w:val="000000"/>
          <w:lang w:val="fr-CH"/>
        </w:rPr>
        <w:t> </w:t>
      </w:r>
      <w:r w:rsidRPr="009E00F0">
        <w:rPr>
          <w:lang w:val="fr-CH"/>
        </w:rPr>
        <w:t>60794</w:t>
      </w:r>
      <w:r w:rsidR="00591BBE" w:rsidRPr="009E00F0">
        <w:rPr>
          <w:lang w:val="fr-CH"/>
        </w:rPr>
        <w:noBreakHyphen/>
      </w:r>
      <w:r w:rsidRPr="009E00F0">
        <w:rPr>
          <w:lang w:val="fr-CH"/>
        </w:rPr>
        <w:t>1</w:t>
      </w:r>
      <w:r w:rsidR="00591BBE" w:rsidRPr="009E00F0">
        <w:rPr>
          <w:lang w:val="fr-CH"/>
        </w:rPr>
        <w:noBreakHyphen/>
      </w:r>
      <w:r w:rsidRPr="009E00F0">
        <w:rPr>
          <w:lang w:val="fr-CH"/>
        </w:rPr>
        <w:t>21</w:t>
      </w:r>
      <w:r w:rsidR="00591BBE" w:rsidRPr="009E00F0">
        <w:rPr>
          <w:lang w:val="fr-CH"/>
        </w:rPr>
        <w:t>,</w:t>
      </w:r>
      <w:r w:rsidRPr="009E00F0">
        <w:rPr>
          <w:lang w:val="fr-CH"/>
        </w:rPr>
        <w:t xml:space="preserve"> et non plus de la Recommandation </w:t>
      </w:r>
      <w:r w:rsidR="000F053D" w:rsidRPr="009E00F0">
        <w:rPr>
          <w:lang w:val="fr-CH"/>
        </w:rPr>
        <w:t xml:space="preserve">L.125/L.14. </w:t>
      </w:r>
      <w:r w:rsidRPr="009E00F0">
        <w:rPr>
          <w:lang w:val="fr-CH"/>
        </w:rPr>
        <w:t>En conséquence, cette Recommandation</w:t>
      </w:r>
      <w:r w:rsidRPr="009E00F0">
        <w:rPr>
          <w:color w:val="000000"/>
          <w:lang w:val="fr-CH"/>
        </w:rPr>
        <w:t xml:space="preserve"> est maintenant considérée comme obsolète </w:t>
      </w:r>
    </w:p>
    <w:p w:rsidR="000F053D" w:rsidRPr="009E00F0" w:rsidRDefault="000F053D" w:rsidP="00AC2323">
      <w:pPr>
        <w:pStyle w:val="headingb"/>
        <w:spacing w:before="360"/>
        <w:rPr>
          <w:lang w:val="fr-CH"/>
        </w:rPr>
      </w:pPr>
      <w:r w:rsidRPr="009E00F0">
        <w:rPr>
          <w:lang w:val="fr-CH"/>
        </w:rPr>
        <w:t xml:space="preserve">L.255/L.17 – </w:t>
      </w:r>
      <w:r w:rsidRPr="009E00F0">
        <w:rPr>
          <w:i/>
          <w:iCs/>
          <w:lang w:val="fr-CH"/>
        </w:rPr>
        <w:t>Raccordement d'un abonné au réseau téléphonique public commuté</w:t>
      </w:r>
      <w:r w:rsidR="00B761DE" w:rsidRPr="009E00F0">
        <w:rPr>
          <w:i/>
          <w:iCs/>
          <w:color w:val="000000"/>
          <w:lang w:val="fr-CH"/>
        </w:rPr>
        <w:t xml:space="preserve"> (RTPC)</w:t>
      </w:r>
      <w:r w:rsidR="002904E2" w:rsidRPr="009E00F0">
        <w:rPr>
          <w:i/>
          <w:iCs/>
          <w:color w:val="000000"/>
          <w:lang w:val="fr-CH"/>
        </w:rPr>
        <w:t xml:space="preserve"> </w:t>
      </w:r>
      <w:r w:rsidRPr="009E00F0">
        <w:rPr>
          <w:i/>
          <w:iCs/>
          <w:lang w:val="fr-CH"/>
        </w:rPr>
        <w:t>au moyen de fibres optiques</w:t>
      </w:r>
    </w:p>
    <w:p w:rsidR="000F053D" w:rsidRPr="009E00F0" w:rsidRDefault="000F053D" w:rsidP="002904E2">
      <w:pPr>
        <w:pStyle w:val="headingb"/>
        <w:rPr>
          <w:lang w:val="fr-CH"/>
        </w:rPr>
      </w:pPr>
      <w:r w:rsidRPr="009E00F0">
        <w:rPr>
          <w:lang w:val="fr-CH"/>
        </w:rPr>
        <w:t xml:space="preserve">Date </w:t>
      </w:r>
      <w:r w:rsidR="00D70571" w:rsidRPr="009E00F0">
        <w:rPr>
          <w:lang w:val="fr-CH"/>
        </w:rPr>
        <w:t>d'approbation</w:t>
      </w:r>
      <w:r w:rsidRPr="009E00F0">
        <w:rPr>
          <w:lang w:val="fr-CH"/>
        </w:rPr>
        <w:t>: 20-06-1995</w:t>
      </w:r>
    </w:p>
    <w:p w:rsidR="000F053D" w:rsidRPr="009E00F0" w:rsidRDefault="00AC2323" w:rsidP="002904E2">
      <w:pPr>
        <w:pStyle w:val="headingb"/>
        <w:rPr>
          <w:lang w:val="fr-CH"/>
        </w:rPr>
      </w:pPr>
      <w:r>
        <w:rPr>
          <w:lang w:val="fr-CH"/>
        </w:rPr>
        <w:t>Résumé</w:t>
      </w:r>
    </w:p>
    <w:p w:rsidR="000F053D" w:rsidRPr="009E00F0" w:rsidRDefault="00B761DE" w:rsidP="002904E2">
      <w:pPr>
        <w:rPr>
          <w:lang w:val="fr-CH"/>
        </w:rPr>
      </w:pPr>
      <w:r w:rsidRPr="009E00F0">
        <w:rPr>
          <w:lang w:val="fr-CH"/>
        </w:rPr>
        <w:t>Cette Recommandation traite de la normalisation des éléments des installations extérieures et indique que dans tous les nœuds de réseau, les mêmes objets devraient être utilisés pour le stockage et l'</w:t>
      </w:r>
      <w:proofErr w:type="spellStart"/>
      <w:r w:rsidRPr="009E00F0">
        <w:rPr>
          <w:color w:val="000000"/>
          <w:lang w:val="fr-CH"/>
        </w:rPr>
        <w:t>épissurage</w:t>
      </w:r>
      <w:proofErr w:type="spellEnd"/>
      <w:r w:rsidRPr="009E00F0">
        <w:rPr>
          <w:color w:val="000000"/>
          <w:lang w:val="fr-CH"/>
        </w:rPr>
        <w:t xml:space="preserve"> des fibres, afin de faciliter l'installation et les activités de maintenance</w:t>
      </w:r>
      <w:r w:rsidR="00591BBE" w:rsidRPr="009E00F0">
        <w:rPr>
          <w:lang w:val="fr-CH"/>
        </w:rPr>
        <w:t>.</w:t>
      </w:r>
    </w:p>
    <w:p w:rsidR="000F053D" w:rsidRPr="009E00F0" w:rsidRDefault="000F053D" w:rsidP="002904E2">
      <w:pPr>
        <w:pStyle w:val="headingb"/>
        <w:rPr>
          <w:lang w:val="fr-CH"/>
        </w:rPr>
      </w:pPr>
      <w:r w:rsidRPr="009E00F0">
        <w:rPr>
          <w:lang w:val="fr-CH"/>
        </w:rPr>
        <w:t>Résumé explicat</w:t>
      </w:r>
      <w:r w:rsidR="00AC2323">
        <w:rPr>
          <w:lang w:val="fr-CH"/>
        </w:rPr>
        <w:t>if des motifs de la suppression</w:t>
      </w:r>
    </w:p>
    <w:p w:rsidR="000F053D" w:rsidRPr="009E00F0" w:rsidRDefault="00591BBE" w:rsidP="002904E2">
      <w:pPr>
        <w:rPr>
          <w:lang w:val="fr-CH"/>
        </w:rPr>
      </w:pPr>
      <w:r w:rsidRPr="009E00F0">
        <w:rPr>
          <w:lang w:val="fr-CH"/>
        </w:rPr>
        <w:t>Les éléments de la R</w:t>
      </w:r>
      <w:r w:rsidR="00C961A9" w:rsidRPr="009E00F0">
        <w:rPr>
          <w:lang w:val="fr-CH"/>
        </w:rPr>
        <w:t>ecommandation peuvent désormais être considérés comme des</w:t>
      </w:r>
      <w:r w:rsidRPr="009E00F0">
        <w:rPr>
          <w:lang w:val="fr-CH"/>
        </w:rPr>
        <w:t xml:space="preserve"> "</w:t>
      </w:r>
      <w:r w:rsidR="00C961A9" w:rsidRPr="009E00F0">
        <w:rPr>
          <w:color w:val="000000"/>
          <w:lang w:val="fr-CH"/>
        </w:rPr>
        <w:t>bonnes pratiques en matière d'installation</w:t>
      </w:r>
      <w:r w:rsidRPr="009E00F0">
        <w:rPr>
          <w:lang w:val="fr-CH"/>
        </w:rPr>
        <w:t>"</w:t>
      </w:r>
      <w:r w:rsidR="00C961A9" w:rsidRPr="009E00F0">
        <w:rPr>
          <w:lang w:val="fr-CH"/>
        </w:rPr>
        <w:t xml:space="preserve"> et sont traités dans les Recommandations</w:t>
      </w:r>
      <w:r w:rsidR="002904E2" w:rsidRPr="009E00F0">
        <w:rPr>
          <w:lang w:val="fr-CH"/>
        </w:rPr>
        <w:t xml:space="preserve"> </w:t>
      </w:r>
      <w:r w:rsidR="000F053D" w:rsidRPr="009E00F0">
        <w:rPr>
          <w:lang w:val="fr-CH"/>
        </w:rPr>
        <w:t>L.50</w:t>
      </w:r>
      <w:r w:rsidR="002904E2" w:rsidRPr="009E00F0">
        <w:rPr>
          <w:lang w:val="fr-CH"/>
        </w:rPr>
        <w:t xml:space="preserve"> </w:t>
      </w:r>
      <w:r w:rsidR="00C961A9" w:rsidRPr="009E00F0">
        <w:rPr>
          <w:lang w:val="fr-CH"/>
        </w:rPr>
        <w:t xml:space="preserve">et </w:t>
      </w:r>
      <w:r w:rsidR="000F053D" w:rsidRPr="009E00F0">
        <w:rPr>
          <w:lang w:val="fr-CH"/>
        </w:rPr>
        <w:t>L.51.</w:t>
      </w:r>
      <w:r w:rsidR="002904E2" w:rsidRPr="009E00F0">
        <w:rPr>
          <w:lang w:val="fr-CH"/>
        </w:rPr>
        <w:t xml:space="preserve"> </w:t>
      </w:r>
      <w:r w:rsidR="00C961A9" w:rsidRPr="009E00F0">
        <w:rPr>
          <w:lang w:val="fr-CH"/>
        </w:rPr>
        <w:t>L'</w:t>
      </w:r>
      <w:r w:rsidR="000F053D" w:rsidRPr="009E00F0">
        <w:rPr>
          <w:lang w:val="fr-CH"/>
        </w:rPr>
        <w:t>Appendi</w:t>
      </w:r>
      <w:r w:rsidR="00C961A9" w:rsidRPr="009E00F0">
        <w:rPr>
          <w:lang w:val="fr-CH"/>
        </w:rPr>
        <w:t>ce</w:t>
      </w:r>
      <w:r w:rsidR="000F053D" w:rsidRPr="009E00F0">
        <w:rPr>
          <w:lang w:val="fr-CH"/>
        </w:rPr>
        <w:t xml:space="preserve"> I </w:t>
      </w:r>
      <w:r w:rsidR="00C961A9" w:rsidRPr="009E00F0">
        <w:rPr>
          <w:lang w:val="fr-CH"/>
        </w:rPr>
        <w:t xml:space="preserve">porte sur l'expérience acquise par le Japon et le Royaume-Uni. Les concepts sont désormais traités dans les Recommandations </w:t>
      </w:r>
      <w:r w:rsidR="000F053D" w:rsidRPr="009E00F0">
        <w:rPr>
          <w:lang w:val="fr-CH"/>
        </w:rPr>
        <w:t xml:space="preserve">L.90 </w:t>
      </w:r>
      <w:r w:rsidR="00C961A9" w:rsidRPr="009E00F0">
        <w:rPr>
          <w:lang w:val="fr-CH"/>
        </w:rPr>
        <w:t xml:space="preserve">et </w:t>
      </w:r>
      <w:r w:rsidR="000F053D" w:rsidRPr="009E00F0">
        <w:rPr>
          <w:lang w:val="fr-CH"/>
        </w:rPr>
        <w:t>L.93.</w:t>
      </w:r>
      <w:r w:rsidR="00C961A9" w:rsidRPr="009E00F0">
        <w:rPr>
          <w:lang w:val="fr-CH"/>
        </w:rPr>
        <w:t xml:space="preserve"> En conséquence, cette Recommandation</w:t>
      </w:r>
      <w:r w:rsidR="00C961A9" w:rsidRPr="009E00F0">
        <w:rPr>
          <w:color w:val="000000"/>
          <w:lang w:val="fr-CH"/>
        </w:rPr>
        <w:t xml:space="preserve"> est maintenant considérée comme obsolète.</w:t>
      </w:r>
      <w:r w:rsidR="002904E2" w:rsidRPr="009E00F0">
        <w:rPr>
          <w:lang w:val="fr-CH"/>
        </w:rPr>
        <w:t xml:space="preserve"> </w:t>
      </w:r>
    </w:p>
    <w:p w:rsidR="00EF7522" w:rsidRPr="009E00F0" w:rsidRDefault="00EF7522" w:rsidP="002904E2">
      <w:pPr>
        <w:rPr>
          <w:lang w:val="fr-CH"/>
        </w:rPr>
      </w:pPr>
    </w:p>
    <w:p w:rsidR="00EF7522" w:rsidRPr="009E00F0" w:rsidRDefault="00EF7522" w:rsidP="002904E2">
      <w:pPr>
        <w:jc w:val="center"/>
        <w:rPr>
          <w:lang w:val="fr-CH"/>
        </w:rPr>
      </w:pPr>
      <w:r w:rsidRPr="009E00F0">
        <w:rPr>
          <w:lang w:val="fr-CH"/>
        </w:rPr>
        <w:t>______________</w:t>
      </w:r>
    </w:p>
    <w:sectPr w:rsidR="00EF7522" w:rsidRPr="009E00F0" w:rsidSect="00A15179">
      <w:headerReference w:type="even" r:id="rId10"/>
      <w:headerReference w:type="default" r:id="rId11"/>
      <w:footerReference w:type="even" r:id="rId12"/>
      <w:footerReference w:type="default" r:id="rId13"/>
      <w:headerReference w:type="firs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6C6" w:rsidRDefault="00F576C6">
      <w:r>
        <w:separator/>
      </w:r>
    </w:p>
  </w:endnote>
  <w:endnote w:type="continuationSeparator" w:id="0">
    <w:p w:rsidR="00F576C6" w:rsidRDefault="00F5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3A5" w:rsidRDefault="00371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BC9" w:rsidRPr="003713A5" w:rsidRDefault="00807BC9" w:rsidP="003713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34764F">
      <w:rPr>
        <w:color w:val="0070C0"/>
        <w:sz w:val="18"/>
        <w:szCs w:val="18"/>
        <w:lang w:val="fr-CH"/>
      </w:rPr>
      <w:t>Union internationale des télécommunications • Place des Nations</w:t>
    </w:r>
    <w:r w:rsidR="00085F5A" w:rsidRPr="0034764F">
      <w:rPr>
        <w:color w:val="0070C0"/>
        <w:sz w:val="18"/>
        <w:szCs w:val="18"/>
        <w:lang w:val="fr-CH"/>
      </w:rPr>
      <w:t xml:space="preserve"> •</w:t>
    </w:r>
    <w:r w:rsidRPr="0034764F">
      <w:rPr>
        <w:color w:val="0070C0"/>
        <w:sz w:val="18"/>
        <w:szCs w:val="18"/>
        <w:lang w:val="fr-CH"/>
      </w:rPr>
      <w:t xml:space="preserve"> CH</w:t>
    </w:r>
    <w:r w:rsidRPr="0034764F">
      <w:rPr>
        <w:color w:val="0070C0"/>
        <w:sz w:val="18"/>
        <w:szCs w:val="18"/>
        <w:lang w:val="fr-CH"/>
      </w:rPr>
      <w:noBreakHyphen/>
      <w:t>1211 Genève 20</w:t>
    </w:r>
    <w:r w:rsidR="00085F5A" w:rsidRPr="0034764F">
      <w:rPr>
        <w:color w:val="0070C0"/>
        <w:sz w:val="18"/>
        <w:szCs w:val="18"/>
        <w:lang w:val="fr-CH"/>
      </w:rPr>
      <w:t xml:space="preserve"> •</w:t>
    </w:r>
    <w:r w:rsidRPr="0034764F">
      <w:rPr>
        <w:color w:val="0070C0"/>
        <w:sz w:val="18"/>
        <w:szCs w:val="18"/>
        <w:lang w:val="fr-CH"/>
      </w:rPr>
      <w:t xml:space="preserve"> Suisse </w:t>
    </w:r>
    <w:r w:rsidRPr="0034764F">
      <w:rPr>
        <w:color w:val="0070C0"/>
        <w:sz w:val="18"/>
        <w:szCs w:val="18"/>
        <w:lang w:val="fr-CH"/>
      </w:rPr>
      <w:br/>
      <w:t>Tél</w:t>
    </w:r>
    <w:r w:rsidR="00085F5A" w:rsidRPr="0034764F">
      <w:rPr>
        <w:color w:val="0070C0"/>
        <w:sz w:val="18"/>
        <w:szCs w:val="18"/>
        <w:lang w:val="fr-CH"/>
      </w:rPr>
      <w:t>.</w:t>
    </w:r>
    <w:r w:rsidRPr="0034764F">
      <w:rPr>
        <w:color w:val="0070C0"/>
        <w:sz w:val="18"/>
        <w:szCs w:val="18"/>
        <w:lang w:val="fr-CH"/>
      </w:rPr>
      <w:t xml:space="preserve">: +41 22 730 5111 • Fax: +41 22 733 7256 • </w:t>
    </w:r>
    <w:r w:rsidR="00085F5A" w:rsidRPr="0034764F">
      <w:rPr>
        <w:color w:val="0070C0"/>
        <w:sz w:val="18"/>
        <w:szCs w:val="18"/>
        <w:lang w:val="fr-CH"/>
      </w:rPr>
      <w:t>Courriel</w:t>
    </w:r>
    <w:r w:rsidRPr="0034764F">
      <w:rPr>
        <w:color w:val="0070C0"/>
        <w:sz w:val="18"/>
        <w:szCs w:val="18"/>
        <w:lang w:val="fr-CH"/>
      </w:rPr>
      <w:t xml:space="preserve">: </w:t>
    </w:r>
    <w:hyperlink r:id="rId1" w:history="1">
      <w:r w:rsidRPr="0034764F">
        <w:rPr>
          <w:rStyle w:val="Hyperlink"/>
          <w:color w:val="0070C0"/>
          <w:sz w:val="18"/>
          <w:szCs w:val="18"/>
        </w:rPr>
        <w:t>itumail@itu.int</w:t>
      </w:r>
    </w:hyperlink>
    <w:r w:rsidRPr="0034764F">
      <w:rPr>
        <w:color w:val="0070C0"/>
        <w:sz w:val="18"/>
        <w:szCs w:val="18"/>
        <w:lang w:val="fr-CH"/>
      </w:rPr>
      <w:t xml:space="preserve"> • </w:t>
    </w:r>
    <w:hyperlink r:id="rId2" w:history="1">
      <w:r w:rsidRPr="0034764F">
        <w:rPr>
          <w:rStyle w:val="Hyperlink"/>
          <w:color w:val="0070C0"/>
          <w:sz w:val="18"/>
          <w:szCs w:val="18"/>
        </w:rPr>
        <w:t>www.itu.int</w:t>
      </w:r>
    </w:hyperlink>
    <w:r w:rsidRPr="0034764F">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6C6" w:rsidRDefault="00F576C6">
      <w:r>
        <w:t>____________________</w:t>
      </w:r>
    </w:p>
  </w:footnote>
  <w:footnote w:type="continuationSeparator" w:id="0">
    <w:p w:rsidR="00F576C6" w:rsidRDefault="00F57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3A5" w:rsidRDefault="00371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C1" w:rsidRPr="00697BC1" w:rsidRDefault="00A24504"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3</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34764F">
      <w:rPr>
        <w:noProof/>
        <w:sz w:val="18"/>
        <w:szCs w:val="16"/>
      </w:rPr>
      <w:br/>
    </w:r>
    <w:r w:rsidR="0034764F">
      <w:rPr>
        <w:sz w:val="18"/>
      </w:rPr>
      <w:t xml:space="preserve">Circulaire </w:t>
    </w:r>
    <w:r w:rsidR="0034764F" w:rsidRPr="00D8656F">
      <w:rPr>
        <w:sz w:val="18"/>
      </w:rPr>
      <w:t xml:space="preserve">TSB </w:t>
    </w:r>
    <w:r w:rsidR="0034764F">
      <w:rPr>
        <w:sz w:val="18"/>
      </w:rPr>
      <w:t>1</w:t>
    </w:r>
    <w:r w:rsidR="000F053D">
      <w:rPr>
        <w:sz w:val="18"/>
      </w:rPr>
      <w:t>89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3A5" w:rsidRDefault="00371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1289343-6000-4B75-BA18-ED3BDBD0BE82}"/>
    <w:docVar w:name="dgnword-eventsink" w:val="389893376"/>
  </w:docVars>
  <w:rsids>
    <w:rsidRoot w:val="00F576C6"/>
    <w:rsid w:val="000039EE"/>
    <w:rsid w:val="00005622"/>
    <w:rsid w:val="0002519E"/>
    <w:rsid w:val="00035B43"/>
    <w:rsid w:val="00036F4F"/>
    <w:rsid w:val="00050865"/>
    <w:rsid w:val="000758B3"/>
    <w:rsid w:val="00085F5A"/>
    <w:rsid w:val="000B0D96"/>
    <w:rsid w:val="000B59D8"/>
    <w:rsid w:val="000C1F6B"/>
    <w:rsid w:val="000C25CC"/>
    <w:rsid w:val="000C56BE"/>
    <w:rsid w:val="000F053D"/>
    <w:rsid w:val="001026FD"/>
    <w:rsid w:val="001077FD"/>
    <w:rsid w:val="00115DD7"/>
    <w:rsid w:val="00167472"/>
    <w:rsid w:val="00167F92"/>
    <w:rsid w:val="00173738"/>
    <w:rsid w:val="001B79A3"/>
    <w:rsid w:val="001E3B04"/>
    <w:rsid w:val="002152A3"/>
    <w:rsid w:val="002904E2"/>
    <w:rsid w:val="00294C4B"/>
    <w:rsid w:val="002E395D"/>
    <w:rsid w:val="003131F0"/>
    <w:rsid w:val="00333A80"/>
    <w:rsid w:val="00341117"/>
    <w:rsid w:val="0034764F"/>
    <w:rsid w:val="00364E95"/>
    <w:rsid w:val="003713A5"/>
    <w:rsid w:val="00372875"/>
    <w:rsid w:val="00380F1B"/>
    <w:rsid w:val="003B1E80"/>
    <w:rsid w:val="003B66E8"/>
    <w:rsid w:val="003C63BD"/>
    <w:rsid w:val="003F54A3"/>
    <w:rsid w:val="004033F1"/>
    <w:rsid w:val="00414B0C"/>
    <w:rsid w:val="00423C21"/>
    <w:rsid w:val="004257AC"/>
    <w:rsid w:val="0043711B"/>
    <w:rsid w:val="00472045"/>
    <w:rsid w:val="004977C9"/>
    <w:rsid w:val="004B732E"/>
    <w:rsid w:val="004D51F4"/>
    <w:rsid w:val="004D64E0"/>
    <w:rsid w:val="005120A2"/>
    <w:rsid w:val="0051210D"/>
    <w:rsid w:val="005136D2"/>
    <w:rsid w:val="00517A03"/>
    <w:rsid w:val="00551793"/>
    <w:rsid w:val="00582131"/>
    <w:rsid w:val="00591BBE"/>
    <w:rsid w:val="005A3DD9"/>
    <w:rsid w:val="005B1DFC"/>
    <w:rsid w:val="00601682"/>
    <w:rsid w:val="00603470"/>
    <w:rsid w:val="00625E79"/>
    <w:rsid w:val="006333F7"/>
    <w:rsid w:val="006427A1"/>
    <w:rsid w:val="00644741"/>
    <w:rsid w:val="00697BC1"/>
    <w:rsid w:val="006A6FFE"/>
    <w:rsid w:val="006C5A91"/>
    <w:rsid w:val="00716BBC"/>
    <w:rsid w:val="00725DA5"/>
    <w:rsid w:val="0072652B"/>
    <w:rsid w:val="007321BC"/>
    <w:rsid w:val="00760063"/>
    <w:rsid w:val="00775E4B"/>
    <w:rsid w:val="0079553B"/>
    <w:rsid w:val="00795679"/>
    <w:rsid w:val="007A40FE"/>
    <w:rsid w:val="00807BC9"/>
    <w:rsid w:val="00810105"/>
    <w:rsid w:val="008157E0"/>
    <w:rsid w:val="00850477"/>
    <w:rsid w:val="00854E1D"/>
    <w:rsid w:val="00887FA6"/>
    <w:rsid w:val="008B6BAC"/>
    <w:rsid w:val="008C4397"/>
    <w:rsid w:val="008C465A"/>
    <w:rsid w:val="008F2C9B"/>
    <w:rsid w:val="00923CD6"/>
    <w:rsid w:val="00935AA8"/>
    <w:rsid w:val="00971C9A"/>
    <w:rsid w:val="00987B8E"/>
    <w:rsid w:val="00997095"/>
    <w:rsid w:val="009D51FA"/>
    <w:rsid w:val="009E00F0"/>
    <w:rsid w:val="009F1E23"/>
    <w:rsid w:val="00A15179"/>
    <w:rsid w:val="00A24504"/>
    <w:rsid w:val="00A51537"/>
    <w:rsid w:val="00A5280F"/>
    <w:rsid w:val="00A5645A"/>
    <w:rsid w:val="00A60FC1"/>
    <w:rsid w:val="00A97C37"/>
    <w:rsid w:val="00AC2323"/>
    <w:rsid w:val="00AC37B5"/>
    <w:rsid w:val="00AD752F"/>
    <w:rsid w:val="00AF08A4"/>
    <w:rsid w:val="00B27B41"/>
    <w:rsid w:val="00B42659"/>
    <w:rsid w:val="00B761DE"/>
    <w:rsid w:val="00B8573E"/>
    <w:rsid w:val="00BB24C0"/>
    <w:rsid w:val="00BD6ECF"/>
    <w:rsid w:val="00C26F2E"/>
    <w:rsid w:val="00C302E3"/>
    <w:rsid w:val="00C45376"/>
    <w:rsid w:val="00C475EA"/>
    <w:rsid w:val="00C72CB8"/>
    <w:rsid w:val="00C74452"/>
    <w:rsid w:val="00C9028F"/>
    <w:rsid w:val="00C961A9"/>
    <w:rsid w:val="00CA0416"/>
    <w:rsid w:val="00CB1125"/>
    <w:rsid w:val="00CD042E"/>
    <w:rsid w:val="00CF2560"/>
    <w:rsid w:val="00CF5B46"/>
    <w:rsid w:val="00CF70F5"/>
    <w:rsid w:val="00D05CF0"/>
    <w:rsid w:val="00D46B68"/>
    <w:rsid w:val="00D542A5"/>
    <w:rsid w:val="00D70571"/>
    <w:rsid w:val="00DC3D47"/>
    <w:rsid w:val="00DD77DA"/>
    <w:rsid w:val="00E06C61"/>
    <w:rsid w:val="00E13DB3"/>
    <w:rsid w:val="00E2408B"/>
    <w:rsid w:val="00E62CEA"/>
    <w:rsid w:val="00E72AE1"/>
    <w:rsid w:val="00ED6A7A"/>
    <w:rsid w:val="00EE4C36"/>
    <w:rsid w:val="00EF7522"/>
    <w:rsid w:val="00F26B18"/>
    <w:rsid w:val="00F346CE"/>
    <w:rsid w:val="00F34F98"/>
    <w:rsid w:val="00F3714A"/>
    <w:rsid w:val="00F40540"/>
    <w:rsid w:val="00F576C6"/>
    <w:rsid w:val="00F67402"/>
    <w:rsid w:val="00F766A2"/>
    <w:rsid w:val="00F9451D"/>
    <w:rsid w:val="00FA3BD5"/>
    <w:rsid w:val="00FE1403"/>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74DA519"/>
  <w15:docId w15:val="{09A8EBA1-8A17-4B7F-A515-F2271A18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CommentReference">
    <w:name w:val="annotation reference"/>
    <w:rsid w:val="00F576C6"/>
    <w:rPr>
      <w:sz w:val="16"/>
      <w:szCs w:val="16"/>
    </w:rPr>
  </w:style>
  <w:style w:type="paragraph" w:customStyle="1" w:styleId="AnnexNo">
    <w:name w:val="Annex_No"/>
    <w:basedOn w:val="Annex"/>
    <w:rsid w:val="00050865"/>
    <w:rPr>
      <w:lang w:val="fr-CH"/>
    </w:rPr>
  </w:style>
  <w:style w:type="paragraph" w:customStyle="1" w:styleId="Reasons">
    <w:name w:val="Reasons"/>
    <w:basedOn w:val="Normal"/>
    <w:qFormat/>
    <w:rsid w:val="00EF7522"/>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D89F0-F95A-4E4B-A1C7-600E1AF5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26</TotalTime>
  <Pages>3</Pages>
  <Words>627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4311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Cormier-Ribout, Kevin</dc:creator>
  <cp:lastModifiedBy>Osvath, Alexandra</cp:lastModifiedBy>
  <cp:revision>8</cp:revision>
  <cp:lastPrinted>2019-07-31T14:13:00Z</cp:lastPrinted>
  <dcterms:created xsi:type="dcterms:W3CDTF">2019-07-26T11:48:00Z</dcterms:created>
  <dcterms:modified xsi:type="dcterms:W3CDTF">2019-07-31T14:14:00Z</dcterms:modified>
</cp:coreProperties>
</file>