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12"/>
        <w:gridCol w:w="3467"/>
        <w:gridCol w:w="5329"/>
      </w:tblGrid>
      <w:tr w:rsidR="007B6316" w:rsidTr="007B6316">
        <w:trPr>
          <w:cantSplit/>
          <w:trHeight w:val="340"/>
        </w:trPr>
        <w:tc>
          <w:tcPr>
            <w:tcW w:w="1410" w:type="dxa"/>
            <w:gridSpan w:val="2"/>
          </w:tcPr>
          <w:p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6431B03D" wp14:editId="6142F96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80B69" w:rsidTr="00DE4C97">
        <w:trPr>
          <w:cantSplit/>
          <w:trHeight w:val="340"/>
        </w:trPr>
        <w:tc>
          <w:tcPr>
            <w:tcW w:w="4877" w:type="dxa"/>
            <w:gridSpan w:val="3"/>
          </w:tcPr>
          <w:p w:rsidR="00780B69" w:rsidRDefault="00780B69" w:rsidP="00780B69">
            <w:pPr>
              <w:ind w:left="57"/>
            </w:pPr>
          </w:p>
        </w:tc>
        <w:tc>
          <w:tcPr>
            <w:tcW w:w="5329" w:type="dxa"/>
          </w:tcPr>
          <w:p w:rsidR="00780B69" w:rsidRDefault="00780B69" w:rsidP="00780B69">
            <w:pPr>
              <w:spacing w:after="120"/>
              <w:ind w:left="57"/>
            </w:pPr>
            <w:r w:rsidRPr="00780B69">
              <w:t>Ginebra, 9 de mayo de 2019</w:t>
            </w:r>
          </w:p>
        </w:tc>
      </w:tr>
      <w:tr w:rsidR="007B6316" w:rsidTr="00780B69">
        <w:trPr>
          <w:cantSplit/>
          <w:trHeight w:val="340"/>
        </w:trPr>
        <w:tc>
          <w:tcPr>
            <w:tcW w:w="1098" w:type="dxa"/>
          </w:tcPr>
          <w:p w:rsidR="007B6316" w:rsidRPr="00780B69" w:rsidRDefault="007B6316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Ref.:</w:t>
            </w:r>
          </w:p>
        </w:tc>
        <w:tc>
          <w:tcPr>
            <w:tcW w:w="3779" w:type="dxa"/>
            <w:gridSpan w:val="2"/>
          </w:tcPr>
          <w:p w:rsidR="007B6316" w:rsidRPr="00780B69" w:rsidRDefault="007B6316" w:rsidP="00780B69">
            <w:pPr>
              <w:spacing w:before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 xml:space="preserve">Circular TSB </w:t>
            </w:r>
            <w:r w:rsidR="00780B69" w:rsidRPr="00780B69">
              <w:rPr>
                <w:b/>
                <w:bCs/>
              </w:rPr>
              <w:t>168</w:t>
            </w:r>
          </w:p>
          <w:p w:rsidR="007B6316" w:rsidRDefault="00780B69" w:rsidP="00780B69">
            <w:pPr>
              <w:spacing w:before="0" w:after="40"/>
              <w:ind w:left="57"/>
            </w:pPr>
            <w:r w:rsidRPr="00780B69">
              <w:t>SG3/ME</w:t>
            </w:r>
          </w:p>
        </w:tc>
        <w:tc>
          <w:tcPr>
            <w:tcW w:w="5329" w:type="dxa"/>
            <w:vMerge w:val="restart"/>
          </w:tcPr>
          <w:p w:rsidR="00780B69" w:rsidRPr="00780B69" w:rsidRDefault="00780B69" w:rsidP="00780B69">
            <w:pPr>
              <w:spacing w:before="40" w:after="40"/>
              <w:ind w:left="57"/>
              <w:rPr>
                <w:b/>
                <w:bCs/>
              </w:rPr>
            </w:pPr>
            <w:bookmarkStart w:id="0" w:name="Addressee_S"/>
            <w:bookmarkEnd w:id="0"/>
            <w:r w:rsidRPr="00780B69">
              <w:rPr>
                <w:b/>
                <w:bCs/>
              </w:rPr>
              <w:t>A:</w:t>
            </w:r>
          </w:p>
          <w:p w:rsidR="007B6316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>
              <w:t>–</w:t>
            </w:r>
            <w:r>
              <w:tab/>
            </w:r>
            <w:r w:rsidR="007B6316">
              <w:t>las Administraciones de los Estados Miembros de la Unión</w:t>
            </w:r>
          </w:p>
          <w:p w:rsidR="00780B69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>
              <w:t>–</w:t>
            </w:r>
            <w:r>
              <w:tab/>
              <w:t xml:space="preserve">los </w:t>
            </w:r>
            <w:r w:rsidRPr="00780B69">
              <w:t>Miembros del Sector UIT-T</w:t>
            </w:r>
          </w:p>
        </w:tc>
      </w:tr>
      <w:tr w:rsidR="007B6316" w:rsidTr="00780B69">
        <w:trPr>
          <w:cantSplit/>
        </w:trPr>
        <w:tc>
          <w:tcPr>
            <w:tcW w:w="1098" w:type="dxa"/>
          </w:tcPr>
          <w:p w:rsidR="007B6316" w:rsidRPr="00780B69" w:rsidRDefault="007B6316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Tel.:</w:t>
            </w:r>
          </w:p>
        </w:tc>
        <w:tc>
          <w:tcPr>
            <w:tcW w:w="3779" w:type="dxa"/>
            <w:gridSpan w:val="2"/>
          </w:tcPr>
          <w:p w:rsidR="007B6316" w:rsidRPr="00780B69" w:rsidRDefault="00780B69" w:rsidP="00780B69">
            <w:pPr>
              <w:spacing w:before="40" w:after="40"/>
              <w:ind w:left="57"/>
            </w:pPr>
            <w:r w:rsidRPr="00780B69">
              <w:t>+41 22 730 5866</w:t>
            </w:r>
          </w:p>
        </w:tc>
        <w:tc>
          <w:tcPr>
            <w:tcW w:w="5329" w:type="dxa"/>
            <w:vMerge/>
          </w:tcPr>
          <w:p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Tr="00780B69">
        <w:trPr>
          <w:cantSplit/>
        </w:trPr>
        <w:tc>
          <w:tcPr>
            <w:tcW w:w="1098" w:type="dxa"/>
          </w:tcPr>
          <w:p w:rsidR="007B6316" w:rsidRPr="00780B69" w:rsidRDefault="007B6316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Fax:</w:t>
            </w:r>
          </w:p>
        </w:tc>
        <w:tc>
          <w:tcPr>
            <w:tcW w:w="3779" w:type="dxa"/>
            <w:gridSpan w:val="2"/>
          </w:tcPr>
          <w:p w:rsidR="007B6316" w:rsidRPr="00780B69" w:rsidRDefault="007B6316" w:rsidP="00780B69">
            <w:pPr>
              <w:spacing w:before="40" w:after="40"/>
              <w:ind w:left="57"/>
            </w:pPr>
            <w:r w:rsidRPr="00780B69">
              <w:t>+41 22 730 5853</w:t>
            </w:r>
          </w:p>
        </w:tc>
        <w:tc>
          <w:tcPr>
            <w:tcW w:w="5329" w:type="dxa"/>
            <w:vMerge/>
          </w:tcPr>
          <w:p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Tr="00780B69">
        <w:trPr>
          <w:cantSplit/>
        </w:trPr>
        <w:tc>
          <w:tcPr>
            <w:tcW w:w="1098" w:type="dxa"/>
          </w:tcPr>
          <w:p w:rsidR="00C34772" w:rsidRPr="00780B69" w:rsidRDefault="00C34772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Correo-e:</w:t>
            </w:r>
          </w:p>
        </w:tc>
        <w:tc>
          <w:tcPr>
            <w:tcW w:w="3779" w:type="dxa"/>
            <w:gridSpan w:val="2"/>
          </w:tcPr>
          <w:p w:rsidR="00C34772" w:rsidRDefault="00E365D4" w:rsidP="00780B69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780B69" w:rsidRPr="00601B4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329" w:type="dxa"/>
          </w:tcPr>
          <w:p w:rsidR="00C34772" w:rsidRPr="00780B69" w:rsidRDefault="00C34772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Copia:</w:t>
            </w:r>
          </w:p>
          <w:p w:rsidR="00780B69" w:rsidRDefault="00780B69" w:rsidP="00E40950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>
              <w:t>–</w:t>
            </w:r>
            <w:r>
              <w:tab/>
            </w:r>
            <w:r w:rsidR="00B803D2">
              <w:t xml:space="preserve">a los </w:t>
            </w:r>
            <w:r>
              <w:t>Asociados de la Comisión de Estudio 3 del</w:t>
            </w:r>
            <w:r w:rsidR="00E40950">
              <w:t> </w:t>
            </w:r>
            <w:r>
              <w:t>UIT-T;</w:t>
            </w:r>
          </w:p>
          <w:p w:rsidR="00780B69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>
              <w:t>–</w:t>
            </w:r>
            <w:r>
              <w:tab/>
            </w:r>
            <w:r w:rsidR="00B803D2">
              <w:t xml:space="preserve">a las </w:t>
            </w:r>
            <w:r>
              <w:t>Instituciones Académicas de la UIT;</w:t>
            </w:r>
          </w:p>
          <w:p w:rsidR="00780B69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>
              <w:t>–</w:t>
            </w:r>
            <w:r>
              <w:tab/>
            </w:r>
            <w:r w:rsidR="00B803D2">
              <w:t xml:space="preserve">al </w:t>
            </w:r>
            <w:r>
              <w:t>Presidente y Vicepresidentes de la Comisión de Estudio 3 del UIT-T;</w:t>
            </w:r>
          </w:p>
          <w:p w:rsidR="00780B69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360" w:hanging="303"/>
            </w:pPr>
            <w:r>
              <w:t>–</w:t>
            </w:r>
            <w:r>
              <w:tab/>
            </w:r>
            <w:r w:rsidR="00B803D2">
              <w:t xml:space="preserve">a la </w:t>
            </w:r>
            <w:r>
              <w:t>Directora de la Oficina de Desarrollo de las Telecomunicaciones;</w:t>
            </w:r>
          </w:p>
          <w:p w:rsidR="00C34772" w:rsidRDefault="00780B69" w:rsidP="00780B69">
            <w:pPr>
              <w:tabs>
                <w:tab w:val="clear" w:pos="794"/>
                <w:tab w:val="left" w:pos="360"/>
              </w:tabs>
              <w:spacing w:before="40" w:after="40"/>
              <w:ind w:left="57"/>
            </w:pPr>
            <w:r>
              <w:t>–</w:t>
            </w:r>
            <w:r>
              <w:tab/>
            </w:r>
            <w:r w:rsidR="00B803D2">
              <w:t xml:space="preserve">al </w:t>
            </w:r>
            <w:r>
              <w:t>Director de la Oficina de Radiocomunicaciones</w:t>
            </w:r>
          </w:p>
        </w:tc>
      </w:tr>
      <w:tr w:rsidR="007B6316" w:rsidTr="00780B69">
        <w:trPr>
          <w:cantSplit/>
        </w:trPr>
        <w:tc>
          <w:tcPr>
            <w:tcW w:w="1098" w:type="dxa"/>
          </w:tcPr>
          <w:p w:rsidR="007B6316" w:rsidRPr="00780B69" w:rsidRDefault="007B6316" w:rsidP="00780B69">
            <w:pPr>
              <w:spacing w:before="40" w:after="40"/>
              <w:ind w:left="57"/>
              <w:rPr>
                <w:b/>
                <w:bCs/>
              </w:rPr>
            </w:pPr>
            <w:r w:rsidRPr="00780B69">
              <w:rPr>
                <w:b/>
                <w:bCs/>
              </w:rPr>
              <w:t>Asunto:</w:t>
            </w:r>
          </w:p>
        </w:tc>
        <w:tc>
          <w:tcPr>
            <w:tcW w:w="9108" w:type="dxa"/>
            <w:gridSpan w:val="3"/>
          </w:tcPr>
          <w:p w:rsidR="007B6316" w:rsidRPr="005A0984" w:rsidRDefault="00780B69" w:rsidP="00780B69">
            <w:pPr>
              <w:spacing w:before="40" w:after="40"/>
              <w:ind w:left="57"/>
              <w:rPr>
                <w:b/>
                <w:bCs/>
              </w:rPr>
            </w:pPr>
            <w:r w:rsidRPr="005A0984">
              <w:rPr>
                <w:b/>
                <w:bCs/>
              </w:rPr>
              <w:t>Cuestionario sobre la aplicación de las Recomendaciones UIT-T D.98, Tarificación del servicio de itinerancia móvil internacional, y UIT-T D.97, Principios metodológicos para determinar las tarifas de itinerancia móvil internacional</w:t>
            </w:r>
          </w:p>
        </w:tc>
      </w:tr>
    </w:tbl>
    <w:p w:rsidR="00C34772" w:rsidRDefault="00C34772" w:rsidP="006F7A76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</w:t>
      </w:r>
      <w:r w:rsidR="005A0984">
        <w:t>r mío,</w:t>
      </w:r>
    </w:p>
    <w:p w:rsidR="00780B69" w:rsidRPr="00780B69" w:rsidRDefault="00780B69" w:rsidP="00780B69">
      <w:pPr>
        <w:rPr>
          <w:lang w:val="es-ES"/>
        </w:rPr>
      </w:pPr>
      <w:r w:rsidRPr="00605733">
        <w:rPr>
          <w:lang w:val="es-ES"/>
        </w:rPr>
        <w:t>1</w:t>
      </w:r>
      <w:r w:rsidRPr="00780B69">
        <w:rPr>
          <w:lang w:val="es-ES"/>
        </w:rPr>
        <w:tab/>
        <w:t>La Comisión de Estudio 3 del UIT-T (Principios contables y de tarificación y cuestiones de política y economía de las telecomunicaciones/TIC internacionales) celebró su tercera reunión del actual periodo de estudios (2017-2020) en Ginebra del 23 de abril a</w:t>
      </w:r>
      <w:r w:rsidR="00812780">
        <w:rPr>
          <w:lang w:val="es-ES"/>
        </w:rPr>
        <w:t>l</w:t>
      </w:r>
      <w:r w:rsidRPr="00780B69">
        <w:rPr>
          <w:lang w:val="es-ES"/>
        </w:rPr>
        <w:t xml:space="preserve"> 2 de mayo de 2019.</w:t>
      </w:r>
    </w:p>
    <w:p w:rsidR="00780B69" w:rsidRPr="00780B69" w:rsidRDefault="00780B69" w:rsidP="00780B69">
      <w:pPr>
        <w:rPr>
          <w:lang w:val="es-ES"/>
        </w:rPr>
      </w:pPr>
      <w:r w:rsidRPr="00780B69">
        <w:rPr>
          <w:lang w:val="es-ES"/>
        </w:rPr>
        <w:t>2</w:t>
      </w:r>
      <w:r w:rsidRPr="00780B69">
        <w:rPr>
          <w:lang w:val="es-ES"/>
        </w:rPr>
        <w:tab/>
        <w:t xml:space="preserve">En el marco de la Cuestión 4/3 (Estudios regionales para el establecimiento de modelos de costes y los aspectos conexos de orden económico y político), se acordó distribuir un cuestionario sobre la aplicación de las Recomendaciones UIT-T D.98, </w:t>
      </w:r>
      <w:r w:rsidRPr="0023433F">
        <w:rPr>
          <w:i/>
          <w:iCs/>
          <w:lang w:val="es-ES"/>
        </w:rPr>
        <w:t>Tarificación del servicio de itinerancia móvil internacional</w:t>
      </w:r>
      <w:r w:rsidRPr="00780B69">
        <w:rPr>
          <w:lang w:val="es-ES"/>
        </w:rPr>
        <w:t xml:space="preserve"> y UIT-T D.97, </w:t>
      </w:r>
      <w:r w:rsidRPr="0023433F">
        <w:rPr>
          <w:i/>
          <w:iCs/>
          <w:lang w:val="es-ES"/>
        </w:rPr>
        <w:t>Principios metodológicos para determinar las tarifas de itinerancia móvil internacional</w:t>
      </w:r>
      <w:r w:rsidRPr="00780B69">
        <w:rPr>
          <w:lang w:val="es-ES"/>
        </w:rPr>
        <w:t>.</w:t>
      </w:r>
    </w:p>
    <w:p w:rsidR="00780B69" w:rsidRPr="00780B69" w:rsidRDefault="00E365D4" w:rsidP="00780B69">
      <w:pPr>
        <w:rPr>
          <w:lang w:val="es-ES"/>
        </w:rPr>
      </w:pPr>
      <w:r>
        <w:rPr>
          <w:lang w:val="es-ES"/>
        </w:rPr>
        <w:t>3</w:t>
      </w:r>
      <w:r w:rsidR="00780B69" w:rsidRPr="00780B69">
        <w:rPr>
          <w:lang w:val="es-ES"/>
        </w:rPr>
        <w:tab/>
        <w:t xml:space="preserve">El cuestionario sobre la aplicación de las Recomendaciones UIT-T D.98 y UIT-T D.97 puede encontrarse en el </w:t>
      </w:r>
      <w:r w:rsidR="00780B69" w:rsidRPr="00605733">
        <w:rPr>
          <w:b/>
          <w:bCs/>
          <w:lang w:val="es-ES"/>
        </w:rPr>
        <w:t>Anexo 1</w:t>
      </w:r>
      <w:r w:rsidR="00780B69" w:rsidRPr="00780B69">
        <w:rPr>
          <w:lang w:val="es-ES"/>
        </w:rPr>
        <w:t>.</w:t>
      </w:r>
    </w:p>
    <w:p w:rsidR="00780B69" w:rsidRPr="00780B69" w:rsidRDefault="00E365D4" w:rsidP="005F0E3B">
      <w:pPr>
        <w:rPr>
          <w:lang w:val="es-ES"/>
        </w:rPr>
      </w:pPr>
      <w:r>
        <w:rPr>
          <w:lang w:val="es-ES"/>
        </w:rPr>
        <w:t>4</w:t>
      </w:r>
      <w:r w:rsidR="00780B69" w:rsidRPr="00780B69">
        <w:rPr>
          <w:lang w:val="es-ES"/>
        </w:rPr>
        <w:tab/>
        <w:t xml:space="preserve">Se ruega a los Estados Miembros que completen y devuelvan el formulario del Anexo 1 antes de las 23.59 horas UTC del </w:t>
      </w:r>
      <w:r w:rsidR="005F0E3B">
        <w:rPr>
          <w:b/>
          <w:bCs/>
          <w:lang w:val="es-ES"/>
        </w:rPr>
        <w:t>1</w:t>
      </w:r>
      <w:r w:rsidR="00780B69" w:rsidRPr="00605733">
        <w:rPr>
          <w:b/>
          <w:bCs/>
          <w:lang w:val="es-ES"/>
        </w:rPr>
        <w:t xml:space="preserve"> de </w:t>
      </w:r>
      <w:r w:rsidR="005F0E3B">
        <w:rPr>
          <w:b/>
          <w:bCs/>
          <w:lang w:val="es-ES"/>
        </w:rPr>
        <w:t>diciembre</w:t>
      </w:r>
      <w:r w:rsidR="00780B69" w:rsidRPr="00605733">
        <w:rPr>
          <w:b/>
          <w:bCs/>
          <w:lang w:val="es-ES"/>
        </w:rPr>
        <w:t xml:space="preserve"> de 2019</w:t>
      </w:r>
      <w:r w:rsidR="00780B69" w:rsidRPr="00780B69">
        <w:rPr>
          <w:lang w:val="es-ES"/>
        </w:rPr>
        <w:t>.</w:t>
      </w:r>
    </w:p>
    <w:p w:rsidR="00B803D2" w:rsidRDefault="00B803D2" w:rsidP="00B803D2">
      <w:pPr>
        <w:rPr>
          <w:lang w:val="es-ES"/>
        </w:rPr>
      </w:pPr>
      <w:r>
        <w:rPr>
          <w:lang w:val="es-ES"/>
        </w:rPr>
        <w:br w:type="page"/>
      </w:r>
    </w:p>
    <w:p w:rsidR="00780B69" w:rsidRPr="00780B69" w:rsidRDefault="00780B69" w:rsidP="00B803D2">
      <w:pPr>
        <w:rPr>
          <w:lang w:val="es-ES"/>
        </w:rPr>
      </w:pPr>
      <w:r w:rsidRPr="00B803D2">
        <w:rPr>
          <w:lang w:val="es-ES"/>
        </w:rPr>
        <w:lastRenderedPageBreak/>
        <w:t>4</w:t>
      </w:r>
      <w:r w:rsidRPr="00780B69">
        <w:rPr>
          <w:lang w:val="es-ES"/>
        </w:rPr>
        <w:tab/>
        <w:t>Cuento con su cooperación para que las respuestas se reciban antes del plazo indicado, pues su examen está previsto para la próxima reunión del Grupo de Relator sobre la Cuestión 4/3 de la Comisión de Estudio 3, que se celebrará en Ginebra del 13 al 17 de enero de 2020.</w:t>
      </w:r>
    </w:p>
    <w:p w:rsidR="007B6316" w:rsidRPr="00081FE5" w:rsidRDefault="007B6316" w:rsidP="007B6316">
      <w:r w:rsidRPr="00081FE5">
        <w:t>Atentamente,</w:t>
      </w:r>
    </w:p>
    <w:p w:rsidR="007B6316" w:rsidRPr="00B803D2" w:rsidRDefault="007B6316" w:rsidP="00E365D4">
      <w:pPr>
        <w:spacing w:after="120"/>
        <w:rPr>
          <w:i/>
          <w:iCs/>
          <w:sz w:val="28"/>
          <w:szCs w:val="22"/>
        </w:rPr>
      </w:pPr>
      <w:bookmarkStart w:id="4" w:name="_GoBack"/>
      <w:r w:rsidRPr="00B803D2">
        <w:rPr>
          <w:i/>
          <w:iCs/>
        </w:rPr>
        <w:t>(</w:t>
      </w:r>
      <w:proofErr w:type="gramStart"/>
      <w:r w:rsidRPr="00B803D2">
        <w:rPr>
          <w:i/>
          <w:iCs/>
        </w:rPr>
        <w:t>firmado</w:t>
      </w:r>
      <w:proofErr w:type="gramEnd"/>
      <w:r w:rsidRPr="00B803D2">
        <w:rPr>
          <w:i/>
          <w:iCs/>
        </w:rPr>
        <w:t>)</w:t>
      </w:r>
    </w:p>
    <w:bookmarkEnd w:id="4"/>
    <w:p w:rsidR="007B6316" w:rsidRPr="00081FE5" w:rsidRDefault="007B6316" w:rsidP="00E365D4">
      <w:pPr>
        <w:spacing w:before="0"/>
      </w:pPr>
      <w:r w:rsidRPr="00081FE5">
        <w:t>Chaesub Lee</w:t>
      </w:r>
      <w:r w:rsidRPr="00081FE5">
        <w:br/>
        <w:t xml:space="preserve">Director de la Oficina de </w:t>
      </w:r>
      <w:r w:rsidRPr="00081FE5">
        <w:br/>
        <w:t>Normalización de las Telecomunicaciones</w:t>
      </w:r>
    </w:p>
    <w:p w:rsidR="00780B69" w:rsidRDefault="00780B69" w:rsidP="00B803D2">
      <w:pPr>
        <w:spacing w:before="720"/>
        <w:rPr>
          <w:lang w:val="es-ES"/>
        </w:rPr>
      </w:pPr>
      <w:r w:rsidRPr="00780B69">
        <w:rPr>
          <w:b/>
          <w:bCs/>
          <w:lang w:val="es-ES"/>
        </w:rPr>
        <w:t>Anexo</w:t>
      </w:r>
      <w:r w:rsidRPr="00780B69">
        <w:rPr>
          <w:lang w:val="es-ES"/>
        </w:rPr>
        <w:t>: 1</w:t>
      </w:r>
    </w:p>
    <w:p w:rsidR="00780B69" w:rsidRDefault="00780B69" w:rsidP="00780B69">
      <w:pPr>
        <w:rPr>
          <w:lang w:val="es-ES"/>
        </w:rPr>
      </w:pPr>
      <w:r>
        <w:rPr>
          <w:lang w:val="es-ES"/>
        </w:rPr>
        <w:br w:type="page"/>
      </w:r>
    </w:p>
    <w:p w:rsidR="00780B69" w:rsidRPr="00F77A4B" w:rsidRDefault="00780B69" w:rsidP="00B803D2">
      <w:pPr>
        <w:pStyle w:val="AnnexNotitle"/>
        <w:rPr>
          <w:rFonts w:eastAsiaTheme="majorEastAsia"/>
          <w:bCs/>
          <w:lang w:val="es-ES"/>
        </w:rPr>
      </w:pPr>
      <w:r w:rsidRPr="00F77A4B">
        <w:rPr>
          <w:lang w:val="es-ES"/>
        </w:rPr>
        <w:lastRenderedPageBreak/>
        <w:t>ANEX</w:t>
      </w:r>
      <w:r>
        <w:rPr>
          <w:lang w:val="es-ES"/>
        </w:rPr>
        <w:t>O</w:t>
      </w:r>
      <w:r w:rsidRPr="00F77A4B">
        <w:rPr>
          <w:lang w:val="es-ES"/>
        </w:rPr>
        <w:t xml:space="preserve"> 1</w:t>
      </w:r>
      <w:r w:rsidR="00B803D2">
        <w:rPr>
          <w:rFonts w:cstheme="majorBidi"/>
          <w:lang w:val="es-ES"/>
        </w:rPr>
        <w:br/>
      </w:r>
      <w:r w:rsidR="00B803D2">
        <w:rPr>
          <w:rFonts w:cstheme="majorBidi"/>
          <w:lang w:val="es-ES"/>
        </w:rPr>
        <w:br/>
      </w:r>
      <w:r>
        <w:rPr>
          <w:rFonts w:eastAsiaTheme="majorEastAsia"/>
          <w:lang w:val="es-ES" w:eastAsia="ja-JP"/>
        </w:rPr>
        <w:t xml:space="preserve">Cuestionario sobre la aplicación de las </w:t>
      </w:r>
      <w:r w:rsidR="00756C01">
        <w:rPr>
          <w:rFonts w:eastAsiaTheme="majorEastAsia"/>
          <w:lang w:val="es-ES" w:eastAsia="ja-JP"/>
        </w:rPr>
        <w:br/>
      </w:r>
      <w:r>
        <w:rPr>
          <w:rFonts w:eastAsiaTheme="majorEastAsia"/>
          <w:lang w:val="es-ES" w:eastAsia="ja-JP"/>
        </w:rPr>
        <w:t>Recomendaciones UIT</w:t>
      </w:r>
      <w:r w:rsidRPr="00F77A4B">
        <w:rPr>
          <w:rFonts w:eastAsiaTheme="majorEastAsia"/>
          <w:lang w:val="es-ES" w:eastAsia="ja-JP"/>
        </w:rPr>
        <w:t xml:space="preserve">-T D.98 </w:t>
      </w:r>
      <w:r>
        <w:rPr>
          <w:rFonts w:eastAsiaTheme="majorEastAsia"/>
          <w:lang w:val="es-ES" w:eastAsia="ja-JP"/>
        </w:rPr>
        <w:t>y UIT</w:t>
      </w:r>
      <w:r w:rsidRPr="00F77A4B">
        <w:rPr>
          <w:rFonts w:eastAsiaTheme="majorEastAsia"/>
          <w:lang w:val="es-ES" w:eastAsia="ja-JP"/>
        </w:rPr>
        <w:t>-T D.97</w:t>
      </w:r>
    </w:p>
    <w:p w:rsidR="00780B69" w:rsidRPr="00605733" w:rsidRDefault="00780B69" w:rsidP="00605733">
      <w:pPr>
        <w:pStyle w:val="Normalaftertitle"/>
        <w:ind w:left="794" w:hanging="794"/>
      </w:pPr>
      <w:r w:rsidRPr="00605733">
        <w:t>1</w:t>
      </w:r>
      <w:r w:rsidRPr="00605733">
        <w:tab/>
        <w:t xml:space="preserve">¿Conoce la </w:t>
      </w:r>
      <w:r w:rsidRPr="00605733">
        <w:rPr>
          <w:b/>
          <w:bCs/>
        </w:rPr>
        <w:t xml:space="preserve">Recomendación UIT-T D.98, </w:t>
      </w:r>
      <w:r w:rsidRPr="00605733">
        <w:rPr>
          <w:b/>
          <w:bCs/>
          <w:i/>
          <w:iCs/>
        </w:rPr>
        <w:t>Tarificación del servicio de itinerancia móvil internacional</w:t>
      </w:r>
      <w:r w:rsidRPr="00605733">
        <w:t>, que se aprobó en septiembre de 2012?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Sí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No</w:t>
      </w:r>
    </w:p>
    <w:p w:rsidR="00780B69" w:rsidRPr="00605733" w:rsidRDefault="00780B69" w:rsidP="00605733">
      <w:pPr>
        <w:ind w:left="794" w:hanging="794"/>
      </w:pPr>
      <w:r w:rsidRPr="00605733">
        <w:t>2</w:t>
      </w:r>
      <w:r w:rsidRPr="00605733">
        <w:tab/>
        <w:t xml:space="preserve">¿Conoce la </w:t>
      </w:r>
      <w:r w:rsidRPr="00605733">
        <w:rPr>
          <w:b/>
          <w:bCs/>
        </w:rPr>
        <w:t xml:space="preserve">Recomendación UIT-T D.97, </w:t>
      </w:r>
      <w:r w:rsidRPr="00605733">
        <w:rPr>
          <w:b/>
          <w:bCs/>
          <w:i/>
          <w:iCs/>
        </w:rPr>
        <w:t>Principios metodológicos para determinar las tarifas de itinerancia móvil internacional</w:t>
      </w:r>
      <w:r w:rsidRPr="00605733">
        <w:t>, que se aprobó en octubre de 2016?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Sí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No</w:t>
      </w:r>
    </w:p>
    <w:p w:rsidR="00780B69" w:rsidRPr="00756C01" w:rsidRDefault="00780B69" w:rsidP="00605733">
      <w:pPr>
        <w:rPr>
          <w:b/>
          <w:bCs/>
        </w:rPr>
      </w:pPr>
      <w:r w:rsidRPr="00756C01">
        <w:rPr>
          <w:b/>
          <w:bCs/>
        </w:rPr>
        <w:t>3</w:t>
      </w:r>
      <w:r w:rsidRPr="00756C01">
        <w:rPr>
          <w:b/>
          <w:bCs/>
        </w:rPr>
        <w:tab/>
        <w:t>Tarifas de itinerancia móvil internacional al por menor</w:t>
      </w:r>
    </w:p>
    <w:p w:rsidR="00780B69" w:rsidRPr="00605733" w:rsidRDefault="00780B69" w:rsidP="00605733">
      <w:pPr>
        <w:spacing w:after="120"/>
        <w:ind w:left="794" w:hanging="794"/>
      </w:pPr>
      <w:r w:rsidRPr="00605733">
        <w:t>3.1</w:t>
      </w:r>
      <w:r w:rsidRPr="00605733">
        <w:tab/>
        <w:t>¿Qué clase tarifaria aplica a la itinerancia móvil internacional en la actualidad?</w:t>
      </w:r>
      <w:r w:rsidRPr="00605733">
        <w:br/>
        <w:t>Especifique:</w:t>
      </w: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1121"/>
        <w:gridCol w:w="2389"/>
        <w:gridCol w:w="1372"/>
        <w:gridCol w:w="1373"/>
        <w:gridCol w:w="1372"/>
        <w:gridCol w:w="1373"/>
      </w:tblGrid>
      <w:tr w:rsidR="00780B69" w:rsidRPr="00B95521" w:rsidTr="00A236E5">
        <w:trPr>
          <w:trHeight w:val="435"/>
        </w:trPr>
        <w:tc>
          <w:tcPr>
            <w:tcW w:w="3510" w:type="dxa"/>
            <w:gridSpan w:val="2"/>
            <w:vMerge w:val="restart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Año</w:t>
            </w:r>
          </w:p>
        </w:tc>
        <w:tc>
          <w:tcPr>
            <w:tcW w:w="2745" w:type="dxa"/>
            <w:gridSpan w:val="2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2013</w:t>
            </w:r>
          </w:p>
        </w:tc>
        <w:tc>
          <w:tcPr>
            <w:tcW w:w="2745" w:type="dxa"/>
            <w:gridSpan w:val="2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2019</w:t>
            </w:r>
          </w:p>
        </w:tc>
      </w:tr>
      <w:tr w:rsidR="00780B69" w:rsidRPr="00B95521" w:rsidTr="00A236E5">
        <w:tc>
          <w:tcPr>
            <w:tcW w:w="3510" w:type="dxa"/>
            <w:gridSpan w:val="2"/>
            <w:vMerge/>
            <w:vAlign w:val="center"/>
          </w:tcPr>
          <w:p w:rsidR="00780B69" w:rsidRPr="009E7E35" w:rsidRDefault="00780B69" w:rsidP="00A236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ajorEastAsia"/>
                <w:szCs w:val="24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Mín</w:t>
            </w: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Máx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Mín</w:t>
            </w: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Máx</w:t>
            </w:r>
          </w:p>
        </w:tc>
      </w:tr>
      <w:tr w:rsidR="00780B69" w:rsidRPr="00B95521" w:rsidTr="009E7E35">
        <w:trPr>
          <w:trHeight w:val="559"/>
        </w:trPr>
        <w:tc>
          <w:tcPr>
            <w:tcW w:w="1121" w:type="dxa"/>
            <w:vMerge w:val="restart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Llamada de voz</w:t>
            </w:r>
          </w:p>
        </w:tc>
        <w:tc>
          <w:tcPr>
            <w:tcW w:w="2389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Saliente (USD/min)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</w:tr>
      <w:tr w:rsidR="00780B69" w:rsidRPr="00B95521" w:rsidTr="009E7E35">
        <w:tc>
          <w:tcPr>
            <w:tcW w:w="1121" w:type="dxa"/>
            <w:vMerge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780B69" w:rsidRPr="009E7E35" w:rsidRDefault="009E7E35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 xml:space="preserve">Entrante </w:t>
            </w:r>
            <w:r w:rsidR="00780B69" w:rsidRPr="009E7E35">
              <w:rPr>
                <w:sz w:val="24"/>
                <w:szCs w:val="24"/>
              </w:rPr>
              <w:t>(USD/min)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</w:tr>
      <w:tr w:rsidR="00780B69" w:rsidRPr="00B95521" w:rsidTr="009E7E35">
        <w:trPr>
          <w:trHeight w:val="561"/>
        </w:trPr>
        <w:tc>
          <w:tcPr>
            <w:tcW w:w="1121" w:type="dxa"/>
            <w:vMerge w:val="restart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SMS</w:t>
            </w:r>
          </w:p>
        </w:tc>
        <w:tc>
          <w:tcPr>
            <w:tcW w:w="2389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Envío (USD/SMS)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</w:tr>
      <w:tr w:rsidR="00780B69" w:rsidRPr="00B95521" w:rsidTr="009E7E35">
        <w:tc>
          <w:tcPr>
            <w:tcW w:w="1121" w:type="dxa"/>
            <w:vMerge/>
            <w:vAlign w:val="center"/>
          </w:tcPr>
          <w:p w:rsidR="00780B69" w:rsidRPr="009E7E35" w:rsidRDefault="00780B69" w:rsidP="00A236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ajorEastAsia"/>
                <w:szCs w:val="24"/>
                <w:lang w:val="en-GB" w:eastAsia="ja-JP"/>
              </w:rPr>
            </w:pPr>
          </w:p>
        </w:tc>
        <w:tc>
          <w:tcPr>
            <w:tcW w:w="2389" w:type="dxa"/>
            <w:vAlign w:val="center"/>
          </w:tcPr>
          <w:p w:rsidR="00780B69" w:rsidRPr="009E7E35" w:rsidRDefault="009E7E35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 xml:space="preserve">Recepción </w:t>
            </w:r>
            <w:r w:rsidR="00780B69" w:rsidRPr="009E7E35">
              <w:rPr>
                <w:sz w:val="24"/>
                <w:szCs w:val="24"/>
              </w:rPr>
              <w:t>(USD/SMS)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</w:tr>
      <w:tr w:rsidR="00780B69" w:rsidRPr="00B95521" w:rsidTr="00A236E5">
        <w:trPr>
          <w:trHeight w:val="421"/>
        </w:trPr>
        <w:tc>
          <w:tcPr>
            <w:tcW w:w="3510" w:type="dxa"/>
            <w:gridSpan w:val="2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Datos (USD/MB)</w:t>
            </w: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780B69" w:rsidRPr="009E7E35" w:rsidRDefault="00780B69" w:rsidP="00756C01">
            <w:pPr>
              <w:pStyle w:val="Tabletext0"/>
              <w:rPr>
                <w:sz w:val="24"/>
                <w:szCs w:val="24"/>
              </w:rPr>
            </w:pPr>
          </w:p>
        </w:tc>
      </w:tr>
    </w:tbl>
    <w:p w:rsidR="00780B69" w:rsidRPr="00756C01" w:rsidRDefault="00780B69" w:rsidP="00756C01">
      <w:pPr>
        <w:pStyle w:val="Normalaftertitle"/>
        <w:ind w:left="794" w:hanging="794"/>
      </w:pPr>
      <w:r w:rsidRPr="00756C01">
        <w:t>3.2</w:t>
      </w:r>
      <w:r w:rsidRPr="00756C01">
        <w:tab/>
        <w:t>¿Ha resultado la Recomendación UIT-T D.98 útil para reducir las tarifas de itinerancia en su país?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(1) Muy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(2)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(3) Neutro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(4) De 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(5) Muy de acuerdo</w:t>
      </w:r>
    </w:p>
    <w:p w:rsidR="009E7E35" w:rsidRDefault="009E7E35" w:rsidP="009E7E35">
      <w:r>
        <w:br w:type="page"/>
      </w:r>
    </w:p>
    <w:p w:rsidR="00780B69" w:rsidRPr="00756C01" w:rsidRDefault="00780B69" w:rsidP="00756C01">
      <w:pPr>
        <w:ind w:left="794" w:hanging="794"/>
      </w:pPr>
      <w:r w:rsidRPr="00756C01">
        <w:lastRenderedPageBreak/>
        <w:t>3.3</w:t>
      </w:r>
      <w:r w:rsidRPr="00756C01">
        <w:tab/>
        <w:t>¿Ha resultado la Recomendación UIT-T D.97 útil para reducir las tarifas de itinerancia en su país?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(1) Muy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(2)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(3) Neutro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(4) De 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(5) Muy de acuerdo</w:t>
      </w:r>
    </w:p>
    <w:p w:rsidR="00780B69" w:rsidRPr="00756C01" w:rsidRDefault="00780B69" w:rsidP="00756C01">
      <w:pPr>
        <w:rPr>
          <w:b/>
          <w:bCs/>
        </w:rPr>
      </w:pPr>
      <w:r w:rsidRPr="00756C01">
        <w:rPr>
          <w:b/>
          <w:bCs/>
        </w:rPr>
        <w:t>4</w:t>
      </w:r>
      <w:r w:rsidRPr="00756C01">
        <w:rPr>
          <w:b/>
          <w:bCs/>
        </w:rPr>
        <w:tab/>
        <w:t>Medidas para determinar las tarifas de itinerancia móvil internacional</w:t>
      </w:r>
    </w:p>
    <w:p w:rsidR="00780B69" w:rsidRPr="00756C01" w:rsidRDefault="00780B69" w:rsidP="00756C01">
      <w:pPr>
        <w:ind w:left="794" w:hanging="794"/>
      </w:pPr>
      <w:r w:rsidRPr="00756C01">
        <w:t>4.1</w:t>
      </w:r>
      <w:r w:rsidRPr="00756C01">
        <w:tab/>
        <w:t>¿Qué medidas ha estado aplicando en relación con los servicios de itinerancia móvil internacional y la determinación de las tarifas correspondientes?</w:t>
      </w:r>
      <w:r w:rsidRPr="00756C01">
        <w:br/>
        <w:t>Marque todo lo aplicable: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1440" w:hanging="646"/>
      </w:pPr>
      <w:r w:rsidRPr="00605733">
        <w:sym w:font="Wingdings" w:char="F06F"/>
      </w:r>
      <w:r w:rsidRPr="00605733">
        <w:tab/>
        <w:t>Medidas para aumentar la sensibilización de los consumidores a los servicios de itinerancia (por ejemplo, facilitación información clara y transparente sobre los precios, envío SMS a los usuarios con alertas sobre la utilización y los gastos incurridos, envío de avisos, bloqueo automático de los servicios de itinerancia alcanzado un límite predeterminado, etc.)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1440" w:hanging="646"/>
      </w:pPr>
      <w:r w:rsidRPr="00605733">
        <w:sym w:font="Wingdings" w:char="F06F"/>
      </w:r>
      <w:r w:rsidRPr="00605733">
        <w:tab/>
        <w:t>Medidas para fomentar la competitividad en el mercado de la itinerancia móvil internacional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1440" w:hanging="646"/>
      </w:pPr>
      <w:r w:rsidRPr="00605733">
        <w:sym w:font="Wingdings" w:char="F06F"/>
      </w:r>
      <w:r w:rsidRPr="00605733">
        <w:tab/>
        <w:t>Oferta de planes de precios de itinerancia ajustados a las necesidades y el presupuesto de los usuarios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1440" w:hanging="646"/>
      </w:pPr>
      <w:r w:rsidRPr="00605733">
        <w:sym w:font="Wingdings" w:char="F06F"/>
      </w:r>
      <w:r w:rsidRPr="00605733">
        <w:tab/>
        <w:t>Apoyo a los servicios de sustitución (tarjetas SIM locales, dispositivos doble-SIM, alquiler de dispositivos, otras nuevas tecnologías, etc.)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</w:r>
      <w:r w:rsidR="00605733" w:rsidRPr="00605733">
        <w:t xml:space="preserve">Cooperación </w:t>
      </w:r>
      <w:r w:rsidRPr="00605733">
        <w:t xml:space="preserve">regional y multirregional entre operadores y reguladores 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</w:r>
      <w:r w:rsidR="00605733" w:rsidRPr="00605733">
        <w:t xml:space="preserve">Intervención </w:t>
      </w:r>
      <w:r w:rsidRPr="00605733">
        <w:t>reglamentaria (límites tarifarios, preselección, otras leyes, etc.)</w:t>
      </w:r>
    </w:p>
    <w:p w:rsidR="00780B69" w:rsidRPr="00756C01" w:rsidRDefault="00780B69" w:rsidP="00756C01">
      <w:pPr>
        <w:ind w:left="794" w:hanging="794"/>
      </w:pPr>
      <w:r w:rsidRPr="00756C01">
        <w:t>4.2</w:t>
      </w:r>
      <w:r w:rsidRPr="00756C01">
        <w:tab/>
        <w:t>¿Ha resultado la Recomendación UIT-T D.98 útil para implantar las medidas anteriores?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(1) Muy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(2)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(3) Neutro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(4) De 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(5) Muy de acuerdo</w:t>
      </w:r>
    </w:p>
    <w:p w:rsidR="009E7E35" w:rsidRDefault="009E7E35" w:rsidP="009E7E35">
      <w:r>
        <w:br w:type="page"/>
      </w:r>
    </w:p>
    <w:p w:rsidR="00780B69" w:rsidRPr="00756C01" w:rsidRDefault="00780B69" w:rsidP="00756C01">
      <w:pPr>
        <w:rPr>
          <w:b/>
          <w:bCs/>
        </w:rPr>
      </w:pPr>
      <w:r w:rsidRPr="00756C01">
        <w:rPr>
          <w:b/>
          <w:bCs/>
        </w:rPr>
        <w:lastRenderedPageBreak/>
        <w:t>5</w:t>
      </w:r>
      <w:r w:rsidRPr="00756C01">
        <w:rPr>
          <w:b/>
          <w:bCs/>
        </w:rPr>
        <w:tab/>
        <w:t>Cooperación multilateral para determinar las tarifas de itinerancia móvil internacional</w:t>
      </w:r>
    </w:p>
    <w:p w:rsidR="00780B69" w:rsidRPr="00756C01" w:rsidRDefault="00780B69" w:rsidP="00756C01">
      <w:pPr>
        <w:ind w:left="794" w:hanging="794"/>
      </w:pPr>
      <w:r w:rsidRPr="00756C01">
        <w:t>5.1</w:t>
      </w:r>
      <w:r w:rsidRPr="00756C01">
        <w:tab/>
        <w:t xml:space="preserve">¿Qué esfuerzos </w:t>
      </w:r>
      <w:r w:rsidRPr="00756C01">
        <w:rPr>
          <w:b/>
          <w:bCs/>
        </w:rPr>
        <w:t>multinacionales</w:t>
      </w:r>
      <w:r w:rsidRPr="00756C01">
        <w:t xml:space="preserve"> se están haciendo para reducir las tarifas de itinerancia móvil internacional?</w:t>
      </w:r>
      <w:r w:rsidRPr="00756C01">
        <w:br/>
        <w:t>Indique los países, órganos, organizaciones y entidades creadas o participantes y sus planes para reducir las tarifas de itinerancia móvil internacional.</w:t>
      </w:r>
    </w:p>
    <w:p w:rsidR="00780B69" w:rsidRPr="00756C01" w:rsidRDefault="00780B69" w:rsidP="00756C01">
      <w:pPr>
        <w:ind w:left="794" w:hanging="794"/>
      </w:pPr>
      <w:r w:rsidRPr="00756C01">
        <w:t>5.2</w:t>
      </w:r>
      <w:r w:rsidRPr="00756C01">
        <w:tab/>
        <w:t xml:space="preserve">¿Qué esfuerzos </w:t>
      </w:r>
      <w:r w:rsidRPr="00756C01">
        <w:rPr>
          <w:b/>
          <w:bCs/>
        </w:rPr>
        <w:t>bilaterales</w:t>
      </w:r>
      <w:r w:rsidRPr="00756C01">
        <w:t xml:space="preserve"> se están haciendo para reducir las tarifas de itinerancia móvil internacional?</w:t>
      </w:r>
      <w:r w:rsidRPr="00756C01">
        <w:br/>
        <w:t>Indique los países, órganos, organizaciones y entidades creadas o participantes y sus planes para reducir las tarifas de itinerancia móvil internacional.</w:t>
      </w:r>
    </w:p>
    <w:p w:rsidR="00780B69" w:rsidRPr="00756C01" w:rsidRDefault="00780B69" w:rsidP="00756C01">
      <w:pPr>
        <w:ind w:left="794" w:hanging="794"/>
      </w:pPr>
      <w:r w:rsidRPr="00756C01">
        <w:t>5.3</w:t>
      </w:r>
      <w:r w:rsidRPr="00756C01">
        <w:tab/>
        <w:t>¿</w:t>
      </w:r>
      <w:r w:rsidR="00821FC9" w:rsidRPr="00756C01">
        <w:t xml:space="preserve">Qué </w:t>
      </w:r>
      <w:r w:rsidRPr="00756C01">
        <w:t xml:space="preserve">esfuerzos </w:t>
      </w:r>
      <w:r w:rsidRPr="00756C01">
        <w:rPr>
          <w:b/>
          <w:bCs/>
        </w:rPr>
        <w:t>regionales</w:t>
      </w:r>
      <w:r w:rsidRPr="00756C01">
        <w:t xml:space="preserve"> se están haciendo para reducir las tarifas de itinerancia móvil internacional?</w:t>
      </w:r>
      <w:r w:rsidRPr="00756C01">
        <w:br/>
        <w:t>Indique los países, órganos, organizaciones y entidades creadas o participantes y sus planes para reducir las tarifas de itinerancia móvil internacional.</w:t>
      </w:r>
    </w:p>
    <w:p w:rsidR="00780B69" w:rsidRPr="00756C01" w:rsidRDefault="00780B69" w:rsidP="00756C01">
      <w:pPr>
        <w:ind w:left="794" w:hanging="794"/>
      </w:pPr>
      <w:r w:rsidRPr="00756C01">
        <w:t>5.4</w:t>
      </w:r>
      <w:r w:rsidRPr="00756C01">
        <w:tab/>
        <w:t>¿Ha resultado la Recomendación UIT-T D.97 útil para los esfuerzos indicados?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(1) Muy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(2)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(3) Neutro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 xml:space="preserve">(4) </w:t>
      </w:r>
      <w:r w:rsidR="00DB2B1E" w:rsidRPr="00605733">
        <w:t xml:space="preserve">De </w:t>
      </w:r>
      <w:r w:rsidRPr="00605733">
        <w:t>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(5) Muy de acuerdo</w:t>
      </w:r>
    </w:p>
    <w:p w:rsidR="00780B69" w:rsidRPr="005862B7" w:rsidRDefault="00780B69" w:rsidP="00780B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rFonts w:eastAsiaTheme="majorEastAsia"/>
          <w:b/>
          <w:szCs w:val="24"/>
          <w:lang w:val="es-ES" w:eastAsia="ko-KR"/>
        </w:rPr>
      </w:pPr>
      <w:r w:rsidRPr="005862B7">
        <w:rPr>
          <w:rFonts w:eastAsiaTheme="majorEastAsia"/>
          <w:b/>
          <w:szCs w:val="24"/>
          <w:lang w:val="es-ES" w:eastAsia="ko-KR"/>
        </w:rPr>
        <w:t>6</w:t>
      </w:r>
      <w:r w:rsidRPr="005862B7">
        <w:rPr>
          <w:rFonts w:eastAsiaTheme="majorEastAsia"/>
          <w:b/>
          <w:szCs w:val="24"/>
          <w:lang w:val="es-ES" w:eastAsia="ko-KR"/>
        </w:rPr>
        <w:tab/>
        <w:t>Principios metodológicos para determinar las tarifas de itinerancia m</w:t>
      </w:r>
      <w:r>
        <w:rPr>
          <w:rFonts w:eastAsiaTheme="majorEastAsia"/>
          <w:b/>
          <w:szCs w:val="24"/>
          <w:lang w:val="es-ES" w:eastAsia="ko-KR"/>
        </w:rPr>
        <w:t>óvil internacional</w:t>
      </w:r>
    </w:p>
    <w:p w:rsidR="00780B69" w:rsidRPr="00756C01" w:rsidRDefault="00780B69" w:rsidP="00756C01">
      <w:pPr>
        <w:ind w:left="794" w:hanging="794"/>
      </w:pPr>
      <w:r w:rsidRPr="00756C01">
        <w:t>6.1</w:t>
      </w:r>
      <w:r w:rsidRPr="00756C01">
        <w:tab/>
        <w:t>¿Qué principios se utilizan para determinar las tarifas de la itinerancia móvil internacional al por mayor o al por menor?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A8"/>
      </w:r>
      <w:r w:rsidRPr="00605733">
        <w:tab/>
        <w:t>Establecimiento de puntos de referencia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A8"/>
      </w:r>
      <w:r w:rsidRPr="00605733">
        <w:tab/>
        <w:t>Precio minorista menos costes evitables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A8"/>
      </w:r>
      <w:r w:rsidRPr="00605733">
        <w:tab/>
      </w:r>
      <w:r w:rsidR="000D3EF0" w:rsidRPr="00605733">
        <w:t xml:space="preserve">En </w:t>
      </w:r>
      <w:r w:rsidRPr="00605733">
        <w:t>función de los costes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1440" w:hanging="646"/>
      </w:pPr>
      <w:r w:rsidRPr="00605733">
        <w:sym w:font="Wingdings" w:char="F0A8"/>
      </w:r>
      <w:r w:rsidRPr="00605733">
        <w:tab/>
        <w:t>Otros</w:t>
      </w:r>
      <w:r w:rsidRPr="00605733">
        <w:br/>
        <w:t>Especifique:</w:t>
      </w:r>
    </w:p>
    <w:p w:rsidR="00780B69" w:rsidRPr="00756C01" w:rsidRDefault="00780B69" w:rsidP="00756C01">
      <w:pPr>
        <w:ind w:left="794" w:hanging="794"/>
      </w:pPr>
      <w:r w:rsidRPr="00756C01">
        <w:t>6.2</w:t>
      </w:r>
      <w:r w:rsidRPr="00756C01">
        <w:tab/>
        <w:t>¿Ha resultado la Recomendación UIT-T D.97 útil para determinar las tarifas de la itiner</w:t>
      </w:r>
      <w:r w:rsidR="009E7E35">
        <w:t>an</w:t>
      </w:r>
      <w:r w:rsidRPr="00756C01">
        <w:t>cia móvil internacional al por mayor o al por menor?</w:t>
      </w:r>
      <w:r w:rsidRPr="00756C01">
        <w:br/>
        <w:t>Escoja una respuesta: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(1) Muy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(2) Desacuerdo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(3) Neutro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 xml:space="preserve">(4) </w:t>
      </w:r>
      <w:r w:rsidR="000D3EF0" w:rsidRPr="00605733">
        <w:t xml:space="preserve">De </w:t>
      </w:r>
      <w:r w:rsidRPr="00605733">
        <w:t>acuerdo</w:t>
      </w:r>
    </w:p>
    <w:p w:rsidR="00780B69" w:rsidRPr="00605733" w:rsidRDefault="00780B69" w:rsidP="00605733">
      <w:pPr>
        <w:tabs>
          <w:tab w:val="clear" w:pos="1191"/>
          <w:tab w:val="clear" w:pos="1588"/>
          <w:tab w:val="clear" w:pos="1985"/>
        </w:tabs>
        <w:ind w:left="794"/>
      </w:pPr>
      <w:r w:rsidRPr="00605733">
        <w:sym w:font="Wingdings" w:char="F06F"/>
      </w:r>
      <w:r w:rsidRPr="00605733">
        <w:tab/>
        <w:t>(5) Muy de acuerdo</w:t>
      </w:r>
    </w:p>
    <w:p w:rsidR="009E7E35" w:rsidRDefault="009E7E35" w:rsidP="009E7E35">
      <w:pPr>
        <w:rPr>
          <w:rFonts w:eastAsiaTheme="majorEastAsia"/>
          <w:lang w:val="es-ES" w:eastAsia="ko-KR"/>
        </w:rPr>
      </w:pPr>
      <w:r>
        <w:rPr>
          <w:rFonts w:eastAsiaTheme="majorEastAsia"/>
          <w:lang w:val="es-ES" w:eastAsia="ko-KR"/>
        </w:rPr>
        <w:br w:type="page"/>
      </w:r>
    </w:p>
    <w:p w:rsidR="00780B69" w:rsidRPr="005862B7" w:rsidRDefault="00780B69" w:rsidP="009E7E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eastAsiaTheme="majorEastAsia"/>
          <w:b/>
          <w:szCs w:val="24"/>
          <w:lang w:val="es-ES" w:eastAsia="ja-JP"/>
        </w:rPr>
      </w:pPr>
      <w:r w:rsidRPr="005862B7">
        <w:rPr>
          <w:rFonts w:eastAsiaTheme="majorEastAsia"/>
          <w:b/>
          <w:szCs w:val="24"/>
          <w:lang w:val="es-ES" w:eastAsia="ko-KR"/>
        </w:rPr>
        <w:lastRenderedPageBreak/>
        <w:t>7</w:t>
      </w:r>
      <w:r w:rsidRPr="005862B7">
        <w:rPr>
          <w:rFonts w:eastAsiaTheme="majorEastAsia"/>
          <w:b/>
          <w:szCs w:val="24"/>
          <w:lang w:val="es-ES" w:eastAsia="ja-JP"/>
        </w:rPr>
        <w:tab/>
        <w:t xml:space="preserve">Sugerencias para la satisfactoria aplicación de las Recomendaciones UIT-T D.98 </w:t>
      </w:r>
      <w:r>
        <w:rPr>
          <w:rFonts w:eastAsiaTheme="majorEastAsia"/>
          <w:b/>
          <w:szCs w:val="24"/>
          <w:lang w:val="es-ES" w:eastAsia="ja-JP"/>
        </w:rPr>
        <w:t>y UIT</w:t>
      </w:r>
      <w:r w:rsidR="009E7E35">
        <w:rPr>
          <w:rFonts w:eastAsiaTheme="majorEastAsia"/>
          <w:b/>
          <w:szCs w:val="24"/>
          <w:lang w:val="es-ES" w:eastAsia="ja-JP"/>
        </w:rPr>
        <w:noBreakHyphen/>
      </w:r>
      <w:r w:rsidRPr="005862B7">
        <w:rPr>
          <w:rFonts w:eastAsiaTheme="majorEastAsia"/>
          <w:b/>
          <w:szCs w:val="24"/>
          <w:lang w:val="es-ES" w:eastAsia="ja-JP"/>
        </w:rPr>
        <w:t>T</w:t>
      </w:r>
      <w:r w:rsidR="009E7E35">
        <w:rPr>
          <w:rFonts w:eastAsiaTheme="majorEastAsia"/>
          <w:b/>
          <w:szCs w:val="24"/>
          <w:lang w:val="es-ES" w:eastAsia="ja-JP"/>
        </w:rPr>
        <w:t> </w:t>
      </w:r>
      <w:r w:rsidRPr="005862B7">
        <w:rPr>
          <w:rFonts w:eastAsiaTheme="majorEastAsia"/>
          <w:b/>
          <w:szCs w:val="24"/>
          <w:lang w:val="es-ES" w:eastAsia="ja-JP"/>
        </w:rPr>
        <w:t>D.97</w:t>
      </w:r>
    </w:p>
    <w:p w:rsidR="00780B69" w:rsidRPr="00756C01" w:rsidRDefault="00780B69" w:rsidP="00756C01">
      <w:pPr>
        <w:ind w:left="794" w:hanging="794"/>
      </w:pPr>
      <w:r w:rsidRPr="00756C01">
        <w:t>7.1</w:t>
      </w:r>
      <w:r w:rsidRPr="00756C01">
        <w:tab/>
        <w:t>¿Cómo puede mejorarse la Recomendación UIT-T D.98 para reducir aún más las tarifas de la itinerancia móvil internacional?</w:t>
      </w:r>
      <w:r w:rsidRPr="00756C01">
        <w:br/>
        <w:t>Especifique:</w:t>
      </w: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Desde la perspectiva del empoderamiento de los consumidores:</w:t>
      </w:r>
    </w:p>
    <w:p w:rsidR="00240833" w:rsidRPr="00756C01" w:rsidRDefault="00240833" w:rsidP="00240833">
      <w:pPr>
        <w:ind w:left="1191"/>
      </w:pP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Desde la perspectiva de las soluciones de mercado:</w:t>
      </w:r>
    </w:p>
    <w:p w:rsidR="00240833" w:rsidRPr="00756C01" w:rsidRDefault="00240833" w:rsidP="00240833">
      <w:pPr>
        <w:ind w:left="1191"/>
      </w:pP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Desde la perspectiva de la intervención reglamentaria:</w:t>
      </w:r>
    </w:p>
    <w:p w:rsidR="00240833" w:rsidRPr="00756C01" w:rsidRDefault="00240833" w:rsidP="00240833">
      <w:pPr>
        <w:ind w:left="1191"/>
      </w:pP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Otros:</w:t>
      </w:r>
    </w:p>
    <w:p w:rsidR="00240833" w:rsidRPr="00756C01" w:rsidRDefault="00240833" w:rsidP="00240833">
      <w:pPr>
        <w:ind w:left="1191"/>
      </w:pPr>
    </w:p>
    <w:p w:rsidR="00780B69" w:rsidRPr="00756C01" w:rsidRDefault="00780B69" w:rsidP="00756C01">
      <w:pPr>
        <w:ind w:left="794" w:hanging="794"/>
      </w:pPr>
      <w:r w:rsidRPr="00756C01">
        <w:t>7.2</w:t>
      </w:r>
      <w:r w:rsidRPr="00756C01">
        <w:tab/>
        <w:t>¿Cómo puede mejorarse la Recomendación UIT-T D.97 para ser una mejor herramienta destinada a reducir las tarifas de la itinerancia móvil internacional?</w:t>
      </w:r>
      <w:r w:rsidRPr="00756C01">
        <w:br/>
        <w:t>Especifique:</w:t>
      </w: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Desde la perspectiva de las medidas reglamentarias adecuadas:</w:t>
      </w:r>
    </w:p>
    <w:p w:rsidR="00240833" w:rsidRPr="00756C01" w:rsidRDefault="00240833" w:rsidP="00240833">
      <w:pPr>
        <w:ind w:left="1191"/>
      </w:pPr>
    </w:p>
    <w:p w:rsidR="00780B69" w:rsidRDefault="00756C01" w:rsidP="00756C01">
      <w:pPr>
        <w:pStyle w:val="enumlev2"/>
      </w:pPr>
      <w:r>
        <w:t>–</w:t>
      </w:r>
      <w:r w:rsidR="00780B69" w:rsidRPr="00756C01">
        <w:tab/>
        <w:t>Desde la perspectiva de los principios metodológicos:</w:t>
      </w:r>
    </w:p>
    <w:p w:rsidR="00240833" w:rsidRPr="00756C01" w:rsidRDefault="00240833" w:rsidP="00240833">
      <w:pPr>
        <w:ind w:left="1191"/>
      </w:pPr>
    </w:p>
    <w:p w:rsidR="00780B69" w:rsidRDefault="00756C01" w:rsidP="00240833">
      <w:pPr>
        <w:pStyle w:val="enumlev2"/>
      </w:pPr>
      <w:r>
        <w:t>–</w:t>
      </w:r>
      <w:r w:rsidR="00780B69" w:rsidRPr="00756C01">
        <w:tab/>
        <w:t>Otros:</w:t>
      </w:r>
    </w:p>
    <w:p w:rsidR="00240833" w:rsidRPr="00756C01" w:rsidRDefault="00240833" w:rsidP="00240833">
      <w:pPr>
        <w:spacing w:after="360"/>
        <w:ind w:left="11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7226"/>
      </w:tblGrid>
      <w:tr w:rsidR="00780B69" w:rsidRPr="00554C98" w:rsidTr="009E7E35">
        <w:trPr>
          <w:cantSplit/>
        </w:trPr>
        <w:tc>
          <w:tcPr>
            <w:tcW w:w="2403" w:type="dxa"/>
          </w:tcPr>
          <w:p w:rsidR="00780B69" w:rsidRPr="009E7E35" w:rsidRDefault="00780B69" w:rsidP="009E7E35">
            <w:pPr>
              <w:pStyle w:val="Tabletext0"/>
              <w:jc w:val="right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Persona de contacto</w:t>
            </w:r>
            <w:r w:rsidR="009E7E35">
              <w:rPr>
                <w:sz w:val="24"/>
                <w:szCs w:val="24"/>
              </w:rPr>
              <w:t>:</w:t>
            </w:r>
          </w:p>
          <w:p w:rsidR="00780B69" w:rsidRPr="009E7E35" w:rsidRDefault="00780B69" w:rsidP="009E7E35">
            <w:pPr>
              <w:pStyle w:val="Tabletext0"/>
              <w:jc w:val="right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En representación de</w:t>
            </w:r>
            <w:r w:rsidR="009E7E35">
              <w:rPr>
                <w:sz w:val="24"/>
                <w:szCs w:val="24"/>
              </w:rPr>
              <w:t>:</w:t>
            </w:r>
          </w:p>
          <w:p w:rsidR="00780B69" w:rsidRPr="009E7E35" w:rsidRDefault="00780B69" w:rsidP="009E7E35">
            <w:pPr>
              <w:pStyle w:val="Tabletext0"/>
              <w:jc w:val="right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Tel</w:t>
            </w:r>
            <w:r w:rsidR="00756C01" w:rsidRPr="009E7E35">
              <w:rPr>
                <w:sz w:val="24"/>
                <w:szCs w:val="24"/>
              </w:rPr>
              <w:t>.</w:t>
            </w:r>
            <w:r w:rsidR="009E7E35">
              <w:rPr>
                <w:sz w:val="24"/>
                <w:szCs w:val="24"/>
              </w:rPr>
              <w:t>:</w:t>
            </w:r>
          </w:p>
          <w:p w:rsidR="00780B69" w:rsidRPr="009E7E35" w:rsidRDefault="00780B69" w:rsidP="009E7E35">
            <w:pPr>
              <w:pStyle w:val="Tabletext0"/>
              <w:jc w:val="right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Fax</w:t>
            </w:r>
            <w:r w:rsidR="009E7E35">
              <w:rPr>
                <w:sz w:val="24"/>
                <w:szCs w:val="24"/>
              </w:rPr>
              <w:t>:</w:t>
            </w:r>
          </w:p>
          <w:p w:rsidR="00780B69" w:rsidRPr="009E7E35" w:rsidRDefault="00780B69" w:rsidP="009E7E35">
            <w:pPr>
              <w:pStyle w:val="Tabletext0"/>
              <w:jc w:val="right"/>
              <w:rPr>
                <w:sz w:val="24"/>
                <w:szCs w:val="24"/>
              </w:rPr>
            </w:pPr>
            <w:r w:rsidRPr="009E7E35">
              <w:rPr>
                <w:sz w:val="24"/>
                <w:szCs w:val="24"/>
              </w:rPr>
              <w:t>Correo-e</w:t>
            </w:r>
            <w:r w:rsidR="009E7E35">
              <w:rPr>
                <w:sz w:val="24"/>
                <w:szCs w:val="24"/>
              </w:rPr>
              <w:t>:</w:t>
            </w:r>
          </w:p>
        </w:tc>
        <w:tc>
          <w:tcPr>
            <w:tcW w:w="7226" w:type="dxa"/>
          </w:tcPr>
          <w:p w:rsidR="00780B69" w:rsidRDefault="00780B69" w:rsidP="00756C01">
            <w:pPr>
              <w:pStyle w:val="Tabletext0"/>
              <w:rPr>
                <w:sz w:val="24"/>
                <w:szCs w:val="24"/>
              </w:rPr>
            </w:pPr>
          </w:p>
          <w:p w:rsidR="009E7E35" w:rsidRDefault="009E7E35" w:rsidP="00756C01">
            <w:pPr>
              <w:pStyle w:val="Tabletext0"/>
              <w:rPr>
                <w:sz w:val="24"/>
                <w:szCs w:val="24"/>
              </w:rPr>
            </w:pPr>
          </w:p>
          <w:p w:rsidR="009E7E35" w:rsidRDefault="009E7E35" w:rsidP="00756C01">
            <w:pPr>
              <w:pStyle w:val="Tabletext0"/>
              <w:rPr>
                <w:sz w:val="24"/>
                <w:szCs w:val="24"/>
              </w:rPr>
            </w:pPr>
          </w:p>
          <w:p w:rsidR="009E7E35" w:rsidRDefault="009E7E35" w:rsidP="00756C01">
            <w:pPr>
              <w:pStyle w:val="Tabletext0"/>
              <w:rPr>
                <w:sz w:val="24"/>
                <w:szCs w:val="24"/>
              </w:rPr>
            </w:pPr>
          </w:p>
          <w:p w:rsidR="009E7E35" w:rsidRPr="009E7E35" w:rsidRDefault="009E7E35" w:rsidP="00756C01">
            <w:pPr>
              <w:pStyle w:val="Tabletext0"/>
              <w:rPr>
                <w:sz w:val="24"/>
                <w:szCs w:val="24"/>
              </w:rPr>
            </w:pPr>
          </w:p>
        </w:tc>
      </w:tr>
    </w:tbl>
    <w:p w:rsidR="009E7E35" w:rsidRDefault="009E7E35" w:rsidP="009E7E35"/>
    <w:p w:rsidR="009E7E35" w:rsidRDefault="009E7E35">
      <w:pPr>
        <w:jc w:val="center"/>
      </w:pPr>
      <w:r>
        <w:t>______________</w:t>
      </w:r>
    </w:p>
    <w:sectPr w:rsidR="009E7E35" w:rsidSect="00B87E9E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DA" w:rsidRDefault="007638DA">
      <w:r>
        <w:separator/>
      </w:r>
    </w:p>
  </w:endnote>
  <w:endnote w:type="continuationSeparator" w:id="0">
    <w:p w:rsidR="007638DA" w:rsidRDefault="007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780B69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DA" w:rsidRDefault="007638DA">
      <w:r>
        <w:t>____________________</w:t>
      </w:r>
    </w:p>
  </w:footnote>
  <w:footnote w:type="continuationSeparator" w:id="0">
    <w:p w:rsidR="007638DA" w:rsidRDefault="0076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D2" w:rsidRPr="004C58BA" w:rsidRDefault="00E365D4" w:rsidP="00B803D2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925458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03D2" w:rsidRPr="004C58BA">
          <w:rPr>
            <w:rFonts w:ascii="Calibri" w:hAnsi="Calibri"/>
            <w:noProof/>
            <w:sz w:val="18"/>
            <w:lang w:val="en-GB"/>
          </w:rPr>
          <w:t>-</w:t>
        </w:r>
        <w:r w:rsidR="00B803D2" w:rsidRPr="004C58BA">
          <w:rPr>
            <w:rFonts w:ascii="Calibri" w:hAnsi="Calibri"/>
            <w:sz w:val="18"/>
            <w:lang w:val="en-GB"/>
          </w:rPr>
          <w:t xml:space="preserve"> </w:t>
        </w:r>
        <w:r w:rsidR="00B803D2" w:rsidRPr="004C58BA">
          <w:rPr>
            <w:rFonts w:ascii="Calibri" w:hAnsi="Calibri"/>
            <w:sz w:val="18"/>
            <w:lang w:val="en-GB"/>
          </w:rPr>
          <w:fldChar w:fldCharType="begin"/>
        </w:r>
        <w:r w:rsidR="00B803D2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B803D2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6</w:t>
        </w:r>
        <w:r w:rsidR="00B803D2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B803D2" w:rsidRPr="004C58BA">
      <w:rPr>
        <w:rFonts w:ascii="Calibri" w:hAnsi="Calibri"/>
        <w:noProof/>
        <w:sz w:val="18"/>
        <w:lang w:val="en-GB"/>
      </w:rPr>
      <w:t xml:space="preserve"> -</w:t>
    </w:r>
  </w:p>
  <w:p w:rsidR="006969B4" w:rsidRPr="00B803D2" w:rsidRDefault="00B803D2" w:rsidP="00B803D2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A"/>
    <w:rsid w:val="00002529"/>
    <w:rsid w:val="00085662"/>
    <w:rsid w:val="000B1FB6"/>
    <w:rsid w:val="000C382F"/>
    <w:rsid w:val="000D3EF0"/>
    <w:rsid w:val="001173CC"/>
    <w:rsid w:val="0014464D"/>
    <w:rsid w:val="001A54CC"/>
    <w:rsid w:val="001C432A"/>
    <w:rsid w:val="0023433F"/>
    <w:rsid w:val="00240833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5A0984"/>
    <w:rsid w:val="005F0E3B"/>
    <w:rsid w:val="00605733"/>
    <w:rsid w:val="006969B4"/>
    <w:rsid w:val="006B5628"/>
    <w:rsid w:val="006E4F7B"/>
    <w:rsid w:val="006F7A76"/>
    <w:rsid w:val="00756C01"/>
    <w:rsid w:val="007638DA"/>
    <w:rsid w:val="00780B69"/>
    <w:rsid w:val="00781E2A"/>
    <w:rsid w:val="007933A2"/>
    <w:rsid w:val="007B6316"/>
    <w:rsid w:val="00812780"/>
    <w:rsid w:val="00814503"/>
    <w:rsid w:val="00821FC9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E7E35"/>
    <w:rsid w:val="00A54E47"/>
    <w:rsid w:val="00AB6E3A"/>
    <w:rsid w:val="00AE7093"/>
    <w:rsid w:val="00B422BC"/>
    <w:rsid w:val="00B43F77"/>
    <w:rsid w:val="00B55A3E"/>
    <w:rsid w:val="00B803D2"/>
    <w:rsid w:val="00B87E9E"/>
    <w:rsid w:val="00B95F0A"/>
    <w:rsid w:val="00B96180"/>
    <w:rsid w:val="00C116FE"/>
    <w:rsid w:val="00C17AC0"/>
    <w:rsid w:val="00C34772"/>
    <w:rsid w:val="00C533C3"/>
    <w:rsid w:val="00C5465A"/>
    <w:rsid w:val="00CC4866"/>
    <w:rsid w:val="00D54642"/>
    <w:rsid w:val="00DB2B1E"/>
    <w:rsid w:val="00DD77C9"/>
    <w:rsid w:val="00DF3538"/>
    <w:rsid w:val="00E365D4"/>
    <w:rsid w:val="00E40950"/>
    <w:rsid w:val="00E839B0"/>
    <w:rsid w:val="00E92C09"/>
    <w:rsid w:val="00F14380"/>
    <w:rsid w:val="00F6461F"/>
    <w:rsid w:val="00F9764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2A589BC-A753-4232-885F-4A2F7046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780B69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780B69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8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E7E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EF5-A450-456C-8FB4-C5F5AB23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9</TotalTime>
  <Pages>6</Pages>
  <Words>1089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7260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6</cp:revision>
  <cp:lastPrinted>2019-05-20T16:06:00Z</cp:lastPrinted>
  <dcterms:created xsi:type="dcterms:W3CDTF">2019-05-14T12:17:00Z</dcterms:created>
  <dcterms:modified xsi:type="dcterms:W3CDTF">2019-05-20T16:06:00Z</dcterms:modified>
</cp:coreProperties>
</file>