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567"/>
        <w:gridCol w:w="2900"/>
        <w:gridCol w:w="2912"/>
        <w:gridCol w:w="2126"/>
        <w:gridCol w:w="8"/>
      </w:tblGrid>
      <w:tr w:rsidR="00036F4F" w:rsidRPr="00170D2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036F4F" w:rsidRPr="00170D27" w:rsidRDefault="00036F4F" w:rsidP="00D14F31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36F4F" w:rsidRPr="00170D27" w:rsidRDefault="00036F4F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036F4F" w:rsidRPr="00170D27" w:rsidRDefault="00036F4F" w:rsidP="00D14F31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:rsidR="00036F4F" w:rsidRPr="00697BC1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:rsidR="00036F4F" w:rsidRPr="00697BC1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702E37">
              <w:t xml:space="preserve"> 9 mai 2019</w:t>
            </w:r>
          </w:p>
        </w:tc>
      </w:tr>
      <w:tr w:rsidR="00036F4F" w:rsidRPr="00697BC1" w:rsidTr="00036F4F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36F4F">
              <w:rPr>
                <w:b/>
                <w:bCs/>
              </w:rPr>
              <w:t>Réf.:</w:t>
            </w:r>
          </w:p>
          <w:p w:rsidR="00036F4F" w:rsidRPr="00036F4F" w:rsidRDefault="00036F4F" w:rsidP="00036F4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4055" w:type="dxa"/>
            <w:gridSpan w:val="3"/>
          </w:tcPr>
          <w:p w:rsidR="00036F4F" w:rsidRPr="00697BC1" w:rsidRDefault="00702E37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168</w:t>
            </w:r>
          </w:p>
          <w:p w:rsidR="00036F4F" w:rsidRPr="00036F4F" w:rsidRDefault="00702E37" w:rsidP="00036F4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SG3/ME</w:t>
            </w:r>
          </w:p>
        </w:tc>
        <w:tc>
          <w:tcPr>
            <w:tcW w:w="5046" w:type="dxa"/>
            <w:gridSpan w:val="3"/>
            <w:vMerge w:val="restart"/>
          </w:tcPr>
          <w:p w:rsidR="00702E37" w:rsidRDefault="00A25273" w:rsidP="00702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 w:rsidR="00702E37">
              <w:tab/>
              <w:t>Aux administrations des É</w:t>
            </w:r>
            <w:r w:rsidR="00036F4F" w:rsidRPr="00697BC1">
              <w:t>tats Membres de l'Union</w:t>
            </w:r>
          </w:p>
          <w:p w:rsidR="00036F4F" w:rsidRPr="00697BC1" w:rsidRDefault="00A25273" w:rsidP="00702E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 w:rsidR="00702E37">
              <w:tab/>
              <w:t>Aux Membres du Secteur UIT-T</w:t>
            </w:r>
          </w:p>
        </w:tc>
      </w:tr>
      <w:tr w:rsidR="00036F4F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Tél.:</w:t>
            </w:r>
          </w:p>
        </w:tc>
        <w:tc>
          <w:tcPr>
            <w:tcW w:w="4055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702E37">
              <w:t xml:space="preserve"> 5866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036F4F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Fax:</w:t>
            </w:r>
          </w:p>
        </w:tc>
        <w:tc>
          <w:tcPr>
            <w:tcW w:w="4055" w:type="dxa"/>
            <w:gridSpan w:val="3"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:rsidTr="00036F4F">
        <w:trPr>
          <w:gridBefore w:val="1"/>
          <w:wBefore w:w="8" w:type="dxa"/>
          <w:cantSplit/>
        </w:trPr>
        <w:tc>
          <w:tcPr>
            <w:tcW w:w="822" w:type="dxa"/>
          </w:tcPr>
          <w:p w:rsidR="00517A03" w:rsidRPr="00036F4F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E-mail:</w:t>
            </w:r>
          </w:p>
        </w:tc>
        <w:tc>
          <w:tcPr>
            <w:tcW w:w="4055" w:type="dxa"/>
            <w:gridSpan w:val="3"/>
          </w:tcPr>
          <w:p w:rsidR="00517A03" w:rsidRPr="00697BC1" w:rsidRDefault="00076EB5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702E37" w:rsidRPr="006F4B71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5046" w:type="dxa"/>
            <w:gridSpan w:val="3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702E37" w:rsidRPr="00702E37" w:rsidRDefault="00A25273" w:rsidP="00702E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702E37">
              <w:rPr>
                <w:rFonts w:ascii="Calibri" w:hAnsi="Calibri"/>
              </w:rPr>
              <w:tab/>
            </w:r>
            <w:r w:rsidR="00702E37" w:rsidRPr="00702E37">
              <w:rPr>
                <w:rFonts w:ascii="Calibri" w:hAnsi="Calibri"/>
              </w:rPr>
              <w:t>Aux Associés de l'UIT-T participant aux travaux de la Commission d'études 3;</w:t>
            </w:r>
          </w:p>
          <w:p w:rsidR="00702E37" w:rsidRPr="00702E37" w:rsidRDefault="00A25273" w:rsidP="00702E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702E37">
              <w:rPr>
                <w:rFonts w:ascii="Calibri" w:hAnsi="Calibri"/>
              </w:rPr>
              <w:tab/>
            </w:r>
            <w:r w:rsidR="00702E37" w:rsidRPr="00702E37">
              <w:rPr>
                <w:rFonts w:ascii="Calibri" w:hAnsi="Calibri"/>
              </w:rPr>
              <w:t>Aux établissements universitaires participant aux travaux de l'UIT;</w:t>
            </w:r>
          </w:p>
          <w:p w:rsidR="00702E37" w:rsidRPr="00702E37" w:rsidRDefault="00A25273" w:rsidP="00702E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702E37">
              <w:rPr>
                <w:rFonts w:ascii="Calibri" w:hAnsi="Calibri"/>
              </w:rPr>
              <w:tab/>
            </w:r>
            <w:r w:rsidR="00702E37" w:rsidRPr="00702E37">
              <w:rPr>
                <w:rFonts w:ascii="Calibri" w:hAnsi="Calibri"/>
                <w:lang w:val="fr-CH"/>
              </w:rPr>
              <w:t>Aux Président et Vice-Présidents de la Commission d'études 3 de l'UIT-T</w:t>
            </w:r>
            <w:r w:rsidR="00702E37" w:rsidRPr="00702E37">
              <w:rPr>
                <w:rFonts w:ascii="Calibri" w:hAnsi="Calibri"/>
              </w:rPr>
              <w:t>;</w:t>
            </w:r>
          </w:p>
          <w:p w:rsidR="00702E37" w:rsidRPr="00702E37" w:rsidRDefault="00A25273" w:rsidP="00702E3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r w:rsidR="00702E37">
              <w:rPr>
                <w:rFonts w:ascii="Calibri" w:hAnsi="Calibri"/>
              </w:rPr>
              <w:tab/>
            </w:r>
            <w:r w:rsidR="00702E37" w:rsidRPr="00702E37">
              <w:rPr>
                <w:rFonts w:ascii="Calibri" w:hAnsi="Calibri"/>
              </w:rPr>
              <w:t xml:space="preserve">À la Directrice </w:t>
            </w:r>
            <w:r w:rsidR="00702E37" w:rsidRPr="00702E37">
              <w:rPr>
                <w:rFonts w:ascii="Calibri" w:hAnsi="Calibri"/>
                <w:lang w:val="fr-CH"/>
              </w:rPr>
              <w:t>du Bureau de développement des télécommunications</w:t>
            </w:r>
            <w:r w:rsidR="00702E37" w:rsidRPr="00702E37">
              <w:rPr>
                <w:rFonts w:ascii="Calibri" w:hAnsi="Calibri"/>
              </w:rPr>
              <w:t>;</w:t>
            </w:r>
          </w:p>
          <w:p w:rsidR="00517A03" w:rsidRPr="00697BC1" w:rsidRDefault="00A25273" w:rsidP="00A25273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>
              <w:rPr>
                <w:rFonts w:ascii="Calibri" w:hAnsi="Calibri"/>
              </w:rPr>
              <w:t>-</w:t>
            </w:r>
            <w:r w:rsidR="00702E37">
              <w:rPr>
                <w:rFonts w:ascii="Calibri" w:hAnsi="Calibri"/>
              </w:rPr>
              <w:tab/>
            </w:r>
            <w:r w:rsidR="00702E37" w:rsidRPr="00702E37">
              <w:rPr>
                <w:rFonts w:ascii="Calibri" w:hAnsi="Calibri"/>
                <w:lang w:val="fr-CH"/>
              </w:rPr>
              <w:t>Au Directeur du Bureau des</w:t>
            </w:r>
            <w:r w:rsidR="00702E37">
              <w:rPr>
                <w:rFonts w:ascii="Calibri" w:hAnsi="Calibri"/>
                <w:lang w:val="fr-CH"/>
              </w:rPr>
              <w:t xml:space="preserve"> </w:t>
            </w:r>
            <w:r w:rsidR="00702E37" w:rsidRPr="00702E37">
              <w:rPr>
                <w:rFonts w:ascii="Calibri" w:hAnsi="Calibri"/>
                <w:lang w:val="fr-CH"/>
              </w:rPr>
              <w:t>radiocommunications</w:t>
            </w:r>
          </w:p>
        </w:tc>
      </w:tr>
      <w:tr w:rsidR="00517A03" w:rsidRPr="00AA131B" w:rsidTr="00036F4F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822" w:type="dxa"/>
          </w:tcPr>
          <w:p w:rsidR="00517A03" w:rsidRPr="00AA131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2"/>
              </w:rPr>
            </w:pPr>
            <w:r w:rsidRPr="00AA131B">
              <w:rPr>
                <w:b/>
                <w:bCs/>
                <w:szCs w:val="22"/>
              </w:rPr>
              <w:t>Objet:</w:t>
            </w:r>
          </w:p>
        </w:tc>
        <w:tc>
          <w:tcPr>
            <w:tcW w:w="9093" w:type="dxa"/>
            <w:gridSpan w:val="5"/>
          </w:tcPr>
          <w:p w:rsidR="00517A03" w:rsidRPr="00AA131B" w:rsidRDefault="00702E37" w:rsidP="00A5280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</w:rPr>
            </w:pPr>
            <w:r w:rsidRPr="00702E37">
              <w:rPr>
                <w:rFonts w:ascii="Calibri" w:hAnsi="Calibri"/>
                <w:b/>
              </w:rPr>
              <w:t xml:space="preserve">Questionnaire concernant l'état d'avancement de la mise en </w:t>
            </w:r>
            <w:r w:rsidR="003C29AF" w:rsidRPr="00702E37">
              <w:rPr>
                <w:rFonts w:ascii="Calibri" w:hAnsi="Calibri"/>
                <w:b/>
              </w:rPr>
              <w:t>œuvre</w:t>
            </w:r>
            <w:r w:rsidR="00A25273">
              <w:rPr>
                <w:rFonts w:ascii="Calibri" w:hAnsi="Calibri"/>
                <w:b/>
              </w:rPr>
              <w:t xml:space="preserve"> des Recommandations </w:t>
            </w:r>
            <w:r w:rsidRPr="00702E37">
              <w:rPr>
                <w:rFonts w:ascii="Calibri" w:hAnsi="Calibri"/>
                <w:b/>
              </w:rPr>
              <w:t>UIT-T D.98 "Taxation du service d'itinérance mobile internationale</w:t>
            </w:r>
            <w:r w:rsidR="00A25273">
              <w:rPr>
                <w:rFonts w:ascii="Calibri" w:hAnsi="Calibri"/>
                <w:b/>
              </w:rPr>
              <w:t>" et UIT</w:t>
            </w:r>
            <w:r w:rsidR="00A25273">
              <w:rPr>
                <w:rFonts w:ascii="Calibri" w:hAnsi="Calibri"/>
                <w:b/>
              </w:rPr>
              <w:noBreakHyphen/>
              <w:t>T D.97 </w:t>
            </w:r>
            <w:r w:rsidRPr="00702E37">
              <w:rPr>
                <w:rFonts w:ascii="Calibri" w:hAnsi="Calibri"/>
                <w:b/>
              </w:rPr>
              <w:t>"Principes méthodologiques de détermination des tarifs de l'itinérance mobile internationale"</w:t>
            </w:r>
          </w:p>
        </w:tc>
      </w:tr>
    </w:tbl>
    <w:p w:rsidR="00517A03" w:rsidRPr="00697BC1" w:rsidRDefault="00517A03" w:rsidP="00A5280F">
      <w:bookmarkStart w:id="1" w:name="StartTyping_F"/>
      <w:bookmarkEnd w:id="1"/>
      <w:r w:rsidRPr="00697BC1">
        <w:t>Madame, Monsieur,</w:t>
      </w:r>
    </w:p>
    <w:p w:rsidR="00702E37" w:rsidRDefault="00702E37" w:rsidP="00834DEE">
      <w:pPr>
        <w:rPr>
          <w:szCs w:val="22"/>
        </w:rPr>
      </w:pPr>
      <w:r w:rsidRPr="0075210C">
        <w:rPr>
          <w:bCs/>
          <w:szCs w:val="22"/>
        </w:rPr>
        <w:t>1</w:t>
      </w:r>
      <w:r w:rsidRPr="0075210C">
        <w:rPr>
          <w:szCs w:val="22"/>
        </w:rPr>
        <w:tab/>
      </w:r>
      <w:r>
        <w:rPr>
          <w:szCs w:val="22"/>
        </w:rPr>
        <w:t xml:space="preserve">La Commission d'études 3 de l'UIT-T </w:t>
      </w:r>
      <w:r>
        <w:rPr>
          <w:lang w:val="fr-CH"/>
        </w:rPr>
        <w:t>(Principes de tarification et de comptabilité et questions de politique générale et d'économie relatives aux télécommunications internationales/TIC) a tenu sa troisième réunion de la période d'études en cours (2017-2020) à Genève, du 23 avril au 2 mai 2019.</w:t>
      </w:r>
    </w:p>
    <w:p w:rsidR="00702E37" w:rsidRDefault="00702E37" w:rsidP="004047F4">
      <w:r w:rsidRPr="0075210C">
        <w:t>2</w:t>
      </w:r>
      <w:r w:rsidRPr="0075210C">
        <w:tab/>
      </w:r>
      <w:r>
        <w:t>Dans le cadre de la Question 4/3 (É</w:t>
      </w:r>
      <w:r w:rsidRPr="008B4378">
        <w:t>tudes régionales en vue de l'élaboration de modèles de coûts et questions économiques et de politique générale connexes</w:t>
      </w:r>
      <w:r>
        <w:t xml:space="preserve">), les participants à cette réunion ont décidé d'envoyer un questionnaire concernant l'état d'avancement </w:t>
      </w:r>
      <w:r w:rsidRPr="008B4378">
        <w:t xml:space="preserve">de la mise en </w:t>
      </w:r>
      <w:r w:rsidR="003C29AF" w:rsidRPr="008B4378">
        <w:t>œuvre</w:t>
      </w:r>
      <w:r w:rsidRPr="008B4378">
        <w:t xml:space="preserve"> des Recommandations UIT-T D.98 "Taxation du service d'itinérance mobile internationale</w:t>
      </w:r>
      <w:r w:rsidR="00197942">
        <w:t>"</w:t>
      </w:r>
      <w:r w:rsidR="00A25273">
        <w:t xml:space="preserve"> et UIT</w:t>
      </w:r>
      <w:r w:rsidR="00A25273">
        <w:noBreakHyphen/>
        <w:t>T </w:t>
      </w:r>
      <w:r w:rsidRPr="008B4378">
        <w:t>D.97 "Principes méthodologiques de détermination des tarifs de l'itinérance mobile internationale"</w:t>
      </w:r>
      <w:r>
        <w:t>.</w:t>
      </w:r>
    </w:p>
    <w:p w:rsidR="00702E37" w:rsidRDefault="00702E37" w:rsidP="004047F4">
      <w:r>
        <w:rPr>
          <w:bCs/>
        </w:rPr>
        <w:t>3</w:t>
      </w:r>
      <w:r w:rsidRPr="0075210C">
        <w:tab/>
      </w:r>
      <w:r>
        <w:t xml:space="preserve">Vous trouverez le questionnaire concernant l'état d'avancement de la mise en </w:t>
      </w:r>
      <w:r w:rsidR="003C29AF">
        <w:t>œuvre</w:t>
      </w:r>
      <w:r>
        <w:t xml:space="preserve"> des Recommandations UIT-T D.98 et UIT-T D.97 dans l'</w:t>
      </w:r>
      <w:r>
        <w:rPr>
          <w:b/>
          <w:bCs/>
        </w:rPr>
        <w:t>Annexe 1</w:t>
      </w:r>
      <w:r>
        <w:t>.</w:t>
      </w:r>
    </w:p>
    <w:p w:rsidR="00702E37" w:rsidRDefault="00702E37" w:rsidP="00A25273">
      <w:r>
        <w:t>4</w:t>
      </w:r>
      <w:r w:rsidRPr="0075210C">
        <w:tab/>
      </w:r>
      <w:r>
        <w:t>Les É</w:t>
      </w:r>
      <w:r w:rsidRPr="00BF7E94">
        <w:t>tats Membres</w:t>
      </w:r>
      <w:r>
        <w:t xml:space="preserve"> et les Membres du Secteur UIT-T</w:t>
      </w:r>
      <w:r w:rsidRPr="00BF7E94">
        <w:t xml:space="preserve"> sont priés de remplir le formulaire de l'Annexe </w:t>
      </w:r>
      <w:r>
        <w:t>1</w:t>
      </w:r>
      <w:r w:rsidRPr="00BF7E94">
        <w:t xml:space="preserve"> et de le renvoyer d'ici au </w:t>
      </w:r>
      <w:r w:rsidR="00A25273">
        <w:rPr>
          <w:b/>
          <w:bCs/>
        </w:rPr>
        <w:t>1er</w:t>
      </w:r>
      <w:r w:rsidRPr="00BF7E94">
        <w:rPr>
          <w:b/>
          <w:bCs/>
        </w:rPr>
        <w:t xml:space="preserve"> </w:t>
      </w:r>
      <w:r w:rsidR="00A25273">
        <w:rPr>
          <w:b/>
          <w:bCs/>
        </w:rPr>
        <w:t xml:space="preserve">décembre </w:t>
      </w:r>
      <w:r w:rsidRPr="00BF7E94">
        <w:rPr>
          <w:b/>
          <w:bCs/>
        </w:rPr>
        <w:t>2019</w:t>
      </w:r>
      <w:r w:rsidRPr="00BF7E94">
        <w:t xml:space="preserve"> à 23 h 59 (UTC).</w:t>
      </w:r>
    </w:p>
    <w:p w:rsidR="00B86452" w:rsidRDefault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36F4F" w:rsidRDefault="00702E37" w:rsidP="004047F4">
      <w:pPr>
        <w:rPr>
          <w:bCs/>
        </w:rPr>
      </w:pPr>
      <w:r>
        <w:lastRenderedPageBreak/>
        <w:t>5</w:t>
      </w:r>
      <w:r w:rsidRPr="0075210C">
        <w:tab/>
      </w:r>
      <w:r w:rsidRPr="00BF7E94">
        <w:t>Je compte sur votre coopération pour veiller à ce que</w:t>
      </w:r>
      <w:r>
        <w:t xml:space="preserve"> vos réponses nous parviennent dans les délais, étant donné que les réponses au questionnaire seront examinées à la prochaine réunion du Groupe du Rapporteur de la Commission d'études 3 sur la Question 4/3 qui aura lieu à </w:t>
      </w:r>
      <w:r w:rsidR="00DF199D">
        <w:t>Genève, du 13 au 17 janvier 2020</w:t>
      </w:r>
      <w:r>
        <w:t>.</w:t>
      </w:r>
    </w:p>
    <w:p w:rsidR="00BD6ECF" w:rsidRPr="00697BC1" w:rsidRDefault="00517A03" w:rsidP="004047F4">
      <w:r w:rsidRPr="00697BC1">
        <w:t>Veuillez agréer, Madame, Monsieur, l</w:t>
      </w:r>
      <w:r w:rsidR="00167472" w:rsidRPr="00697BC1">
        <w:t>'</w:t>
      </w:r>
      <w:r w:rsidRPr="00697BC1">
        <w:t>assurance de ma haute considération.</w:t>
      </w:r>
    </w:p>
    <w:p w:rsidR="00036F4F" w:rsidRPr="00170D27" w:rsidRDefault="00036F4F" w:rsidP="00076EB5">
      <w:pPr>
        <w:keepNext/>
        <w:keepLines/>
        <w:spacing w:after="120"/>
        <w:rPr>
          <w:i/>
          <w:iCs/>
          <w:lang w:val="fr-CH"/>
        </w:rPr>
      </w:pPr>
      <w:r w:rsidRPr="00170D27">
        <w:rPr>
          <w:i/>
          <w:iCs/>
          <w:lang w:val="fr-CH"/>
        </w:rPr>
        <w:t>(</w:t>
      </w:r>
      <w:proofErr w:type="gramStart"/>
      <w:r w:rsidRPr="00170D27">
        <w:rPr>
          <w:i/>
          <w:iCs/>
          <w:lang w:val="fr-CH"/>
        </w:rPr>
        <w:t>signé</w:t>
      </w:r>
      <w:proofErr w:type="gramEnd"/>
      <w:r w:rsidRPr="00170D27">
        <w:rPr>
          <w:i/>
          <w:iCs/>
          <w:lang w:val="fr-CH"/>
        </w:rPr>
        <w:t>)</w:t>
      </w:r>
      <w:bookmarkStart w:id="2" w:name="_GoBack"/>
      <w:bookmarkEnd w:id="2"/>
    </w:p>
    <w:p w:rsidR="00517A03" w:rsidRDefault="00036F4F" w:rsidP="00076EB5">
      <w:pPr>
        <w:keepNext/>
        <w:keepLines/>
        <w:spacing w:before="0"/>
        <w:ind w:right="-284"/>
        <w:rPr>
          <w:b/>
          <w:lang w:val="fr-CH"/>
        </w:rPr>
      </w:pPr>
      <w:r w:rsidRPr="00170D27">
        <w:rPr>
          <w:lang w:val="fr-CH"/>
        </w:rPr>
        <w:t>Chaesub Lee</w:t>
      </w:r>
      <w:r w:rsidRPr="00170D27">
        <w:rPr>
          <w:lang w:val="fr-CH"/>
        </w:rPr>
        <w:br/>
        <w:t xml:space="preserve">Directeur du Bureau de la normalisation </w:t>
      </w:r>
      <w:r w:rsidRPr="00170D27">
        <w:rPr>
          <w:lang w:val="fr-CH"/>
        </w:rPr>
        <w:br/>
        <w:t>des télécommunications</w:t>
      </w:r>
    </w:p>
    <w:p w:rsidR="004047F4" w:rsidRDefault="00702E37" w:rsidP="00AB1153">
      <w:pPr>
        <w:pStyle w:val="AnnexTitle"/>
        <w:spacing w:before="480"/>
        <w:jc w:val="left"/>
      </w:pPr>
      <w:r w:rsidRPr="0075210C">
        <w:t>Annex</w:t>
      </w:r>
      <w:r>
        <w:t>e</w:t>
      </w:r>
      <w:r w:rsidRPr="0075210C">
        <w:t>: 1</w:t>
      </w:r>
    </w:p>
    <w:p w:rsidR="004047F4" w:rsidRDefault="004047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fr-CH"/>
        </w:rPr>
      </w:pPr>
      <w:r>
        <w:rPr>
          <w:lang w:val="fr-CH"/>
        </w:rPr>
        <w:br w:type="page"/>
      </w:r>
    </w:p>
    <w:p w:rsidR="004047F4" w:rsidRPr="00834DEE" w:rsidRDefault="004047F4" w:rsidP="00B86452">
      <w:pPr>
        <w:pStyle w:val="Annex"/>
      </w:pPr>
      <w:r w:rsidRPr="00834DEE">
        <w:lastRenderedPageBreak/>
        <w:t>ANNEXE 1</w:t>
      </w:r>
    </w:p>
    <w:p w:rsidR="004047F4" w:rsidRPr="00B86452" w:rsidRDefault="004047F4" w:rsidP="00B86452">
      <w:pPr>
        <w:pStyle w:val="Annextitle0"/>
        <w:rPr>
          <w:rFonts w:eastAsiaTheme="majorEastAsia"/>
          <w:bCs/>
          <w:sz w:val="24"/>
          <w:szCs w:val="24"/>
          <w:lang w:val="fr-CH"/>
        </w:rPr>
      </w:pPr>
      <w:r w:rsidRPr="00B86452">
        <w:rPr>
          <w:rFonts w:eastAsiaTheme="majorEastAsia"/>
          <w:sz w:val="24"/>
          <w:szCs w:val="24"/>
          <w:lang w:val="fr-CH" w:eastAsia="ja-JP"/>
        </w:rPr>
        <w:t xml:space="preserve">Questionnaire </w:t>
      </w:r>
      <w:r w:rsidRPr="00B86452">
        <w:rPr>
          <w:sz w:val="24"/>
          <w:szCs w:val="24"/>
          <w:lang w:val="fr-CH"/>
        </w:rPr>
        <w:t xml:space="preserve">concernant l'état d'avancement de la mise en </w:t>
      </w:r>
      <w:r w:rsidR="003C29AF" w:rsidRPr="00B86452">
        <w:rPr>
          <w:sz w:val="24"/>
          <w:szCs w:val="24"/>
          <w:lang w:val="fr-CH"/>
        </w:rPr>
        <w:t>œuvre</w:t>
      </w:r>
      <w:r w:rsidRPr="00B86452">
        <w:rPr>
          <w:sz w:val="24"/>
          <w:szCs w:val="24"/>
          <w:lang w:val="fr-CH"/>
        </w:rPr>
        <w:t xml:space="preserve"> des</w:t>
      </w:r>
      <w:r w:rsidRPr="00B86452">
        <w:rPr>
          <w:sz w:val="24"/>
          <w:szCs w:val="24"/>
          <w:lang w:val="fr-CH"/>
        </w:rPr>
        <w:br/>
        <w:t xml:space="preserve">Recommandations UIT-T D.98 et UIT-T D.97 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hanging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t>1</w:t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Connaissez-vous la</w:t>
      </w:r>
      <w:r w:rsidRPr="0075210C">
        <w:rPr>
          <w:rFonts w:eastAsiaTheme="majorEastAsia"/>
          <w:szCs w:val="24"/>
          <w:lang w:eastAsia="ja-JP"/>
        </w:rPr>
        <w:t xml:space="preserve"> </w:t>
      </w:r>
      <w:r w:rsidRPr="0075210C">
        <w:rPr>
          <w:rFonts w:eastAsiaTheme="majorEastAsia"/>
          <w:b/>
          <w:szCs w:val="24"/>
          <w:lang w:eastAsia="ja-JP"/>
        </w:rPr>
        <w:t>Recomm</w:t>
      </w:r>
      <w:r>
        <w:rPr>
          <w:rFonts w:eastAsiaTheme="majorEastAsia"/>
          <w:b/>
          <w:szCs w:val="24"/>
          <w:lang w:eastAsia="ja-JP"/>
        </w:rPr>
        <w:t>a</w:t>
      </w:r>
      <w:r w:rsidRPr="0075210C">
        <w:rPr>
          <w:rFonts w:eastAsiaTheme="majorEastAsia"/>
          <w:b/>
          <w:szCs w:val="24"/>
          <w:lang w:eastAsia="ja-JP"/>
        </w:rPr>
        <w:t xml:space="preserve">ndation </w:t>
      </w:r>
      <w:r>
        <w:rPr>
          <w:rFonts w:eastAsiaTheme="majorEastAsia"/>
          <w:b/>
          <w:szCs w:val="24"/>
          <w:lang w:eastAsia="ja-JP"/>
        </w:rPr>
        <w:t>UIT</w:t>
      </w:r>
      <w:r w:rsidRPr="0075210C">
        <w:rPr>
          <w:rFonts w:eastAsiaTheme="majorEastAsia"/>
          <w:b/>
          <w:szCs w:val="24"/>
          <w:lang w:eastAsia="ja-JP"/>
        </w:rPr>
        <w:t>-T</w:t>
      </w:r>
      <w:r w:rsidRPr="0075210C">
        <w:rPr>
          <w:rFonts w:eastAsiaTheme="majorEastAsia"/>
          <w:szCs w:val="24"/>
          <w:lang w:eastAsia="ja-JP"/>
        </w:rPr>
        <w:t xml:space="preserve"> </w:t>
      </w:r>
      <w:r w:rsidRPr="0075210C">
        <w:rPr>
          <w:rFonts w:eastAsiaTheme="majorEastAsia"/>
          <w:b/>
          <w:szCs w:val="24"/>
          <w:lang w:eastAsia="ja-JP"/>
        </w:rPr>
        <w:t xml:space="preserve">D.98 </w:t>
      </w:r>
      <w:r w:rsidRPr="00A1750E">
        <w:rPr>
          <w:b/>
          <w:i/>
          <w:iCs/>
        </w:rPr>
        <w:t>Taxation du service d'itinérance mobile internationale</w:t>
      </w:r>
      <w:r w:rsidRPr="006D574A">
        <w:rPr>
          <w:rFonts w:eastAsiaTheme="majorEastAsia"/>
          <w:bCs/>
          <w:iCs/>
          <w:szCs w:val="24"/>
          <w:lang w:eastAsia="ja-JP"/>
        </w:rPr>
        <w:t>,</w:t>
      </w:r>
      <w:r w:rsidRPr="0075210C">
        <w:rPr>
          <w:rFonts w:eastAsiaTheme="majorEastAsia"/>
          <w:bCs/>
          <w:szCs w:val="24"/>
          <w:lang w:eastAsia="ja-JP"/>
        </w:rPr>
        <w:t xml:space="preserve"> </w:t>
      </w:r>
      <w:r>
        <w:rPr>
          <w:rFonts w:eastAsiaTheme="majorEastAsia"/>
          <w:szCs w:val="24"/>
          <w:lang w:eastAsia="ja-JP"/>
        </w:rPr>
        <w:t>qui a été approuvée en septembre</w:t>
      </w:r>
      <w:r w:rsidRPr="0075210C">
        <w:rPr>
          <w:rFonts w:eastAsiaTheme="majorEastAsia"/>
          <w:szCs w:val="24"/>
          <w:lang w:eastAsia="ja-JP"/>
        </w:rPr>
        <w:t xml:space="preserve"> 2012?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Oui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  <w:t>No</w:t>
      </w:r>
      <w:r>
        <w:rPr>
          <w:rFonts w:eastAsiaTheme="majorEastAsia"/>
          <w:szCs w:val="24"/>
          <w:lang w:eastAsia="ja-JP"/>
        </w:rPr>
        <w:t>n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720" w:hanging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t>2</w:t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Connaissez-vous la</w:t>
      </w:r>
      <w:r w:rsidRPr="0075210C">
        <w:rPr>
          <w:rFonts w:eastAsiaTheme="majorEastAsia"/>
          <w:szCs w:val="24"/>
          <w:lang w:eastAsia="ja-JP"/>
        </w:rPr>
        <w:t xml:space="preserve"> </w:t>
      </w:r>
      <w:r w:rsidRPr="0075210C">
        <w:rPr>
          <w:rFonts w:eastAsiaTheme="majorEastAsia"/>
          <w:b/>
          <w:szCs w:val="24"/>
          <w:lang w:eastAsia="ja-JP"/>
        </w:rPr>
        <w:t>Recomm</w:t>
      </w:r>
      <w:r>
        <w:rPr>
          <w:rFonts w:eastAsiaTheme="majorEastAsia"/>
          <w:b/>
          <w:szCs w:val="24"/>
          <w:lang w:eastAsia="ja-JP"/>
        </w:rPr>
        <w:t>a</w:t>
      </w:r>
      <w:r w:rsidRPr="0075210C">
        <w:rPr>
          <w:rFonts w:eastAsiaTheme="majorEastAsia"/>
          <w:b/>
          <w:szCs w:val="24"/>
          <w:lang w:eastAsia="ja-JP"/>
        </w:rPr>
        <w:t xml:space="preserve">ndation </w:t>
      </w:r>
      <w:r>
        <w:rPr>
          <w:rFonts w:eastAsiaTheme="majorEastAsia"/>
          <w:b/>
          <w:szCs w:val="24"/>
          <w:lang w:eastAsia="ja-JP"/>
        </w:rPr>
        <w:t>UIT</w:t>
      </w:r>
      <w:r w:rsidRPr="0075210C">
        <w:rPr>
          <w:rFonts w:eastAsiaTheme="majorEastAsia"/>
          <w:b/>
          <w:szCs w:val="24"/>
          <w:lang w:eastAsia="ja-JP"/>
        </w:rPr>
        <w:t>-T</w:t>
      </w:r>
      <w:r w:rsidRPr="0075210C">
        <w:rPr>
          <w:rFonts w:eastAsiaTheme="majorEastAsia"/>
          <w:szCs w:val="24"/>
          <w:lang w:eastAsia="ja-JP"/>
        </w:rPr>
        <w:t xml:space="preserve"> </w:t>
      </w:r>
      <w:r w:rsidRPr="0075210C">
        <w:rPr>
          <w:rFonts w:eastAsiaTheme="majorEastAsia"/>
          <w:b/>
          <w:szCs w:val="24"/>
          <w:lang w:eastAsia="ja-JP"/>
        </w:rPr>
        <w:t xml:space="preserve">D.97 </w:t>
      </w:r>
      <w:r w:rsidRPr="00A1750E">
        <w:rPr>
          <w:rFonts w:eastAsiaTheme="majorEastAsia"/>
          <w:b/>
          <w:i/>
          <w:szCs w:val="24"/>
          <w:lang w:eastAsia="ja-JP"/>
        </w:rPr>
        <w:t>Principes méthodologiques de détermination des tarifs de l'itinérance mobile internationale</w:t>
      </w:r>
      <w:r w:rsidRPr="0075210C">
        <w:rPr>
          <w:rFonts w:eastAsiaTheme="majorEastAsia"/>
          <w:szCs w:val="24"/>
          <w:lang w:eastAsia="ja-JP"/>
        </w:rPr>
        <w:t xml:space="preserve">, </w:t>
      </w:r>
      <w:r>
        <w:rPr>
          <w:rFonts w:eastAsiaTheme="majorEastAsia"/>
          <w:szCs w:val="24"/>
          <w:lang w:eastAsia="ja-JP"/>
        </w:rPr>
        <w:t xml:space="preserve">qui a été approuvée en octobre </w:t>
      </w:r>
      <w:r w:rsidRPr="0075210C">
        <w:rPr>
          <w:rFonts w:eastAsiaTheme="majorEastAsia"/>
          <w:szCs w:val="24"/>
          <w:lang w:eastAsia="ja-JP"/>
        </w:rPr>
        <w:t>2016?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Oui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  <w:t>No</w:t>
      </w:r>
      <w:r>
        <w:rPr>
          <w:rFonts w:eastAsiaTheme="majorEastAsia"/>
          <w:szCs w:val="24"/>
          <w:lang w:eastAsia="ja-JP"/>
        </w:rPr>
        <w:t>n</w:t>
      </w:r>
    </w:p>
    <w:p w:rsidR="004047F4" w:rsidRPr="0075210C" w:rsidRDefault="004047F4" w:rsidP="00B86452">
      <w:pPr>
        <w:pStyle w:val="Heading1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3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T</w:t>
      </w:r>
      <w:r w:rsidRPr="00A1750E">
        <w:rPr>
          <w:rFonts w:eastAsiaTheme="majorEastAsia"/>
          <w:lang w:eastAsia="ja-JP"/>
        </w:rPr>
        <w:t>arifs de détail de l'itinérance mobile</w:t>
      </w:r>
      <w:r>
        <w:rPr>
          <w:rFonts w:eastAsiaTheme="majorEastAsia"/>
          <w:lang w:eastAsia="ja-JP"/>
        </w:rPr>
        <w:t xml:space="preserve"> internationale</w:t>
      </w:r>
    </w:p>
    <w:p w:rsidR="004047F4" w:rsidRPr="0075210C" w:rsidRDefault="004047F4" w:rsidP="00895D99">
      <w:pPr>
        <w:spacing w:after="120"/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3.1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Dans quelle fourchette se situe</w:t>
      </w:r>
      <w:r w:rsidR="00506DA6">
        <w:rPr>
          <w:rFonts w:eastAsiaTheme="majorEastAsia"/>
          <w:lang w:eastAsia="ja-JP"/>
        </w:rPr>
        <w:t>nt</w:t>
      </w:r>
      <w:r>
        <w:rPr>
          <w:rFonts w:eastAsiaTheme="majorEastAsia"/>
          <w:lang w:eastAsia="ja-JP"/>
        </w:rPr>
        <w:t xml:space="preserve"> </w:t>
      </w:r>
      <w:r w:rsidR="008E6551">
        <w:rPr>
          <w:rFonts w:eastAsiaTheme="majorEastAsia"/>
          <w:lang w:eastAsia="ja-JP"/>
        </w:rPr>
        <w:t>les</w:t>
      </w:r>
      <w:r>
        <w:rPr>
          <w:rFonts w:eastAsiaTheme="majorEastAsia"/>
          <w:lang w:eastAsia="ja-JP"/>
        </w:rPr>
        <w:t xml:space="preserve"> tarifs de détail de l'itinérance mobile internationale</w:t>
      </w:r>
      <w:r w:rsidR="008E6551">
        <w:rPr>
          <w:rFonts w:eastAsiaTheme="majorEastAsia"/>
          <w:lang w:eastAsia="ja-JP"/>
        </w:rPr>
        <w:t xml:space="preserve"> que vous appliquez actuellement</w:t>
      </w:r>
      <w:r>
        <w:rPr>
          <w:rFonts w:eastAsiaTheme="majorEastAsia"/>
          <w:lang w:eastAsia="ja-JP"/>
        </w:rPr>
        <w:t>?</w:t>
      </w:r>
      <w:r>
        <w:rPr>
          <w:rFonts w:eastAsiaTheme="majorEastAsia"/>
          <w:lang w:eastAsia="ja-JP"/>
        </w:rPr>
        <w:br/>
        <w:t>Veuillez préciser:</w:t>
      </w:r>
    </w:p>
    <w:tbl>
      <w:tblPr>
        <w:tblStyle w:val="TableGrid1"/>
        <w:tblW w:w="0" w:type="auto"/>
        <w:tblInd w:w="288" w:type="dxa"/>
        <w:tblLook w:val="04A0" w:firstRow="1" w:lastRow="0" w:firstColumn="1" w:lastColumn="0" w:noHBand="0" w:noVBand="1"/>
      </w:tblPr>
      <w:tblGrid>
        <w:gridCol w:w="1550"/>
        <w:gridCol w:w="2268"/>
        <w:gridCol w:w="1418"/>
        <w:gridCol w:w="1275"/>
        <w:gridCol w:w="1276"/>
        <w:gridCol w:w="1213"/>
      </w:tblGrid>
      <w:tr w:rsidR="004047F4" w:rsidRPr="00E8594F" w:rsidTr="00E8594F">
        <w:trPr>
          <w:trHeight w:val="435"/>
        </w:trPr>
        <w:tc>
          <w:tcPr>
            <w:tcW w:w="3818" w:type="dxa"/>
            <w:gridSpan w:val="2"/>
            <w:vMerge w:val="restart"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Année</w:t>
            </w:r>
          </w:p>
        </w:tc>
        <w:tc>
          <w:tcPr>
            <w:tcW w:w="2693" w:type="dxa"/>
            <w:gridSpan w:val="2"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2013</w:t>
            </w:r>
          </w:p>
        </w:tc>
        <w:tc>
          <w:tcPr>
            <w:tcW w:w="2489" w:type="dxa"/>
            <w:gridSpan w:val="2"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2019</w:t>
            </w:r>
          </w:p>
        </w:tc>
      </w:tr>
      <w:tr w:rsidR="004047F4" w:rsidRPr="00E8594F" w:rsidTr="00E8594F">
        <w:tc>
          <w:tcPr>
            <w:tcW w:w="3818" w:type="dxa"/>
            <w:gridSpan w:val="2"/>
            <w:vMerge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Min</w:t>
            </w:r>
          </w:p>
        </w:tc>
        <w:tc>
          <w:tcPr>
            <w:tcW w:w="1275" w:type="dxa"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Max</w:t>
            </w:r>
          </w:p>
        </w:tc>
        <w:tc>
          <w:tcPr>
            <w:tcW w:w="1276" w:type="dxa"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Min</w:t>
            </w:r>
          </w:p>
        </w:tc>
        <w:tc>
          <w:tcPr>
            <w:tcW w:w="1213" w:type="dxa"/>
            <w:vAlign w:val="center"/>
          </w:tcPr>
          <w:p w:rsidR="004047F4" w:rsidRPr="00E8594F" w:rsidRDefault="004047F4" w:rsidP="00E8594F">
            <w:pPr>
              <w:pStyle w:val="TableHead"/>
              <w:spacing w:before="40" w:after="40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Max</w:t>
            </w:r>
          </w:p>
        </w:tc>
      </w:tr>
      <w:tr w:rsidR="004047F4" w:rsidRPr="00E8594F" w:rsidTr="00E8594F">
        <w:trPr>
          <w:trHeight w:val="559"/>
        </w:trPr>
        <w:tc>
          <w:tcPr>
            <w:tcW w:w="1550" w:type="dxa"/>
            <w:vMerge w:val="restart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Appel vocaux</w:t>
            </w:r>
          </w:p>
        </w:tc>
        <w:tc>
          <w:tcPr>
            <w:tcW w:w="226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Passés (USD/min)</w:t>
            </w:r>
          </w:p>
        </w:tc>
        <w:tc>
          <w:tcPr>
            <w:tcW w:w="141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3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</w:tr>
      <w:tr w:rsidR="004047F4" w:rsidRPr="00E8594F" w:rsidTr="00E8594F">
        <w:tc>
          <w:tcPr>
            <w:tcW w:w="1550" w:type="dxa"/>
            <w:vMerge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Reçus (USD/min)</w:t>
            </w:r>
          </w:p>
        </w:tc>
        <w:tc>
          <w:tcPr>
            <w:tcW w:w="141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3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</w:tr>
      <w:tr w:rsidR="004047F4" w:rsidRPr="00E8594F" w:rsidTr="00E8594F">
        <w:trPr>
          <w:trHeight w:val="561"/>
        </w:trPr>
        <w:tc>
          <w:tcPr>
            <w:tcW w:w="1550" w:type="dxa"/>
            <w:vMerge w:val="restart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SMS</w:t>
            </w:r>
          </w:p>
        </w:tc>
        <w:tc>
          <w:tcPr>
            <w:tcW w:w="2268" w:type="dxa"/>
            <w:vAlign w:val="center"/>
          </w:tcPr>
          <w:p w:rsidR="004047F4" w:rsidRPr="00E8594F" w:rsidRDefault="00B86452" w:rsidP="00E8594F">
            <w:pPr>
              <w:pStyle w:val="TableText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Envo</w:t>
            </w:r>
            <w:r w:rsidR="004047F4" w:rsidRPr="00E8594F">
              <w:rPr>
                <w:sz w:val="24"/>
                <w:szCs w:val="24"/>
                <w:lang w:eastAsia="ja-JP"/>
              </w:rPr>
              <w:t>yés (USD/SMS)</w:t>
            </w:r>
          </w:p>
        </w:tc>
        <w:tc>
          <w:tcPr>
            <w:tcW w:w="141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3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</w:tr>
      <w:tr w:rsidR="004047F4" w:rsidRPr="00E8594F" w:rsidTr="00E8594F">
        <w:tc>
          <w:tcPr>
            <w:tcW w:w="1550" w:type="dxa"/>
            <w:vMerge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Reçus (USD/SMS)</w:t>
            </w:r>
          </w:p>
        </w:tc>
        <w:tc>
          <w:tcPr>
            <w:tcW w:w="141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3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</w:tr>
      <w:tr w:rsidR="004047F4" w:rsidRPr="00E8594F" w:rsidTr="00E8594F">
        <w:trPr>
          <w:trHeight w:val="421"/>
        </w:trPr>
        <w:tc>
          <w:tcPr>
            <w:tcW w:w="3818" w:type="dxa"/>
            <w:gridSpan w:val="2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  <w:r w:rsidRPr="00E8594F">
              <w:rPr>
                <w:sz w:val="24"/>
                <w:szCs w:val="24"/>
                <w:lang w:eastAsia="ja-JP"/>
              </w:rPr>
              <w:t>Données</w:t>
            </w:r>
            <w:r w:rsidR="00FF4386" w:rsidRPr="00E8594F">
              <w:rPr>
                <w:sz w:val="24"/>
                <w:szCs w:val="24"/>
                <w:lang w:eastAsia="ja-JP"/>
              </w:rPr>
              <w:t xml:space="preserve"> (USD/M</w:t>
            </w:r>
            <w:r w:rsidR="00AB1153" w:rsidRPr="00E8594F">
              <w:rPr>
                <w:sz w:val="24"/>
                <w:szCs w:val="24"/>
                <w:lang w:eastAsia="ja-JP"/>
              </w:rPr>
              <w:t>o</w:t>
            </w:r>
            <w:r w:rsidRPr="00E8594F">
              <w:rPr>
                <w:sz w:val="24"/>
                <w:szCs w:val="24"/>
                <w:lang w:eastAsia="ja-JP"/>
              </w:rPr>
              <w:t>)</w:t>
            </w:r>
          </w:p>
        </w:tc>
        <w:tc>
          <w:tcPr>
            <w:tcW w:w="1418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3" w:type="dxa"/>
            <w:vAlign w:val="center"/>
          </w:tcPr>
          <w:p w:rsidR="004047F4" w:rsidRPr="00E8594F" w:rsidRDefault="004047F4" w:rsidP="00E8594F">
            <w:pPr>
              <w:pStyle w:val="TableText"/>
              <w:rPr>
                <w:sz w:val="24"/>
                <w:szCs w:val="24"/>
                <w:lang w:eastAsia="ja-JP"/>
              </w:rPr>
            </w:pPr>
          </w:p>
        </w:tc>
      </w:tr>
    </w:tbl>
    <w:p w:rsidR="004047F4" w:rsidRDefault="004047F4" w:rsidP="00966DF6">
      <w:pPr>
        <w:spacing w:before="240"/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3.2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La Recommandation UIT-T D.98 a</w:t>
      </w:r>
      <w:r w:rsidR="00FF4386">
        <w:rPr>
          <w:rFonts w:eastAsiaTheme="majorEastAsia"/>
          <w:lang w:eastAsia="ja-JP"/>
        </w:rPr>
        <w:t>-t-elle</w:t>
      </w:r>
      <w:r>
        <w:rPr>
          <w:rFonts w:eastAsiaTheme="majorEastAsia"/>
          <w:lang w:eastAsia="ja-JP"/>
        </w:rPr>
        <w:t xml:space="preserve"> été utile pour </w:t>
      </w:r>
      <w:r w:rsidR="00FF4386">
        <w:rPr>
          <w:rFonts w:eastAsiaTheme="majorEastAsia"/>
          <w:lang w:eastAsia="ja-JP"/>
        </w:rPr>
        <w:t xml:space="preserve">faire baisser </w:t>
      </w:r>
      <w:r>
        <w:rPr>
          <w:rFonts w:eastAsiaTheme="majorEastAsia"/>
          <w:lang w:eastAsia="ja-JP"/>
        </w:rPr>
        <w:t xml:space="preserve">les tarifs </w:t>
      </w:r>
      <w:r w:rsidR="006D574A">
        <w:rPr>
          <w:rFonts w:eastAsiaTheme="majorEastAsia"/>
          <w:lang w:eastAsia="ja-JP"/>
        </w:rPr>
        <w:t>de l'itinérance dans votre pays?</w:t>
      </w:r>
      <w:r>
        <w:rPr>
          <w:rFonts w:eastAsiaTheme="majorEastAsia"/>
          <w:lang w:eastAsia="ja-JP"/>
        </w:rPr>
        <w:br/>
        <w:t>Veuillez donner une seule réponse: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(1) </w:t>
      </w:r>
      <w:r>
        <w:rPr>
          <w:rFonts w:eastAsiaTheme="majorEastAsia"/>
          <w:szCs w:val="24"/>
          <w:lang w:eastAsia="ko-KR"/>
        </w:rPr>
        <w:t>Pas du tout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(2) </w:t>
      </w:r>
      <w:r>
        <w:rPr>
          <w:rFonts w:eastAsiaTheme="majorEastAsia"/>
          <w:szCs w:val="24"/>
          <w:lang w:eastAsia="ko-KR"/>
        </w:rPr>
        <w:t>Pas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(3) </w:t>
      </w:r>
      <w:r>
        <w:rPr>
          <w:rFonts w:eastAsiaTheme="majorEastAsia"/>
          <w:szCs w:val="24"/>
          <w:lang w:eastAsia="ko-KR"/>
        </w:rPr>
        <w:t>Sans opinion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(4) </w:t>
      </w:r>
      <w:r>
        <w:rPr>
          <w:rFonts w:eastAsiaTheme="majorEastAsia"/>
          <w:szCs w:val="24"/>
          <w:lang w:eastAsia="ko-KR"/>
        </w:rPr>
        <w:t>D'accord</w:t>
      </w:r>
    </w:p>
    <w:p w:rsidR="004047F4" w:rsidRPr="0075210C" w:rsidRDefault="004047F4" w:rsidP="004047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480" w:lineRule="auto"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(5) </w:t>
      </w:r>
      <w:r>
        <w:rPr>
          <w:rFonts w:eastAsiaTheme="majorEastAsia"/>
          <w:szCs w:val="24"/>
          <w:lang w:eastAsia="ko-KR"/>
        </w:rPr>
        <w:t>Tout à fait d'accord</w:t>
      </w:r>
    </w:p>
    <w:p w:rsidR="00AB1153" w:rsidRDefault="00AB1153" w:rsidP="00881E47">
      <w:pPr>
        <w:ind w:left="794" w:hanging="794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br w:type="page"/>
      </w:r>
    </w:p>
    <w:p w:rsidR="004047F4" w:rsidRPr="0075210C" w:rsidRDefault="004047F4" w:rsidP="00881E47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lastRenderedPageBreak/>
        <w:t>3.3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La Recommandation UIT-T D.97 a</w:t>
      </w:r>
      <w:r w:rsidR="00881E47">
        <w:rPr>
          <w:rFonts w:eastAsiaTheme="majorEastAsia"/>
          <w:lang w:eastAsia="ja-JP"/>
        </w:rPr>
        <w:t>-t-elle</w:t>
      </w:r>
      <w:r>
        <w:rPr>
          <w:rFonts w:eastAsiaTheme="majorEastAsia"/>
          <w:lang w:eastAsia="ja-JP"/>
        </w:rPr>
        <w:t xml:space="preserve"> été utile pour </w:t>
      </w:r>
      <w:r w:rsidR="00881E47">
        <w:rPr>
          <w:rFonts w:eastAsiaTheme="majorEastAsia"/>
          <w:lang w:eastAsia="ja-JP"/>
        </w:rPr>
        <w:t xml:space="preserve">faire baisser </w:t>
      </w:r>
      <w:r>
        <w:rPr>
          <w:rFonts w:eastAsiaTheme="majorEastAsia"/>
          <w:lang w:eastAsia="ja-JP"/>
        </w:rPr>
        <w:t xml:space="preserve">les tarifs </w:t>
      </w:r>
      <w:r w:rsidR="00895D99">
        <w:rPr>
          <w:rFonts w:eastAsiaTheme="majorEastAsia"/>
          <w:lang w:eastAsia="ja-JP"/>
        </w:rPr>
        <w:t>de l'itinérance dans votre pays?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donner une seule réponse</w:t>
      </w:r>
      <w:r w:rsidRPr="0075210C">
        <w:rPr>
          <w:rFonts w:eastAsiaTheme="majorEastAsia"/>
          <w:lang w:eastAsia="ja-JP"/>
        </w:rPr>
        <w:t>:</w:t>
      </w:r>
    </w:p>
    <w:p w:rsidR="004047F4" w:rsidRPr="0075210C" w:rsidRDefault="004047F4" w:rsidP="00AB11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(1) </w:t>
      </w:r>
      <w:r>
        <w:rPr>
          <w:rFonts w:eastAsiaTheme="majorEastAsia"/>
          <w:szCs w:val="24"/>
          <w:lang w:eastAsia="ko-KR"/>
        </w:rPr>
        <w:t>Pas du tout d'accord</w:t>
      </w:r>
    </w:p>
    <w:p w:rsidR="004047F4" w:rsidRPr="0075210C" w:rsidRDefault="004047F4" w:rsidP="00AB11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(2) </w:t>
      </w:r>
      <w:r>
        <w:rPr>
          <w:rFonts w:eastAsiaTheme="majorEastAsia"/>
          <w:szCs w:val="24"/>
          <w:lang w:eastAsia="ko-KR"/>
        </w:rPr>
        <w:t>Pas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(3) </w:t>
      </w:r>
      <w:r>
        <w:rPr>
          <w:rFonts w:eastAsiaTheme="majorEastAsia"/>
          <w:szCs w:val="24"/>
          <w:lang w:eastAsia="ko-KR"/>
        </w:rPr>
        <w:t>Sans opinion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(4) </w:t>
      </w:r>
      <w:r>
        <w:rPr>
          <w:rFonts w:eastAsiaTheme="majorEastAsia"/>
          <w:szCs w:val="24"/>
          <w:lang w:eastAsia="ko-KR"/>
        </w:rPr>
        <w:t>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(5) </w:t>
      </w:r>
      <w:r>
        <w:rPr>
          <w:rFonts w:eastAsiaTheme="majorEastAsia"/>
          <w:szCs w:val="24"/>
          <w:lang w:eastAsia="ko-KR"/>
        </w:rPr>
        <w:t>Tout à fait d'accord</w:t>
      </w:r>
    </w:p>
    <w:p w:rsidR="004047F4" w:rsidRDefault="004047F4" w:rsidP="00881E47">
      <w:pPr>
        <w:pStyle w:val="Heading1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4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Mesures </w:t>
      </w:r>
      <w:r w:rsidR="00881E47">
        <w:rPr>
          <w:rFonts w:eastAsiaTheme="majorEastAsia"/>
          <w:lang w:eastAsia="ja-JP"/>
        </w:rPr>
        <w:t xml:space="preserve">prises pour </w:t>
      </w:r>
      <w:r>
        <w:rPr>
          <w:rFonts w:eastAsiaTheme="majorEastAsia"/>
          <w:lang w:eastAsia="ja-JP"/>
        </w:rPr>
        <w:t>fixer les tarifs de l'i</w:t>
      </w:r>
      <w:r w:rsidR="00881E47">
        <w:rPr>
          <w:rFonts w:eastAsiaTheme="majorEastAsia"/>
          <w:lang w:eastAsia="ja-JP"/>
        </w:rPr>
        <w:t>tinérance mobile internationale</w:t>
      </w:r>
    </w:p>
    <w:p w:rsidR="004047F4" w:rsidRPr="0075210C" w:rsidRDefault="004047F4" w:rsidP="00881E47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4.1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Quelles mesures avez-vous mises en </w:t>
      </w:r>
      <w:r w:rsidR="003C29AF">
        <w:rPr>
          <w:rFonts w:eastAsiaTheme="majorEastAsia"/>
          <w:lang w:eastAsia="ja-JP"/>
        </w:rPr>
        <w:t>œuvre</w:t>
      </w:r>
      <w:r>
        <w:rPr>
          <w:rFonts w:eastAsiaTheme="majorEastAsia"/>
          <w:lang w:eastAsia="ja-JP"/>
        </w:rPr>
        <w:t xml:space="preserve"> concernant les services d'itinérance mobile internationale et la dé</w:t>
      </w:r>
      <w:r w:rsidR="00881E47">
        <w:rPr>
          <w:rFonts w:eastAsiaTheme="majorEastAsia"/>
          <w:lang w:eastAsia="ja-JP"/>
        </w:rPr>
        <w:t xml:space="preserve">termination </w:t>
      </w:r>
      <w:r>
        <w:rPr>
          <w:rFonts w:eastAsiaTheme="majorEastAsia"/>
          <w:lang w:eastAsia="ja-JP"/>
        </w:rPr>
        <w:t>de leurs tarifs?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cocher toutes les cases correspondantes</w:t>
      </w:r>
      <w:r w:rsidRPr="0075210C">
        <w:rPr>
          <w:rFonts w:eastAsiaTheme="majorEastAsia"/>
          <w:lang w:eastAsia="ja-JP"/>
        </w:rPr>
        <w:t>:</w:t>
      </w:r>
    </w:p>
    <w:p w:rsidR="004047F4" w:rsidRDefault="004047F4" w:rsidP="00881E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Mesures destinées à mieux faire connaître les services d'itinérance auprès des consommateurs (par exemple, fourniture d'informations tarifaires claires et transparentes, envoi aux utilisateurs d'avertissement</w:t>
      </w:r>
      <w:r w:rsidR="00881E47">
        <w:rPr>
          <w:rFonts w:eastAsiaTheme="majorEastAsia"/>
          <w:szCs w:val="24"/>
          <w:lang w:eastAsia="ja-JP"/>
        </w:rPr>
        <w:t>s</w:t>
      </w:r>
      <w:r>
        <w:rPr>
          <w:rFonts w:eastAsiaTheme="majorEastAsia"/>
          <w:szCs w:val="24"/>
          <w:lang w:eastAsia="ja-JP"/>
        </w:rPr>
        <w:t xml:space="preserve"> par SMS avec des informations </w:t>
      </w:r>
      <w:r w:rsidR="00881E47">
        <w:rPr>
          <w:rFonts w:eastAsiaTheme="majorEastAsia"/>
          <w:szCs w:val="24"/>
          <w:lang w:eastAsia="ja-JP"/>
        </w:rPr>
        <w:t xml:space="preserve">sur </w:t>
      </w:r>
      <w:r>
        <w:rPr>
          <w:rFonts w:eastAsiaTheme="majorEastAsia"/>
          <w:szCs w:val="24"/>
          <w:lang w:eastAsia="ja-JP"/>
        </w:rPr>
        <w:t xml:space="preserve">l'utilisation et le montant </w:t>
      </w:r>
      <w:r w:rsidR="00881E47">
        <w:rPr>
          <w:rFonts w:eastAsiaTheme="majorEastAsia"/>
          <w:szCs w:val="24"/>
          <w:lang w:eastAsia="ja-JP"/>
        </w:rPr>
        <w:t>atteint</w:t>
      </w:r>
      <w:r>
        <w:rPr>
          <w:rFonts w:eastAsiaTheme="majorEastAsia"/>
          <w:szCs w:val="24"/>
          <w:lang w:eastAsia="ja-JP"/>
        </w:rPr>
        <w:t>, messages d'avertissement, blocage automatique des services d'itinérance dès qu'un montant prédéterminé a été atteint, etc.).</w:t>
      </w:r>
    </w:p>
    <w:p w:rsidR="004047F4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>
        <w:rPr>
          <w:rFonts w:eastAsiaTheme="majorEastAsia"/>
          <w:szCs w:val="24"/>
          <w:lang w:eastAsia="ja-JP"/>
        </w:rPr>
        <w:tab/>
        <w:t>Me</w:t>
      </w:r>
      <w:r w:rsidRPr="0075210C">
        <w:rPr>
          <w:rFonts w:eastAsiaTheme="majorEastAsia"/>
          <w:szCs w:val="24"/>
          <w:lang w:eastAsia="ja-JP"/>
        </w:rPr>
        <w:t>sures</w:t>
      </w:r>
      <w:r>
        <w:rPr>
          <w:rFonts w:eastAsiaTheme="majorEastAsia"/>
          <w:szCs w:val="24"/>
          <w:lang w:eastAsia="ja-JP"/>
        </w:rPr>
        <w:t xml:space="preserve"> destinées à promouvoir la concurrence sur le marché de l'itinérance mobile internationale</w:t>
      </w:r>
    </w:p>
    <w:p w:rsidR="004047F4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Offres de forfaits d'itinérance correspondant aux besoins et au budget des utilisateurs</w:t>
      </w:r>
    </w:p>
    <w:p w:rsidR="004047F4" w:rsidRPr="0075210C" w:rsidRDefault="004047F4" w:rsidP="004467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Appui à la mise en place de services de remplacement</w:t>
      </w:r>
      <w:r w:rsidRPr="0075210C">
        <w:rPr>
          <w:rFonts w:eastAsiaTheme="majorEastAsia"/>
          <w:szCs w:val="24"/>
          <w:lang w:eastAsia="ja-JP"/>
        </w:rPr>
        <w:t xml:space="preserve"> (</w:t>
      </w:r>
      <w:r>
        <w:rPr>
          <w:rFonts w:eastAsiaTheme="majorEastAsia"/>
          <w:szCs w:val="24"/>
          <w:lang w:eastAsia="ja-JP"/>
        </w:rPr>
        <w:t>cartes</w:t>
      </w:r>
      <w:r w:rsidRPr="0075210C">
        <w:rPr>
          <w:rFonts w:eastAsiaTheme="majorEastAsia"/>
          <w:szCs w:val="24"/>
          <w:lang w:eastAsia="ja-JP"/>
        </w:rPr>
        <w:t xml:space="preserve"> SIM</w:t>
      </w:r>
      <w:r>
        <w:rPr>
          <w:rFonts w:eastAsiaTheme="majorEastAsia"/>
          <w:szCs w:val="24"/>
          <w:lang w:eastAsia="ja-JP"/>
        </w:rPr>
        <w:t xml:space="preserve"> locales</w:t>
      </w:r>
      <w:r w:rsidRPr="0075210C">
        <w:rPr>
          <w:rFonts w:eastAsiaTheme="majorEastAsia"/>
          <w:szCs w:val="24"/>
          <w:lang w:eastAsia="ja-JP"/>
        </w:rPr>
        <w:t xml:space="preserve">, </w:t>
      </w:r>
      <w:r w:rsidR="004467DF">
        <w:rPr>
          <w:rFonts w:eastAsiaTheme="majorEastAsia"/>
          <w:szCs w:val="24"/>
          <w:lang w:eastAsia="ja-JP"/>
        </w:rPr>
        <w:t>téléphones à double carte</w:t>
      </w:r>
      <w:r>
        <w:rPr>
          <w:rFonts w:eastAsiaTheme="majorEastAsia"/>
          <w:szCs w:val="24"/>
          <w:lang w:eastAsia="ja-JP"/>
        </w:rPr>
        <w:t xml:space="preserve"> </w:t>
      </w:r>
      <w:r w:rsidRPr="0075210C">
        <w:rPr>
          <w:rFonts w:eastAsiaTheme="majorEastAsia"/>
          <w:szCs w:val="24"/>
          <w:lang w:eastAsia="ja-JP"/>
        </w:rPr>
        <w:t xml:space="preserve">SIM, </w:t>
      </w:r>
      <w:r>
        <w:rPr>
          <w:rFonts w:eastAsiaTheme="majorEastAsia"/>
          <w:szCs w:val="24"/>
          <w:lang w:eastAsia="ja-JP"/>
        </w:rPr>
        <w:t>location d</w:t>
      </w:r>
      <w:r w:rsidR="004467DF">
        <w:rPr>
          <w:rFonts w:eastAsiaTheme="majorEastAsia"/>
          <w:szCs w:val="24"/>
          <w:lang w:eastAsia="ja-JP"/>
        </w:rPr>
        <w:t>e téléphones</w:t>
      </w:r>
      <w:r w:rsidRPr="0075210C">
        <w:rPr>
          <w:rFonts w:eastAsiaTheme="majorEastAsia"/>
          <w:szCs w:val="24"/>
          <w:lang w:eastAsia="ja-JP"/>
        </w:rPr>
        <w:t xml:space="preserve">, </w:t>
      </w:r>
      <w:r>
        <w:rPr>
          <w:rFonts w:eastAsiaTheme="majorEastAsia"/>
          <w:szCs w:val="24"/>
          <w:lang w:eastAsia="ja-JP"/>
        </w:rPr>
        <w:t>autres nouvelles technologies</w:t>
      </w:r>
      <w:r w:rsidRPr="0075210C">
        <w:rPr>
          <w:rFonts w:eastAsiaTheme="majorEastAsia"/>
          <w:szCs w:val="24"/>
          <w:lang w:eastAsia="ja-JP"/>
        </w:rPr>
        <w:t>, etc.)</w:t>
      </w:r>
    </w:p>
    <w:p w:rsidR="004047F4" w:rsidRPr="0075210C" w:rsidRDefault="004047F4" w:rsidP="004467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Coopération ré</w:t>
      </w:r>
      <w:r w:rsidRPr="0075210C">
        <w:rPr>
          <w:rFonts w:eastAsiaTheme="majorEastAsia"/>
          <w:szCs w:val="24"/>
          <w:lang w:eastAsia="ja-JP"/>
        </w:rPr>
        <w:t>gional</w:t>
      </w:r>
      <w:r>
        <w:rPr>
          <w:rFonts w:eastAsiaTheme="majorEastAsia"/>
          <w:szCs w:val="24"/>
          <w:lang w:eastAsia="ja-JP"/>
        </w:rPr>
        <w:t>e</w:t>
      </w:r>
      <w:r w:rsidRPr="0075210C">
        <w:rPr>
          <w:rFonts w:eastAsiaTheme="majorEastAsia"/>
          <w:szCs w:val="24"/>
          <w:lang w:eastAsia="ja-JP"/>
        </w:rPr>
        <w:t xml:space="preserve"> </w:t>
      </w:r>
      <w:r>
        <w:rPr>
          <w:rFonts w:eastAsiaTheme="majorEastAsia"/>
          <w:szCs w:val="24"/>
          <w:lang w:eastAsia="ja-JP"/>
        </w:rPr>
        <w:t>et</w:t>
      </w:r>
      <w:r w:rsidRPr="0075210C">
        <w:rPr>
          <w:rFonts w:eastAsiaTheme="majorEastAsia"/>
          <w:szCs w:val="24"/>
          <w:lang w:eastAsia="ja-JP"/>
        </w:rPr>
        <w:t xml:space="preserve"> </w:t>
      </w:r>
      <w:r w:rsidR="004467DF">
        <w:rPr>
          <w:rFonts w:eastAsiaTheme="majorEastAsia"/>
          <w:szCs w:val="24"/>
          <w:lang w:eastAsia="ja-JP"/>
        </w:rPr>
        <w:t>multi</w:t>
      </w:r>
      <w:r>
        <w:rPr>
          <w:rFonts w:eastAsiaTheme="majorEastAsia"/>
          <w:szCs w:val="24"/>
          <w:lang w:eastAsia="ja-JP"/>
        </w:rPr>
        <w:t>régionale entre opérateurs et régulateur</w:t>
      </w:r>
      <w:r w:rsidR="004467DF">
        <w:rPr>
          <w:rFonts w:eastAsiaTheme="majorEastAsia"/>
          <w:szCs w:val="24"/>
          <w:lang w:eastAsia="ja-JP"/>
        </w:rPr>
        <w:t>s</w:t>
      </w:r>
      <w:r w:rsidRPr="0075210C">
        <w:rPr>
          <w:rFonts w:eastAsiaTheme="majorEastAsia"/>
          <w:szCs w:val="24"/>
          <w:lang w:eastAsia="ja-JP"/>
        </w:rPr>
        <w:t xml:space="preserve"> </w:t>
      </w:r>
    </w:p>
    <w:p w:rsidR="004047F4" w:rsidRPr="0075210C" w:rsidRDefault="004047F4" w:rsidP="004467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ja-JP"/>
        </w:rPr>
      </w:pPr>
      <w:r w:rsidRPr="0075210C">
        <w:rPr>
          <w:rFonts w:eastAsiaTheme="majorEastAsia"/>
          <w:szCs w:val="24"/>
          <w:lang w:eastAsia="ja-JP"/>
        </w:rPr>
        <w:sym w:font="Wingdings" w:char="F06F"/>
      </w:r>
      <w:r w:rsidRPr="0075210C">
        <w:rPr>
          <w:rFonts w:eastAsiaTheme="majorEastAsia"/>
          <w:szCs w:val="24"/>
          <w:lang w:eastAsia="ja-JP"/>
        </w:rPr>
        <w:tab/>
      </w:r>
      <w:r>
        <w:rPr>
          <w:rFonts w:eastAsiaTheme="majorEastAsia"/>
          <w:szCs w:val="24"/>
          <w:lang w:eastAsia="ja-JP"/>
        </w:rPr>
        <w:t>Interventions réglementaires</w:t>
      </w:r>
      <w:r w:rsidRPr="0075210C">
        <w:rPr>
          <w:rFonts w:eastAsiaTheme="majorEastAsia"/>
          <w:szCs w:val="24"/>
          <w:lang w:eastAsia="ja-JP"/>
        </w:rPr>
        <w:t xml:space="preserve"> (</w:t>
      </w:r>
      <w:r>
        <w:rPr>
          <w:rFonts w:eastAsiaTheme="majorEastAsia"/>
          <w:szCs w:val="24"/>
          <w:lang w:eastAsia="ja-JP"/>
        </w:rPr>
        <w:t>plafonnement des tarifs</w:t>
      </w:r>
      <w:r w:rsidRPr="0075210C">
        <w:rPr>
          <w:rFonts w:eastAsiaTheme="majorEastAsia"/>
          <w:szCs w:val="24"/>
          <w:lang w:eastAsia="ja-JP"/>
        </w:rPr>
        <w:t>, pr</w:t>
      </w:r>
      <w:r>
        <w:rPr>
          <w:rFonts w:eastAsiaTheme="majorEastAsia"/>
          <w:szCs w:val="24"/>
          <w:lang w:eastAsia="ja-JP"/>
        </w:rPr>
        <w:t>é</w:t>
      </w:r>
      <w:r w:rsidRPr="0075210C">
        <w:rPr>
          <w:rFonts w:eastAsiaTheme="majorEastAsia"/>
          <w:szCs w:val="24"/>
          <w:lang w:eastAsia="ja-JP"/>
        </w:rPr>
        <w:t>-s</w:t>
      </w:r>
      <w:r>
        <w:rPr>
          <w:rFonts w:eastAsiaTheme="majorEastAsia"/>
          <w:szCs w:val="24"/>
          <w:lang w:eastAsia="ja-JP"/>
        </w:rPr>
        <w:t>é</w:t>
      </w:r>
      <w:r w:rsidRPr="0075210C">
        <w:rPr>
          <w:rFonts w:eastAsiaTheme="majorEastAsia"/>
          <w:szCs w:val="24"/>
          <w:lang w:eastAsia="ja-JP"/>
        </w:rPr>
        <w:t xml:space="preserve">lection, </w:t>
      </w:r>
      <w:r>
        <w:rPr>
          <w:rFonts w:eastAsiaTheme="majorEastAsia"/>
          <w:szCs w:val="24"/>
          <w:lang w:eastAsia="ja-JP"/>
        </w:rPr>
        <w:t xml:space="preserve">autres </w:t>
      </w:r>
      <w:r w:rsidR="004467DF">
        <w:rPr>
          <w:rFonts w:eastAsiaTheme="majorEastAsia"/>
          <w:szCs w:val="24"/>
          <w:lang w:eastAsia="ja-JP"/>
        </w:rPr>
        <w:t>dispositions</w:t>
      </w:r>
      <w:r>
        <w:rPr>
          <w:rFonts w:eastAsiaTheme="majorEastAsia"/>
          <w:szCs w:val="24"/>
          <w:lang w:eastAsia="ja-JP"/>
        </w:rPr>
        <w:t xml:space="preserve"> réglementaires</w:t>
      </w:r>
      <w:r w:rsidRPr="0075210C">
        <w:rPr>
          <w:rFonts w:eastAsiaTheme="majorEastAsia"/>
          <w:szCs w:val="24"/>
          <w:lang w:eastAsia="ja-JP"/>
        </w:rPr>
        <w:t>, etc.)</w:t>
      </w:r>
    </w:p>
    <w:p w:rsidR="004047F4" w:rsidRPr="0075210C" w:rsidRDefault="004047F4" w:rsidP="00B86452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4.2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La Recommandation UIT-T D.98 a</w:t>
      </w:r>
      <w:r w:rsidR="004467DF">
        <w:rPr>
          <w:rFonts w:eastAsiaTheme="majorEastAsia"/>
          <w:lang w:eastAsia="ja-JP"/>
        </w:rPr>
        <w:t>-t-elle</w:t>
      </w:r>
      <w:r>
        <w:rPr>
          <w:rFonts w:eastAsiaTheme="majorEastAsia"/>
          <w:lang w:eastAsia="ja-JP"/>
        </w:rPr>
        <w:t xml:space="preserve"> été utile pour mettre en p</w:t>
      </w:r>
      <w:r w:rsidR="004467DF">
        <w:rPr>
          <w:rFonts w:eastAsiaTheme="majorEastAsia"/>
          <w:lang w:eastAsia="ja-JP"/>
        </w:rPr>
        <w:t>lace les mesures susmentionnées?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donner une seule réponse</w:t>
      </w:r>
      <w:r w:rsidRPr="0075210C">
        <w:rPr>
          <w:rFonts w:eastAsiaTheme="majorEastAsia"/>
          <w:lang w:eastAsia="ja-JP"/>
        </w:rPr>
        <w:t>: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(1) </w:t>
      </w:r>
      <w:r>
        <w:rPr>
          <w:rFonts w:eastAsiaTheme="majorEastAsia"/>
          <w:szCs w:val="24"/>
          <w:lang w:eastAsia="ko-KR"/>
        </w:rPr>
        <w:t>Pas du tout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(2) </w:t>
      </w:r>
      <w:r>
        <w:rPr>
          <w:rFonts w:eastAsiaTheme="majorEastAsia"/>
          <w:szCs w:val="24"/>
          <w:lang w:eastAsia="ko-KR"/>
        </w:rPr>
        <w:t>Pas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(3) </w:t>
      </w:r>
      <w:r>
        <w:rPr>
          <w:rFonts w:eastAsiaTheme="majorEastAsia"/>
          <w:szCs w:val="24"/>
          <w:lang w:eastAsia="ko-KR"/>
        </w:rPr>
        <w:t>Sans opinion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(4) </w:t>
      </w:r>
      <w:r>
        <w:rPr>
          <w:rFonts w:eastAsiaTheme="majorEastAsia"/>
          <w:szCs w:val="24"/>
          <w:lang w:eastAsia="ko-KR"/>
        </w:rPr>
        <w:t>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(5) </w:t>
      </w:r>
      <w:r>
        <w:rPr>
          <w:rFonts w:eastAsiaTheme="majorEastAsia"/>
          <w:szCs w:val="24"/>
          <w:lang w:eastAsia="ko-KR"/>
        </w:rPr>
        <w:t>Tout à fait d'accord</w:t>
      </w:r>
    </w:p>
    <w:p w:rsidR="004047F4" w:rsidRPr="0075210C" w:rsidRDefault="004047F4" w:rsidP="004467DF">
      <w:pPr>
        <w:pStyle w:val="Heading1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lastRenderedPageBreak/>
        <w:t>5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Coopération multilatérale pour </w:t>
      </w:r>
      <w:r w:rsidR="004467DF">
        <w:rPr>
          <w:rFonts w:eastAsiaTheme="majorEastAsia"/>
          <w:lang w:eastAsia="ja-JP"/>
        </w:rPr>
        <w:t>fixer les</w:t>
      </w:r>
      <w:r>
        <w:rPr>
          <w:rFonts w:eastAsiaTheme="majorEastAsia"/>
          <w:lang w:eastAsia="ja-JP"/>
        </w:rPr>
        <w:t xml:space="preserve"> tarifs de l'itinérance mobile internationale</w:t>
      </w:r>
    </w:p>
    <w:p w:rsidR="004047F4" w:rsidRDefault="004047F4" w:rsidP="00B86452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5.1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Quelles mesures sont mises en </w:t>
      </w:r>
      <w:r w:rsidR="003C29AF">
        <w:rPr>
          <w:rFonts w:eastAsiaTheme="majorEastAsia"/>
          <w:lang w:eastAsia="ja-JP"/>
        </w:rPr>
        <w:t>œuvre</w:t>
      </w:r>
      <w:r>
        <w:rPr>
          <w:rFonts w:eastAsiaTheme="majorEastAsia"/>
          <w:lang w:eastAsia="ja-JP"/>
        </w:rPr>
        <w:t xml:space="preserve"> au niveau </w:t>
      </w:r>
      <w:r>
        <w:rPr>
          <w:rFonts w:eastAsiaTheme="majorEastAsia"/>
          <w:b/>
          <w:bCs/>
          <w:lang w:eastAsia="ja-JP"/>
        </w:rPr>
        <w:t>multi</w:t>
      </w:r>
      <w:r w:rsidRPr="001D08F3">
        <w:rPr>
          <w:rFonts w:eastAsiaTheme="majorEastAsia"/>
          <w:b/>
          <w:bCs/>
          <w:lang w:eastAsia="ja-JP"/>
        </w:rPr>
        <w:t>national</w:t>
      </w:r>
      <w:r>
        <w:rPr>
          <w:rFonts w:eastAsiaTheme="majorEastAsia"/>
          <w:lang w:eastAsia="ja-JP"/>
        </w:rPr>
        <w:t xml:space="preserve"> pour réduire les tarifs de l'itinérance mobile internationale</w:t>
      </w:r>
      <w:r w:rsidRPr="0075210C">
        <w:rPr>
          <w:rFonts w:eastAsiaTheme="majorEastAsia"/>
          <w:lang w:eastAsia="ja-JP"/>
        </w:rPr>
        <w:t>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indiquer les pays</w:t>
      </w:r>
      <w:r w:rsidR="004467DF">
        <w:rPr>
          <w:rFonts w:eastAsiaTheme="majorEastAsia"/>
          <w:lang w:eastAsia="ja-JP"/>
        </w:rPr>
        <w:t xml:space="preserve"> concernés</w:t>
      </w:r>
      <w:r>
        <w:rPr>
          <w:rFonts w:eastAsiaTheme="majorEastAsia"/>
          <w:lang w:eastAsia="ja-JP"/>
        </w:rPr>
        <w:t xml:space="preserve">, </w:t>
      </w:r>
      <w:r w:rsidR="004467DF">
        <w:rPr>
          <w:rFonts w:eastAsiaTheme="majorEastAsia"/>
          <w:lang w:eastAsia="ja-JP"/>
        </w:rPr>
        <w:t xml:space="preserve">ainsi que les </w:t>
      </w:r>
      <w:r>
        <w:rPr>
          <w:rFonts w:eastAsiaTheme="majorEastAsia"/>
          <w:lang w:eastAsia="ja-JP"/>
        </w:rPr>
        <w:t>organismes, organisation</w:t>
      </w:r>
      <w:r w:rsidR="00180A21">
        <w:rPr>
          <w:rFonts w:eastAsiaTheme="majorEastAsia"/>
          <w:lang w:eastAsia="ja-JP"/>
        </w:rPr>
        <w:t>s</w:t>
      </w:r>
      <w:r>
        <w:rPr>
          <w:rFonts w:eastAsiaTheme="majorEastAsia"/>
          <w:lang w:eastAsia="ja-JP"/>
        </w:rPr>
        <w:t xml:space="preserve"> et entités </w:t>
      </w:r>
      <w:r w:rsidR="004467DF">
        <w:rPr>
          <w:rFonts w:eastAsiaTheme="majorEastAsia"/>
          <w:lang w:eastAsia="ja-JP"/>
        </w:rPr>
        <w:t xml:space="preserve">créés ou </w:t>
      </w:r>
      <w:r>
        <w:rPr>
          <w:rFonts w:eastAsiaTheme="majorEastAsia"/>
          <w:lang w:eastAsia="ja-JP"/>
        </w:rPr>
        <w:t>concernés et leurs stratégies pour réduire les tarifs de l'itinérance mobile internationale.</w:t>
      </w:r>
    </w:p>
    <w:p w:rsidR="004047F4" w:rsidRPr="0075210C" w:rsidRDefault="004047F4" w:rsidP="00B86452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5.2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Quelles mesures sont mises en </w:t>
      </w:r>
      <w:r w:rsidR="003C29AF">
        <w:rPr>
          <w:rFonts w:eastAsiaTheme="majorEastAsia"/>
          <w:lang w:eastAsia="ja-JP"/>
        </w:rPr>
        <w:t>œuvre</w:t>
      </w:r>
      <w:r>
        <w:rPr>
          <w:rFonts w:eastAsiaTheme="majorEastAsia"/>
          <w:lang w:eastAsia="ja-JP"/>
        </w:rPr>
        <w:t xml:space="preserve"> au niveau </w:t>
      </w:r>
      <w:r>
        <w:rPr>
          <w:rFonts w:eastAsiaTheme="majorEastAsia"/>
          <w:b/>
          <w:bCs/>
          <w:lang w:eastAsia="ja-JP"/>
        </w:rPr>
        <w:t>bilatéral</w:t>
      </w:r>
      <w:r>
        <w:rPr>
          <w:rFonts w:eastAsiaTheme="majorEastAsia"/>
          <w:lang w:eastAsia="ja-JP"/>
        </w:rPr>
        <w:t xml:space="preserve"> pour réduire les tarifs de l'itinérance mobile internationale</w:t>
      </w:r>
      <w:r w:rsidRPr="0075210C">
        <w:rPr>
          <w:rFonts w:eastAsiaTheme="majorEastAsia"/>
          <w:lang w:eastAsia="ja-JP"/>
        </w:rPr>
        <w:t>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indiquer les pays</w:t>
      </w:r>
      <w:r w:rsidR="004467DF">
        <w:rPr>
          <w:rFonts w:eastAsiaTheme="majorEastAsia"/>
          <w:lang w:eastAsia="ja-JP"/>
        </w:rPr>
        <w:t xml:space="preserve"> concernés</w:t>
      </w:r>
      <w:r>
        <w:rPr>
          <w:rFonts w:eastAsiaTheme="majorEastAsia"/>
          <w:lang w:eastAsia="ja-JP"/>
        </w:rPr>
        <w:t xml:space="preserve">, </w:t>
      </w:r>
      <w:r w:rsidR="004467DF">
        <w:rPr>
          <w:rFonts w:eastAsiaTheme="majorEastAsia"/>
          <w:lang w:eastAsia="ja-JP"/>
        </w:rPr>
        <w:t xml:space="preserve">ainsi que les </w:t>
      </w:r>
      <w:r>
        <w:rPr>
          <w:rFonts w:eastAsiaTheme="majorEastAsia"/>
          <w:lang w:eastAsia="ja-JP"/>
        </w:rPr>
        <w:t>organismes, organisation</w:t>
      </w:r>
      <w:r w:rsidR="00180A21">
        <w:rPr>
          <w:rFonts w:eastAsiaTheme="majorEastAsia"/>
          <w:lang w:eastAsia="ja-JP"/>
        </w:rPr>
        <w:t>s</w:t>
      </w:r>
      <w:r>
        <w:rPr>
          <w:rFonts w:eastAsiaTheme="majorEastAsia"/>
          <w:lang w:eastAsia="ja-JP"/>
        </w:rPr>
        <w:t xml:space="preserve"> et entités </w:t>
      </w:r>
      <w:r w:rsidR="004467DF">
        <w:rPr>
          <w:rFonts w:eastAsiaTheme="majorEastAsia"/>
          <w:lang w:eastAsia="ja-JP"/>
        </w:rPr>
        <w:t xml:space="preserve">créés ou </w:t>
      </w:r>
      <w:r>
        <w:rPr>
          <w:rFonts w:eastAsiaTheme="majorEastAsia"/>
          <w:lang w:eastAsia="ja-JP"/>
        </w:rPr>
        <w:t>concernés et leurs stratégies pour réduire les tarifs de l'itinérance mobile internationale</w:t>
      </w:r>
      <w:r w:rsidRPr="0075210C">
        <w:rPr>
          <w:rFonts w:eastAsiaTheme="majorEastAsia"/>
          <w:lang w:eastAsia="ja-JP"/>
        </w:rPr>
        <w:t>.</w:t>
      </w:r>
    </w:p>
    <w:p w:rsidR="004047F4" w:rsidRPr="0075210C" w:rsidRDefault="004047F4" w:rsidP="00B86452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5.3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Quelles mesures sont mises en </w:t>
      </w:r>
      <w:r w:rsidR="003C29AF">
        <w:rPr>
          <w:rFonts w:eastAsiaTheme="majorEastAsia"/>
          <w:lang w:eastAsia="ja-JP"/>
        </w:rPr>
        <w:t>œuvre</w:t>
      </w:r>
      <w:r>
        <w:rPr>
          <w:rFonts w:eastAsiaTheme="majorEastAsia"/>
          <w:lang w:eastAsia="ja-JP"/>
        </w:rPr>
        <w:t xml:space="preserve"> au niveau </w:t>
      </w:r>
      <w:r>
        <w:rPr>
          <w:rFonts w:eastAsiaTheme="majorEastAsia"/>
          <w:b/>
          <w:bCs/>
          <w:lang w:eastAsia="ja-JP"/>
        </w:rPr>
        <w:t>régional</w:t>
      </w:r>
      <w:r>
        <w:rPr>
          <w:rFonts w:eastAsiaTheme="majorEastAsia"/>
          <w:lang w:eastAsia="ja-JP"/>
        </w:rPr>
        <w:t xml:space="preserve"> pour réduire les tarifs de l'itinérance mobile internationale</w:t>
      </w:r>
      <w:r w:rsidRPr="0075210C">
        <w:rPr>
          <w:rFonts w:eastAsiaTheme="majorEastAsia"/>
          <w:lang w:eastAsia="ja-JP"/>
        </w:rPr>
        <w:t>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indiquer les pays</w:t>
      </w:r>
      <w:r w:rsidR="00FF1DCC">
        <w:rPr>
          <w:rFonts w:eastAsiaTheme="majorEastAsia"/>
          <w:lang w:eastAsia="ja-JP"/>
        </w:rPr>
        <w:t xml:space="preserve"> concernés</w:t>
      </w:r>
      <w:r>
        <w:rPr>
          <w:rFonts w:eastAsiaTheme="majorEastAsia"/>
          <w:lang w:eastAsia="ja-JP"/>
        </w:rPr>
        <w:t xml:space="preserve">, </w:t>
      </w:r>
      <w:r w:rsidR="00FF1DCC">
        <w:rPr>
          <w:rFonts w:eastAsiaTheme="majorEastAsia"/>
          <w:lang w:eastAsia="ja-JP"/>
        </w:rPr>
        <w:t xml:space="preserve">ainsi que les </w:t>
      </w:r>
      <w:r>
        <w:rPr>
          <w:rFonts w:eastAsiaTheme="majorEastAsia"/>
          <w:lang w:eastAsia="ja-JP"/>
        </w:rPr>
        <w:t>organismes, organisation</w:t>
      </w:r>
      <w:r w:rsidR="00180A21">
        <w:rPr>
          <w:rFonts w:eastAsiaTheme="majorEastAsia"/>
          <w:lang w:eastAsia="ja-JP"/>
        </w:rPr>
        <w:t>s</w:t>
      </w:r>
      <w:r>
        <w:rPr>
          <w:rFonts w:eastAsiaTheme="majorEastAsia"/>
          <w:lang w:eastAsia="ja-JP"/>
        </w:rPr>
        <w:t xml:space="preserve"> et entités </w:t>
      </w:r>
      <w:r w:rsidR="00EB4E2C">
        <w:rPr>
          <w:rFonts w:eastAsiaTheme="majorEastAsia"/>
          <w:lang w:eastAsia="ja-JP"/>
        </w:rPr>
        <w:t xml:space="preserve">créés ou </w:t>
      </w:r>
      <w:r>
        <w:rPr>
          <w:rFonts w:eastAsiaTheme="majorEastAsia"/>
          <w:lang w:eastAsia="ja-JP"/>
        </w:rPr>
        <w:t>concernés et leurs stratégies pour réduire les tarifs de l'itinérance mobile internationale</w:t>
      </w:r>
      <w:r w:rsidRPr="0075210C">
        <w:rPr>
          <w:rFonts w:eastAsiaTheme="majorEastAsia"/>
          <w:lang w:eastAsia="ja-JP"/>
        </w:rPr>
        <w:t>.</w:t>
      </w:r>
    </w:p>
    <w:p w:rsidR="004047F4" w:rsidRPr="0075210C" w:rsidRDefault="004047F4" w:rsidP="004467DF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5.4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La Recommandation UIT-T D.97 a</w:t>
      </w:r>
      <w:r w:rsidR="004467DF">
        <w:rPr>
          <w:rFonts w:eastAsiaTheme="majorEastAsia"/>
          <w:lang w:eastAsia="ja-JP"/>
        </w:rPr>
        <w:t xml:space="preserve">-t-elle </w:t>
      </w:r>
      <w:r>
        <w:rPr>
          <w:rFonts w:eastAsiaTheme="majorEastAsia"/>
          <w:lang w:eastAsia="ja-JP"/>
        </w:rPr>
        <w:t>été utile pour mettre en place les mesures susmentionnées</w:t>
      </w:r>
      <w:r w:rsidR="004467DF">
        <w:rPr>
          <w:rFonts w:eastAsiaTheme="majorEastAsia"/>
          <w:lang w:eastAsia="ja-JP"/>
        </w:rPr>
        <w:t>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donner une seule réponse</w:t>
      </w:r>
      <w:r w:rsidRPr="0075210C">
        <w:rPr>
          <w:rFonts w:eastAsiaTheme="majorEastAsia"/>
          <w:lang w:eastAsia="ja-JP"/>
        </w:rPr>
        <w:t>: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(1) </w:t>
      </w:r>
      <w:r>
        <w:rPr>
          <w:rFonts w:eastAsiaTheme="majorEastAsia"/>
          <w:szCs w:val="24"/>
          <w:lang w:eastAsia="ko-KR"/>
        </w:rPr>
        <w:t>Pas du tout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(2) </w:t>
      </w:r>
      <w:r>
        <w:rPr>
          <w:rFonts w:eastAsiaTheme="majorEastAsia"/>
          <w:szCs w:val="24"/>
          <w:lang w:eastAsia="ko-KR"/>
        </w:rPr>
        <w:t>Pas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(3) </w:t>
      </w:r>
      <w:r>
        <w:rPr>
          <w:rFonts w:eastAsiaTheme="majorEastAsia"/>
          <w:szCs w:val="24"/>
          <w:lang w:eastAsia="ko-KR"/>
        </w:rPr>
        <w:t>Sans opinion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(4) </w:t>
      </w:r>
      <w:r>
        <w:rPr>
          <w:rFonts w:eastAsiaTheme="majorEastAsia"/>
          <w:szCs w:val="24"/>
          <w:lang w:eastAsia="ko-KR"/>
        </w:rPr>
        <w:t>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(5) </w:t>
      </w:r>
      <w:r>
        <w:rPr>
          <w:rFonts w:eastAsiaTheme="majorEastAsia"/>
          <w:szCs w:val="24"/>
          <w:lang w:eastAsia="ko-KR"/>
        </w:rPr>
        <w:t>Tout à fait d'accord</w:t>
      </w:r>
    </w:p>
    <w:p w:rsidR="004047F4" w:rsidRPr="0075210C" w:rsidRDefault="004047F4" w:rsidP="00B86452">
      <w:pPr>
        <w:pStyle w:val="Heading1"/>
        <w:rPr>
          <w:rFonts w:eastAsiaTheme="majorEastAsia"/>
          <w:lang w:eastAsia="ko-KR"/>
        </w:rPr>
      </w:pPr>
      <w:r w:rsidRPr="0075210C">
        <w:rPr>
          <w:rFonts w:eastAsiaTheme="majorEastAsia"/>
          <w:lang w:eastAsia="ko-KR"/>
        </w:rPr>
        <w:t>6</w:t>
      </w:r>
      <w:r w:rsidRPr="0075210C">
        <w:rPr>
          <w:rFonts w:eastAsiaTheme="majorEastAsia"/>
          <w:lang w:eastAsia="ko-KR"/>
        </w:rPr>
        <w:tab/>
      </w:r>
      <w:r w:rsidRPr="003E2E05">
        <w:rPr>
          <w:rFonts w:eastAsiaTheme="majorEastAsia"/>
          <w:lang w:eastAsia="ko-KR"/>
        </w:rPr>
        <w:t>Principes méthodologiques de détermination des tarifs de l'itinérance mobile internationale</w:t>
      </w:r>
    </w:p>
    <w:p w:rsidR="004047F4" w:rsidRPr="0075210C" w:rsidRDefault="004047F4" w:rsidP="00B86452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t>6.1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Quels sont les principes utilisés pour fixer les tarifs de détail ou de gros de l'itinérance mobile internationale?</w:t>
      </w:r>
      <w:r w:rsidRPr="0075210C">
        <w:rPr>
          <w:rFonts w:eastAsiaTheme="majorEastAsia"/>
          <w:lang w:eastAsia="ja-JP"/>
        </w:rPr>
        <w:t xml:space="preserve"> 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donner une seule réponse</w:t>
      </w:r>
      <w:r w:rsidRPr="0075210C">
        <w:rPr>
          <w:rFonts w:eastAsiaTheme="majorEastAsia"/>
          <w:lang w:eastAsia="ja-JP"/>
        </w:rPr>
        <w:t>: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A8"/>
      </w:r>
      <w:r w:rsidRPr="0075210C">
        <w:rPr>
          <w:rFonts w:eastAsiaTheme="majorEastAsia"/>
          <w:szCs w:val="24"/>
          <w:lang w:eastAsia="ko-KR"/>
        </w:rPr>
        <w:tab/>
      </w:r>
      <w:r w:rsidRPr="00F44387">
        <w:rPr>
          <w:rFonts w:eastAsiaTheme="majorEastAsia"/>
          <w:szCs w:val="24"/>
          <w:lang w:eastAsia="ja-JP"/>
        </w:rPr>
        <w:t>Analyse comparative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A8"/>
      </w:r>
      <w:r w:rsidRPr="0075210C">
        <w:rPr>
          <w:rFonts w:eastAsiaTheme="majorEastAsia"/>
          <w:szCs w:val="24"/>
          <w:lang w:eastAsia="ko-KR"/>
        </w:rPr>
        <w:tab/>
      </w:r>
      <w:r w:rsidRPr="00F44387">
        <w:rPr>
          <w:rFonts w:eastAsiaTheme="majorEastAsia"/>
          <w:szCs w:val="24"/>
          <w:lang w:eastAsia="ko-KR"/>
        </w:rPr>
        <w:t>Minoration au détail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A8"/>
      </w:r>
      <w:r w:rsidRPr="0075210C">
        <w:rPr>
          <w:rFonts w:eastAsiaTheme="majorEastAsia"/>
          <w:szCs w:val="24"/>
          <w:lang w:eastAsia="ko-KR"/>
        </w:rPr>
        <w:tab/>
      </w:r>
      <w:r w:rsidRPr="00F44387">
        <w:rPr>
          <w:rFonts w:eastAsiaTheme="majorEastAsia"/>
          <w:szCs w:val="24"/>
          <w:lang w:eastAsia="ko-KR"/>
        </w:rPr>
        <w:t>Approche orientée vers les coûts</w:t>
      </w:r>
    </w:p>
    <w:p w:rsidR="004047F4" w:rsidRPr="0075210C" w:rsidRDefault="004047F4" w:rsidP="00B458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680"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A8"/>
      </w:r>
      <w:r w:rsidRPr="0075210C">
        <w:rPr>
          <w:rFonts w:eastAsiaTheme="majorEastAsia"/>
          <w:szCs w:val="24"/>
          <w:lang w:eastAsia="ko-KR"/>
        </w:rPr>
        <w:tab/>
      </w:r>
      <w:r>
        <w:rPr>
          <w:rFonts w:eastAsiaTheme="majorEastAsia"/>
          <w:szCs w:val="24"/>
          <w:lang w:eastAsia="ko-KR"/>
        </w:rPr>
        <w:t>Autre</w:t>
      </w:r>
      <w:r w:rsidRPr="0075210C">
        <w:rPr>
          <w:rFonts w:eastAsiaTheme="majorEastAsia"/>
          <w:szCs w:val="24"/>
          <w:lang w:eastAsia="ko-KR"/>
        </w:rPr>
        <w:br/>
      </w:r>
      <w:r>
        <w:rPr>
          <w:rFonts w:eastAsiaTheme="majorEastAsia"/>
          <w:szCs w:val="24"/>
          <w:lang w:eastAsia="ko-KR"/>
        </w:rPr>
        <w:t>Veuillez préciser</w:t>
      </w:r>
      <w:r w:rsidRPr="0075210C">
        <w:rPr>
          <w:rFonts w:eastAsiaTheme="majorEastAsia"/>
          <w:szCs w:val="24"/>
          <w:lang w:eastAsia="ko-KR"/>
        </w:rPr>
        <w:t>:</w:t>
      </w:r>
    </w:p>
    <w:p w:rsidR="004047F4" w:rsidRPr="0075210C" w:rsidRDefault="004047F4" w:rsidP="00034EC4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ja-JP"/>
        </w:rPr>
        <w:lastRenderedPageBreak/>
        <w:t>6.2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>La Recommandation UIT-T D.97 a</w:t>
      </w:r>
      <w:r w:rsidR="00034EC4">
        <w:rPr>
          <w:rFonts w:eastAsiaTheme="majorEastAsia"/>
          <w:lang w:eastAsia="ja-JP"/>
        </w:rPr>
        <w:t>-t-elle été</w:t>
      </w:r>
      <w:r>
        <w:rPr>
          <w:rFonts w:eastAsiaTheme="majorEastAsia"/>
          <w:lang w:eastAsia="ja-JP"/>
        </w:rPr>
        <w:t xml:space="preserve"> utile pour </w:t>
      </w:r>
      <w:r w:rsidR="000B0306">
        <w:rPr>
          <w:rFonts w:eastAsiaTheme="majorEastAsia"/>
          <w:lang w:eastAsia="ja-JP"/>
        </w:rPr>
        <w:t>fixer les tarifs de détail ou</w:t>
      </w:r>
      <w:r w:rsidR="00034EC4">
        <w:rPr>
          <w:rFonts w:eastAsiaTheme="majorEastAsia"/>
          <w:lang w:eastAsia="ja-JP"/>
        </w:rPr>
        <w:t xml:space="preserve"> de gros de l'itinérance mobile internationale?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donner une seule réponse</w:t>
      </w:r>
      <w:r w:rsidRPr="0075210C">
        <w:rPr>
          <w:rFonts w:eastAsiaTheme="majorEastAsia"/>
          <w:lang w:eastAsia="ja-JP"/>
        </w:rPr>
        <w:t>: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(1) </w:t>
      </w:r>
      <w:r>
        <w:rPr>
          <w:rFonts w:eastAsiaTheme="majorEastAsia"/>
          <w:szCs w:val="24"/>
          <w:lang w:eastAsia="ko-KR"/>
        </w:rPr>
        <w:t>Pas du tout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(2) </w:t>
      </w:r>
      <w:r>
        <w:rPr>
          <w:rFonts w:eastAsiaTheme="majorEastAsia"/>
          <w:szCs w:val="24"/>
          <w:lang w:eastAsia="ko-KR"/>
        </w:rPr>
        <w:t>Pas 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(3) </w:t>
      </w:r>
      <w:r>
        <w:rPr>
          <w:rFonts w:eastAsiaTheme="majorEastAsia"/>
          <w:szCs w:val="24"/>
          <w:lang w:eastAsia="ko-KR"/>
        </w:rPr>
        <w:t>Sans opinion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(4) </w:t>
      </w:r>
      <w:r>
        <w:rPr>
          <w:rFonts w:eastAsiaTheme="majorEastAsia"/>
          <w:szCs w:val="24"/>
          <w:lang w:eastAsia="ko-KR"/>
        </w:rPr>
        <w:t>D'accord</w:t>
      </w:r>
    </w:p>
    <w:p w:rsidR="004047F4" w:rsidRPr="0075210C" w:rsidRDefault="004047F4" w:rsidP="00B86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40" w:hanging="720"/>
        <w:textAlignment w:val="auto"/>
        <w:rPr>
          <w:rFonts w:eastAsiaTheme="majorEastAsia"/>
          <w:szCs w:val="24"/>
          <w:lang w:eastAsia="ko-KR"/>
        </w:rPr>
      </w:pPr>
      <w:r w:rsidRPr="0075210C">
        <w:rPr>
          <w:rFonts w:eastAsiaTheme="majorEastAsia"/>
          <w:szCs w:val="24"/>
          <w:lang w:eastAsia="ko-KR"/>
        </w:rPr>
        <w:sym w:font="Wingdings" w:char="F06F"/>
      </w:r>
      <w:r w:rsidRPr="0075210C">
        <w:rPr>
          <w:rFonts w:eastAsiaTheme="majorEastAsia"/>
          <w:szCs w:val="24"/>
          <w:lang w:eastAsia="ko-KR"/>
        </w:rPr>
        <w:tab/>
        <w:t xml:space="preserve">(5) </w:t>
      </w:r>
      <w:r>
        <w:rPr>
          <w:rFonts w:eastAsiaTheme="majorEastAsia"/>
          <w:szCs w:val="24"/>
          <w:lang w:eastAsia="ko-KR"/>
        </w:rPr>
        <w:t>Tout à fait d'accord</w:t>
      </w:r>
    </w:p>
    <w:p w:rsidR="004047F4" w:rsidRPr="0075210C" w:rsidRDefault="004047F4" w:rsidP="00B86452">
      <w:pPr>
        <w:pStyle w:val="Heading1"/>
        <w:rPr>
          <w:rFonts w:eastAsiaTheme="majorEastAsia"/>
          <w:lang w:eastAsia="ja-JP"/>
        </w:rPr>
      </w:pPr>
      <w:r w:rsidRPr="0075210C">
        <w:rPr>
          <w:rFonts w:eastAsiaTheme="majorEastAsia"/>
          <w:lang w:eastAsia="ko-KR"/>
        </w:rPr>
        <w:t>7</w:t>
      </w:r>
      <w:r w:rsidRPr="0075210C">
        <w:rPr>
          <w:rFonts w:eastAsiaTheme="majorEastAsia"/>
          <w:lang w:eastAsia="ja-JP"/>
        </w:rPr>
        <w:tab/>
        <w:t xml:space="preserve">Suggestions </w:t>
      </w:r>
      <w:r>
        <w:rPr>
          <w:rFonts w:eastAsiaTheme="majorEastAsia"/>
          <w:lang w:eastAsia="ja-JP"/>
        </w:rPr>
        <w:t xml:space="preserve">concernant la bonne mise en </w:t>
      </w:r>
      <w:r w:rsidR="003C29AF">
        <w:rPr>
          <w:rFonts w:eastAsiaTheme="majorEastAsia"/>
          <w:lang w:eastAsia="ja-JP"/>
        </w:rPr>
        <w:t>œuvre</w:t>
      </w:r>
      <w:r>
        <w:rPr>
          <w:rFonts w:eastAsiaTheme="majorEastAsia"/>
          <w:lang w:eastAsia="ja-JP"/>
        </w:rPr>
        <w:t xml:space="preserve"> des Recommandations</w:t>
      </w:r>
      <w:r w:rsidRPr="0075210C">
        <w:rPr>
          <w:rFonts w:eastAsiaTheme="majorEastAsia"/>
          <w:lang w:eastAsia="ja-JP"/>
        </w:rPr>
        <w:t xml:space="preserve"> </w:t>
      </w:r>
      <w:r>
        <w:rPr>
          <w:rFonts w:eastAsiaTheme="majorEastAsia"/>
          <w:lang w:eastAsia="ja-JP"/>
        </w:rPr>
        <w:t>UIT</w:t>
      </w:r>
      <w:r w:rsidRPr="0075210C">
        <w:rPr>
          <w:rFonts w:eastAsiaTheme="majorEastAsia"/>
          <w:lang w:eastAsia="ja-JP"/>
        </w:rPr>
        <w:t xml:space="preserve">-T D.98 </w:t>
      </w:r>
      <w:r>
        <w:rPr>
          <w:rFonts w:eastAsiaTheme="majorEastAsia"/>
          <w:lang w:eastAsia="ja-JP"/>
        </w:rPr>
        <w:t>et</w:t>
      </w:r>
      <w:r w:rsidR="00180A21">
        <w:rPr>
          <w:rFonts w:eastAsiaTheme="majorEastAsia"/>
          <w:lang w:eastAsia="ja-JP"/>
        </w:rPr>
        <w:t> </w:t>
      </w:r>
      <w:r>
        <w:rPr>
          <w:rFonts w:eastAsiaTheme="majorEastAsia"/>
          <w:lang w:eastAsia="ja-JP"/>
        </w:rPr>
        <w:t>UIT</w:t>
      </w:r>
      <w:r w:rsidRPr="0075210C">
        <w:rPr>
          <w:rFonts w:eastAsiaTheme="majorEastAsia"/>
          <w:lang w:eastAsia="ja-JP"/>
        </w:rPr>
        <w:t>-T D.97</w:t>
      </w:r>
    </w:p>
    <w:p w:rsidR="004047F4" w:rsidRPr="0075210C" w:rsidRDefault="004047F4" w:rsidP="00034EC4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ko-KR"/>
        </w:rPr>
        <w:t>7</w:t>
      </w:r>
      <w:r w:rsidRPr="0075210C">
        <w:rPr>
          <w:rFonts w:eastAsiaTheme="majorEastAsia"/>
          <w:lang w:eastAsia="ja-JP"/>
        </w:rPr>
        <w:t>.1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Comment améliorer la Recommandation UIT-T D.98 en vue de </w:t>
      </w:r>
      <w:r w:rsidR="00034EC4">
        <w:rPr>
          <w:rFonts w:eastAsiaTheme="majorEastAsia"/>
          <w:lang w:eastAsia="ja-JP"/>
        </w:rPr>
        <w:t xml:space="preserve">faire </w:t>
      </w:r>
      <w:r>
        <w:rPr>
          <w:rFonts w:eastAsiaTheme="majorEastAsia"/>
          <w:lang w:eastAsia="ja-JP"/>
        </w:rPr>
        <w:t xml:space="preserve">encore </w:t>
      </w:r>
      <w:r w:rsidR="00034EC4">
        <w:rPr>
          <w:rFonts w:eastAsiaTheme="majorEastAsia"/>
          <w:lang w:eastAsia="ja-JP"/>
        </w:rPr>
        <w:t xml:space="preserve">baisser </w:t>
      </w:r>
      <w:r>
        <w:rPr>
          <w:rFonts w:eastAsiaTheme="majorEastAsia"/>
          <w:lang w:eastAsia="ja-JP"/>
        </w:rPr>
        <w:t>les tarifs de l'itinérance mobile internationale?</w:t>
      </w:r>
      <w:r w:rsidRPr="0075210C">
        <w:rPr>
          <w:rFonts w:eastAsiaTheme="majorEastAsia"/>
          <w:lang w:eastAsia="ja-JP"/>
        </w:rPr>
        <w:t xml:space="preserve"> 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préciser</w:t>
      </w:r>
      <w:r w:rsidRPr="0075210C">
        <w:rPr>
          <w:rFonts w:eastAsiaTheme="majorEastAsia"/>
          <w:lang w:eastAsia="ja-JP"/>
        </w:rPr>
        <w:t>:</w:t>
      </w:r>
    </w:p>
    <w:p w:rsidR="007A4417" w:rsidRDefault="007A4417" w:rsidP="007A44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600" w:lineRule="auto"/>
        <w:ind w:firstLine="720"/>
        <w:textAlignment w:val="auto"/>
        <w:rPr>
          <w:rFonts w:eastAsiaTheme="majorEastAsia"/>
          <w:szCs w:val="24"/>
          <w:lang w:eastAsia="ja-JP"/>
        </w:rPr>
      </w:pPr>
      <w:r w:rsidRPr="007A4417">
        <w:rPr>
          <w:rFonts w:eastAsiaTheme="majorEastAsia"/>
          <w:szCs w:val="24"/>
          <w:lang w:eastAsia="ja-JP"/>
        </w:rPr>
        <w:t>–</w:t>
      </w:r>
      <w:r>
        <w:rPr>
          <w:rFonts w:eastAsiaTheme="majorEastAsia"/>
          <w:szCs w:val="24"/>
          <w:lang w:eastAsia="ja-JP"/>
        </w:rPr>
        <w:tab/>
      </w:r>
      <w:r w:rsidR="004047F4">
        <w:rPr>
          <w:rFonts w:eastAsiaTheme="majorEastAsia"/>
          <w:szCs w:val="24"/>
          <w:lang w:eastAsia="ja-JP"/>
        </w:rPr>
        <w:t>Pour ce qui est de l'habilitation des consommateurs</w:t>
      </w:r>
      <w:r w:rsidR="004047F4" w:rsidRPr="0075210C">
        <w:rPr>
          <w:rFonts w:eastAsiaTheme="majorEastAsia"/>
          <w:szCs w:val="24"/>
          <w:lang w:eastAsia="ja-JP"/>
        </w:rPr>
        <w:t>:</w:t>
      </w:r>
    </w:p>
    <w:p w:rsidR="007A4417" w:rsidRDefault="007A4417" w:rsidP="007A44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600" w:lineRule="auto"/>
        <w:ind w:firstLine="720"/>
        <w:textAlignment w:val="auto"/>
        <w:rPr>
          <w:rFonts w:eastAsiaTheme="majorEastAsia"/>
          <w:szCs w:val="24"/>
          <w:lang w:eastAsia="ja-JP"/>
        </w:rPr>
      </w:pPr>
      <w:r w:rsidRPr="007A4417">
        <w:rPr>
          <w:rFonts w:eastAsiaTheme="majorEastAsia"/>
          <w:szCs w:val="24"/>
          <w:lang w:eastAsia="ja-JP"/>
        </w:rPr>
        <w:t>–</w:t>
      </w:r>
      <w:r>
        <w:rPr>
          <w:rFonts w:eastAsiaTheme="majorEastAsia"/>
          <w:szCs w:val="24"/>
          <w:lang w:eastAsia="ja-JP"/>
        </w:rPr>
        <w:tab/>
      </w:r>
      <w:r w:rsidR="004047F4">
        <w:rPr>
          <w:rFonts w:eastAsiaTheme="majorEastAsia"/>
          <w:szCs w:val="24"/>
          <w:lang w:eastAsia="ja-JP"/>
        </w:rPr>
        <w:t>Pour ce qui est des solutions induites par le marché</w:t>
      </w:r>
      <w:r w:rsidR="004047F4" w:rsidRPr="0075210C">
        <w:rPr>
          <w:rFonts w:eastAsiaTheme="majorEastAsia"/>
          <w:szCs w:val="24"/>
          <w:lang w:eastAsia="ja-JP"/>
        </w:rPr>
        <w:t>:</w:t>
      </w:r>
    </w:p>
    <w:p w:rsidR="007A4417" w:rsidRDefault="007A4417" w:rsidP="007A44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600" w:lineRule="auto"/>
        <w:ind w:firstLine="720"/>
        <w:textAlignment w:val="auto"/>
        <w:rPr>
          <w:rFonts w:eastAsiaTheme="majorEastAsia"/>
          <w:szCs w:val="24"/>
          <w:lang w:eastAsia="ja-JP"/>
        </w:rPr>
      </w:pPr>
      <w:r w:rsidRPr="007A4417">
        <w:rPr>
          <w:rFonts w:eastAsiaTheme="majorEastAsia"/>
          <w:szCs w:val="24"/>
          <w:lang w:eastAsia="ja-JP"/>
        </w:rPr>
        <w:t>–</w:t>
      </w:r>
      <w:r>
        <w:rPr>
          <w:rFonts w:eastAsiaTheme="majorEastAsia"/>
          <w:szCs w:val="24"/>
          <w:lang w:eastAsia="ja-JP"/>
        </w:rPr>
        <w:tab/>
      </w:r>
      <w:r w:rsidR="004047F4">
        <w:rPr>
          <w:rFonts w:eastAsiaTheme="majorEastAsia"/>
          <w:szCs w:val="24"/>
          <w:lang w:eastAsia="ja-JP"/>
        </w:rPr>
        <w:t>Pour ce qui est des interventions réglementaires</w:t>
      </w:r>
      <w:r w:rsidR="004047F4" w:rsidRPr="0075210C">
        <w:rPr>
          <w:rFonts w:eastAsiaTheme="majorEastAsia"/>
          <w:szCs w:val="24"/>
          <w:lang w:eastAsia="ja-JP"/>
        </w:rPr>
        <w:t>:</w:t>
      </w:r>
    </w:p>
    <w:p w:rsidR="004047F4" w:rsidRPr="0075210C" w:rsidRDefault="007A4417" w:rsidP="00B458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 w:line="600" w:lineRule="auto"/>
        <w:ind w:firstLine="720"/>
        <w:textAlignment w:val="auto"/>
        <w:rPr>
          <w:rFonts w:eastAsiaTheme="majorEastAsia"/>
          <w:szCs w:val="24"/>
          <w:lang w:eastAsia="ja-JP"/>
        </w:rPr>
      </w:pPr>
      <w:r w:rsidRPr="007A4417">
        <w:rPr>
          <w:rFonts w:eastAsiaTheme="majorEastAsia"/>
          <w:szCs w:val="24"/>
          <w:lang w:eastAsia="ja-JP"/>
        </w:rPr>
        <w:t>–</w:t>
      </w:r>
      <w:r>
        <w:rPr>
          <w:rFonts w:eastAsiaTheme="majorEastAsia"/>
          <w:szCs w:val="24"/>
          <w:lang w:eastAsia="ja-JP"/>
        </w:rPr>
        <w:tab/>
      </w:r>
      <w:r w:rsidR="004047F4">
        <w:rPr>
          <w:rFonts w:eastAsiaTheme="majorEastAsia"/>
          <w:szCs w:val="24"/>
          <w:lang w:eastAsia="ja-JP"/>
        </w:rPr>
        <w:t>Autre</w:t>
      </w:r>
      <w:r w:rsidR="004047F4" w:rsidRPr="0075210C">
        <w:rPr>
          <w:rFonts w:eastAsiaTheme="majorEastAsia"/>
          <w:szCs w:val="24"/>
          <w:lang w:eastAsia="ja-JP"/>
        </w:rPr>
        <w:t>:</w:t>
      </w:r>
    </w:p>
    <w:p w:rsidR="004047F4" w:rsidRPr="0075210C" w:rsidRDefault="004047F4" w:rsidP="00034EC4">
      <w:pPr>
        <w:ind w:left="794" w:hanging="794"/>
        <w:rPr>
          <w:rFonts w:eastAsiaTheme="majorEastAsia"/>
          <w:lang w:eastAsia="ja-JP"/>
        </w:rPr>
      </w:pPr>
      <w:r w:rsidRPr="0075210C">
        <w:rPr>
          <w:rFonts w:eastAsiaTheme="majorEastAsia"/>
          <w:lang w:eastAsia="ko-KR"/>
        </w:rPr>
        <w:t>7</w:t>
      </w:r>
      <w:r w:rsidRPr="0075210C">
        <w:rPr>
          <w:rFonts w:eastAsiaTheme="majorEastAsia"/>
          <w:lang w:eastAsia="ja-JP"/>
        </w:rPr>
        <w:t>.2</w:t>
      </w:r>
      <w:r w:rsidRPr="0075210C">
        <w:rPr>
          <w:rFonts w:eastAsiaTheme="majorEastAsia"/>
          <w:lang w:eastAsia="ja-JP"/>
        </w:rPr>
        <w:tab/>
      </w:r>
      <w:r>
        <w:rPr>
          <w:rFonts w:eastAsiaTheme="majorEastAsia"/>
          <w:lang w:eastAsia="ja-JP"/>
        </w:rPr>
        <w:t xml:space="preserve">Comment améliorer la Recommandation UIT-T D.97 </w:t>
      </w:r>
      <w:r w:rsidR="00034EC4">
        <w:rPr>
          <w:rFonts w:eastAsiaTheme="majorEastAsia"/>
          <w:lang w:eastAsia="ja-JP"/>
        </w:rPr>
        <w:t>afin d'</w:t>
      </w:r>
      <w:r>
        <w:rPr>
          <w:rFonts w:eastAsiaTheme="majorEastAsia"/>
          <w:lang w:eastAsia="ja-JP"/>
        </w:rPr>
        <w:t xml:space="preserve">en faire un outil plus efficace </w:t>
      </w:r>
      <w:r w:rsidR="00034EC4">
        <w:rPr>
          <w:rFonts w:eastAsiaTheme="majorEastAsia"/>
          <w:lang w:eastAsia="ja-JP"/>
        </w:rPr>
        <w:t>pour faire baisser</w:t>
      </w:r>
      <w:r>
        <w:rPr>
          <w:rFonts w:eastAsiaTheme="majorEastAsia"/>
          <w:lang w:eastAsia="ja-JP"/>
        </w:rPr>
        <w:t xml:space="preserve"> les tarifs de l'itinérance mobile internationale?</w:t>
      </w:r>
      <w:r w:rsidRPr="0075210C">
        <w:rPr>
          <w:rFonts w:eastAsiaTheme="majorEastAsia"/>
          <w:lang w:eastAsia="ja-JP"/>
        </w:rPr>
        <w:t xml:space="preserve"> </w:t>
      </w:r>
      <w:r w:rsidRPr="0075210C">
        <w:rPr>
          <w:rFonts w:eastAsiaTheme="majorEastAsia"/>
          <w:lang w:eastAsia="ja-JP"/>
        </w:rPr>
        <w:br/>
      </w:r>
      <w:r>
        <w:rPr>
          <w:rFonts w:eastAsiaTheme="majorEastAsia"/>
          <w:lang w:eastAsia="ja-JP"/>
        </w:rPr>
        <w:t>Veuillez préciser</w:t>
      </w:r>
      <w:r w:rsidRPr="0075210C">
        <w:rPr>
          <w:rFonts w:eastAsiaTheme="majorEastAsia"/>
          <w:lang w:eastAsia="ja-JP"/>
        </w:rPr>
        <w:t>:</w:t>
      </w:r>
    </w:p>
    <w:p w:rsidR="007A4417" w:rsidRDefault="007A4417" w:rsidP="007A4417">
      <w:pPr>
        <w:spacing w:line="600" w:lineRule="auto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ab/>
      </w:r>
      <w:r w:rsidRPr="007A4417">
        <w:rPr>
          <w:rFonts w:eastAsiaTheme="majorEastAsia"/>
          <w:lang w:eastAsia="ja-JP"/>
        </w:rPr>
        <w:t>–</w:t>
      </w:r>
      <w:r>
        <w:rPr>
          <w:rFonts w:eastAsiaTheme="majorEastAsia"/>
          <w:lang w:eastAsia="ja-JP"/>
        </w:rPr>
        <w:tab/>
      </w:r>
      <w:r w:rsidR="004047F4">
        <w:rPr>
          <w:rFonts w:eastAsiaTheme="majorEastAsia"/>
          <w:lang w:eastAsia="ja-JP"/>
        </w:rPr>
        <w:t>Pour ce qui est des mesures réglementaires appropriées</w:t>
      </w:r>
      <w:r w:rsidR="004047F4" w:rsidRPr="0075210C">
        <w:rPr>
          <w:rFonts w:eastAsiaTheme="majorEastAsia"/>
          <w:lang w:eastAsia="ja-JP"/>
        </w:rPr>
        <w:t>:</w:t>
      </w:r>
    </w:p>
    <w:p w:rsidR="007A4417" w:rsidRDefault="007A4417" w:rsidP="007A4417">
      <w:pPr>
        <w:spacing w:line="600" w:lineRule="auto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ab/>
      </w:r>
      <w:r w:rsidRPr="007A4417">
        <w:rPr>
          <w:rFonts w:eastAsiaTheme="majorEastAsia"/>
          <w:lang w:eastAsia="ja-JP"/>
        </w:rPr>
        <w:t>–</w:t>
      </w:r>
      <w:r>
        <w:rPr>
          <w:rFonts w:eastAsiaTheme="majorEastAsia"/>
          <w:lang w:eastAsia="ja-JP"/>
        </w:rPr>
        <w:tab/>
      </w:r>
      <w:r w:rsidR="004047F4">
        <w:rPr>
          <w:rFonts w:eastAsiaTheme="majorEastAsia"/>
          <w:szCs w:val="24"/>
          <w:lang w:eastAsia="ja-JP"/>
        </w:rPr>
        <w:t>Pour ce qui est des principes méthodologiques</w:t>
      </w:r>
      <w:r w:rsidR="004047F4" w:rsidRPr="0075210C">
        <w:rPr>
          <w:rFonts w:eastAsiaTheme="majorEastAsia"/>
          <w:szCs w:val="24"/>
          <w:lang w:eastAsia="ja-JP"/>
        </w:rPr>
        <w:t>:</w:t>
      </w:r>
    </w:p>
    <w:p w:rsidR="004047F4" w:rsidRPr="007A4417" w:rsidRDefault="007A4417" w:rsidP="00B458D9">
      <w:pPr>
        <w:spacing w:after="120" w:line="600" w:lineRule="auto"/>
        <w:rPr>
          <w:rFonts w:eastAsiaTheme="majorEastAsia"/>
          <w:lang w:eastAsia="ja-JP"/>
        </w:rPr>
      </w:pPr>
      <w:r>
        <w:rPr>
          <w:rFonts w:eastAsiaTheme="majorEastAsia"/>
          <w:lang w:eastAsia="ja-JP"/>
        </w:rPr>
        <w:tab/>
      </w:r>
      <w:r w:rsidRPr="007A4417">
        <w:rPr>
          <w:rFonts w:eastAsiaTheme="majorEastAsia"/>
          <w:lang w:eastAsia="ja-JP"/>
        </w:rPr>
        <w:t>–</w:t>
      </w:r>
      <w:r>
        <w:rPr>
          <w:rFonts w:eastAsiaTheme="majorEastAsia"/>
          <w:lang w:eastAsia="ja-JP"/>
        </w:rPr>
        <w:tab/>
      </w:r>
      <w:r w:rsidR="004047F4">
        <w:rPr>
          <w:rFonts w:eastAsiaTheme="majorEastAsia"/>
          <w:szCs w:val="24"/>
          <w:lang w:eastAsia="ja-JP"/>
        </w:rPr>
        <w:t>Autre</w:t>
      </w:r>
      <w:r w:rsidR="004047F4" w:rsidRPr="0075210C">
        <w:rPr>
          <w:rFonts w:eastAsiaTheme="majorEastAsia"/>
          <w:szCs w:val="24"/>
          <w:lang w:eastAsia="ja-JP"/>
        </w:rPr>
        <w:t>:</w:t>
      </w:r>
    </w:p>
    <w:tbl>
      <w:tblPr>
        <w:tblW w:w="96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7597"/>
      </w:tblGrid>
      <w:tr w:rsidR="004047F4" w:rsidRPr="001C24C2" w:rsidTr="00B458D9">
        <w:trPr>
          <w:cantSplit/>
        </w:trPr>
        <w:tc>
          <w:tcPr>
            <w:tcW w:w="2026" w:type="dxa"/>
          </w:tcPr>
          <w:p w:rsidR="004047F4" w:rsidRPr="0075210C" w:rsidRDefault="004047F4" w:rsidP="00B458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eastAsiaTheme="majorEastAsia"/>
                <w:szCs w:val="24"/>
                <w:lang w:eastAsia="ja-JP"/>
              </w:rPr>
            </w:pPr>
            <w:r w:rsidRPr="0075210C">
              <w:rPr>
                <w:rFonts w:eastAsiaTheme="majorEastAsia"/>
                <w:szCs w:val="24"/>
                <w:lang w:eastAsia="ja-JP"/>
              </w:rPr>
              <w:t>Contact</w:t>
            </w:r>
          </w:p>
          <w:p w:rsidR="004047F4" w:rsidRPr="0075210C" w:rsidRDefault="004047F4" w:rsidP="007A4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Theme="majorEastAsia"/>
                <w:szCs w:val="24"/>
                <w:lang w:eastAsia="ja-JP"/>
              </w:rPr>
            </w:pPr>
            <w:r>
              <w:rPr>
                <w:rFonts w:eastAsiaTheme="majorEastAsia"/>
                <w:szCs w:val="24"/>
                <w:lang w:eastAsia="ja-JP"/>
              </w:rPr>
              <w:t>Entité représentée</w:t>
            </w:r>
          </w:p>
          <w:p w:rsidR="004047F4" w:rsidRPr="0075210C" w:rsidRDefault="004047F4" w:rsidP="007A4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Theme="majorEastAsia"/>
                <w:szCs w:val="24"/>
                <w:lang w:eastAsia="ja-JP"/>
              </w:rPr>
            </w:pPr>
            <w:r w:rsidRPr="0075210C">
              <w:rPr>
                <w:rFonts w:eastAsiaTheme="majorEastAsia"/>
                <w:szCs w:val="24"/>
                <w:lang w:eastAsia="ja-JP"/>
              </w:rPr>
              <w:t>T</w:t>
            </w:r>
            <w:r>
              <w:rPr>
                <w:rFonts w:eastAsiaTheme="majorEastAsia"/>
                <w:szCs w:val="24"/>
                <w:lang w:eastAsia="ja-JP"/>
              </w:rPr>
              <w:t>é</w:t>
            </w:r>
            <w:r w:rsidRPr="0075210C">
              <w:rPr>
                <w:rFonts w:eastAsiaTheme="majorEastAsia"/>
                <w:szCs w:val="24"/>
                <w:lang w:eastAsia="ja-JP"/>
              </w:rPr>
              <w:t>l</w:t>
            </w:r>
          </w:p>
          <w:p w:rsidR="004047F4" w:rsidRPr="0075210C" w:rsidRDefault="004047F4" w:rsidP="007A4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Theme="majorEastAsia"/>
                <w:szCs w:val="24"/>
                <w:lang w:eastAsia="ja-JP"/>
              </w:rPr>
            </w:pPr>
            <w:r w:rsidRPr="0075210C">
              <w:rPr>
                <w:rFonts w:eastAsiaTheme="majorEastAsia"/>
                <w:szCs w:val="24"/>
                <w:lang w:eastAsia="ja-JP"/>
              </w:rPr>
              <w:t>Fax</w:t>
            </w:r>
          </w:p>
          <w:p w:rsidR="004047F4" w:rsidRPr="0075210C" w:rsidRDefault="004047F4" w:rsidP="007A4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Theme="majorEastAsia"/>
                <w:szCs w:val="24"/>
                <w:lang w:eastAsia="ja-JP"/>
              </w:rPr>
            </w:pPr>
            <w:r w:rsidRPr="0075210C">
              <w:rPr>
                <w:rFonts w:eastAsiaTheme="majorEastAsia"/>
                <w:szCs w:val="24"/>
                <w:lang w:eastAsia="ja-JP"/>
              </w:rPr>
              <w:t>E-mail</w:t>
            </w:r>
          </w:p>
        </w:tc>
        <w:tc>
          <w:tcPr>
            <w:tcW w:w="7597" w:type="dxa"/>
          </w:tcPr>
          <w:p w:rsidR="004047F4" w:rsidRPr="0075210C" w:rsidRDefault="004047F4" w:rsidP="007A4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Theme="majorEastAsia"/>
                <w:szCs w:val="24"/>
                <w:lang w:eastAsia="ja-JP"/>
              </w:rPr>
            </w:pPr>
          </w:p>
        </w:tc>
      </w:tr>
    </w:tbl>
    <w:p w:rsidR="00702E37" w:rsidRPr="004047F4" w:rsidRDefault="004047F4" w:rsidP="00B458D9">
      <w:pPr>
        <w:spacing w:before="0"/>
        <w:jc w:val="center"/>
      </w:pPr>
      <w:r>
        <w:t>______________</w:t>
      </w:r>
    </w:p>
    <w:sectPr w:rsidR="00702E37" w:rsidRPr="004047F4" w:rsidSect="00A15179">
      <w:headerReference w:type="default" r:id="rId10"/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89" w:rsidRDefault="00467189">
      <w:r>
        <w:separator/>
      </w:r>
    </w:p>
  </w:endnote>
  <w:endnote w:type="continuationSeparator" w:id="0">
    <w:p w:rsidR="00467189" w:rsidRDefault="0046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89" w:rsidRDefault="00467189">
      <w:r>
        <w:t>____________________</w:t>
      </w:r>
    </w:p>
  </w:footnote>
  <w:footnote w:type="continuationSeparator" w:id="0">
    <w:p w:rsidR="00467189" w:rsidRDefault="00467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076EB5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6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A25273">
      <w:rPr>
        <w:noProof/>
        <w:sz w:val="18"/>
        <w:szCs w:val="16"/>
      </w:rPr>
      <w:br/>
      <w:t>Circulaire TSB 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9"/>
    <w:rsid w:val="000039EE"/>
    <w:rsid w:val="00005622"/>
    <w:rsid w:val="0002519E"/>
    <w:rsid w:val="00034EC4"/>
    <w:rsid w:val="00035B43"/>
    <w:rsid w:val="00036F4F"/>
    <w:rsid w:val="000758B3"/>
    <w:rsid w:val="00076EB5"/>
    <w:rsid w:val="00085F5A"/>
    <w:rsid w:val="000B0306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0A21"/>
    <w:rsid w:val="00197942"/>
    <w:rsid w:val="001B79A3"/>
    <w:rsid w:val="002152A3"/>
    <w:rsid w:val="00263D65"/>
    <w:rsid w:val="002E395D"/>
    <w:rsid w:val="003131F0"/>
    <w:rsid w:val="00333A80"/>
    <w:rsid w:val="00341117"/>
    <w:rsid w:val="00364E95"/>
    <w:rsid w:val="00372875"/>
    <w:rsid w:val="003B1E80"/>
    <w:rsid w:val="003B66E8"/>
    <w:rsid w:val="003C29AF"/>
    <w:rsid w:val="004033F1"/>
    <w:rsid w:val="004047F4"/>
    <w:rsid w:val="00414B0C"/>
    <w:rsid w:val="00423C21"/>
    <w:rsid w:val="004257AC"/>
    <w:rsid w:val="0043711B"/>
    <w:rsid w:val="004467DF"/>
    <w:rsid w:val="00467189"/>
    <w:rsid w:val="004977C9"/>
    <w:rsid w:val="004B732E"/>
    <w:rsid w:val="004D51F4"/>
    <w:rsid w:val="004D64E0"/>
    <w:rsid w:val="00506DA6"/>
    <w:rsid w:val="005120A2"/>
    <w:rsid w:val="0051210D"/>
    <w:rsid w:val="005136D2"/>
    <w:rsid w:val="00517A03"/>
    <w:rsid w:val="00520873"/>
    <w:rsid w:val="005A3DD9"/>
    <w:rsid w:val="005B1DFC"/>
    <w:rsid w:val="00601682"/>
    <w:rsid w:val="00603470"/>
    <w:rsid w:val="00625E79"/>
    <w:rsid w:val="006333F7"/>
    <w:rsid w:val="006427A1"/>
    <w:rsid w:val="00644741"/>
    <w:rsid w:val="006914CE"/>
    <w:rsid w:val="00697BC1"/>
    <w:rsid w:val="006A6FFE"/>
    <w:rsid w:val="006C5A91"/>
    <w:rsid w:val="006D574A"/>
    <w:rsid w:val="00702E37"/>
    <w:rsid w:val="00716BBC"/>
    <w:rsid w:val="007321BC"/>
    <w:rsid w:val="00760063"/>
    <w:rsid w:val="00775E4B"/>
    <w:rsid w:val="0079553B"/>
    <w:rsid w:val="00795679"/>
    <w:rsid w:val="007A40FE"/>
    <w:rsid w:val="007A4417"/>
    <w:rsid w:val="007B409C"/>
    <w:rsid w:val="00810105"/>
    <w:rsid w:val="008157E0"/>
    <w:rsid w:val="00834DEE"/>
    <w:rsid w:val="00850477"/>
    <w:rsid w:val="00854E1D"/>
    <w:rsid w:val="00881E47"/>
    <w:rsid w:val="00887FA6"/>
    <w:rsid w:val="00895D99"/>
    <w:rsid w:val="008C4397"/>
    <w:rsid w:val="008C465A"/>
    <w:rsid w:val="008E6551"/>
    <w:rsid w:val="008F2C9B"/>
    <w:rsid w:val="00923CD6"/>
    <w:rsid w:val="00935AA8"/>
    <w:rsid w:val="00966DF6"/>
    <w:rsid w:val="00971C9A"/>
    <w:rsid w:val="009D51FA"/>
    <w:rsid w:val="009F1E23"/>
    <w:rsid w:val="00A15179"/>
    <w:rsid w:val="00A25273"/>
    <w:rsid w:val="00A31658"/>
    <w:rsid w:val="00A51537"/>
    <w:rsid w:val="00A5280F"/>
    <w:rsid w:val="00A5645A"/>
    <w:rsid w:val="00A60FC1"/>
    <w:rsid w:val="00A97C37"/>
    <w:rsid w:val="00AA131B"/>
    <w:rsid w:val="00AB1153"/>
    <w:rsid w:val="00AC37B5"/>
    <w:rsid w:val="00AD752F"/>
    <w:rsid w:val="00AF08A4"/>
    <w:rsid w:val="00B27B41"/>
    <w:rsid w:val="00B42659"/>
    <w:rsid w:val="00B458D9"/>
    <w:rsid w:val="00B8573E"/>
    <w:rsid w:val="00B86452"/>
    <w:rsid w:val="00BB24C0"/>
    <w:rsid w:val="00BD6ECF"/>
    <w:rsid w:val="00BF29C9"/>
    <w:rsid w:val="00C26F2E"/>
    <w:rsid w:val="00C302E3"/>
    <w:rsid w:val="00C45376"/>
    <w:rsid w:val="00C9028F"/>
    <w:rsid w:val="00CA0416"/>
    <w:rsid w:val="00CB1125"/>
    <w:rsid w:val="00CD042E"/>
    <w:rsid w:val="00CD46C3"/>
    <w:rsid w:val="00CF2560"/>
    <w:rsid w:val="00CF5B46"/>
    <w:rsid w:val="00D46B68"/>
    <w:rsid w:val="00D542A5"/>
    <w:rsid w:val="00DA1EF0"/>
    <w:rsid w:val="00DC3D47"/>
    <w:rsid w:val="00DD77DA"/>
    <w:rsid w:val="00DF199D"/>
    <w:rsid w:val="00E06C61"/>
    <w:rsid w:val="00E13DB3"/>
    <w:rsid w:val="00E2408B"/>
    <w:rsid w:val="00E62CEA"/>
    <w:rsid w:val="00E72AE1"/>
    <w:rsid w:val="00E8594F"/>
    <w:rsid w:val="00EB4E2C"/>
    <w:rsid w:val="00ED6A7A"/>
    <w:rsid w:val="00EE4C36"/>
    <w:rsid w:val="00F346CE"/>
    <w:rsid w:val="00F34F98"/>
    <w:rsid w:val="00F40540"/>
    <w:rsid w:val="00F67402"/>
    <w:rsid w:val="00F766A2"/>
    <w:rsid w:val="00F9451D"/>
    <w:rsid w:val="00FF1DCC"/>
    <w:rsid w:val="00FF4386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819656E-1436-486D-9E80-22AC2061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title0">
    <w:name w:val="Annex_title"/>
    <w:basedOn w:val="Normal"/>
    <w:next w:val="Normal"/>
    <w:rsid w:val="004047F4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047F4"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0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047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A21A-B014-459D-911A-E191C985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109</TotalTime>
  <Pages>6</Pages>
  <Words>1182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8033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Lamy, Sylvie</dc:creator>
  <cp:lastModifiedBy>Millet, Lia</cp:lastModifiedBy>
  <cp:revision>32</cp:revision>
  <cp:lastPrinted>2019-05-20T16:10:00Z</cp:lastPrinted>
  <dcterms:created xsi:type="dcterms:W3CDTF">2019-05-14T09:35:00Z</dcterms:created>
  <dcterms:modified xsi:type="dcterms:W3CDTF">2019-05-20T16:10:00Z</dcterms:modified>
</cp:coreProperties>
</file>