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CellMar>
          <w:left w:w="0" w:type="dxa"/>
          <w:right w:w="0" w:type="dxa"/>
        </w:tblCellMar>
        <w:tblLook w:val="0000" w:firstRow="0" w:lastRow="0" w:firstColumn="0" w:lastColumn="0" w:noHBand="0" w:noVBand="0"/>
      </w:tblPr>
      <w:tblGrid>
        <w:gridCol w:w="1418"/>
        <w:gridCol w:w="6379"/>
        <w:gridCol w:w="1984"/>
      </w:tblGrid>
      <w:tr w:rsidR="00341117" w:rsidRPr="00BE0EA1" w:rsidTr="004E3AE8">
        <w:trPr>
          <w:cantSplit/>
          <w:jc w:val="center"/>
        </w:trPr>
        <w:tc>
          <w:tcPr>
            <w:tcW w:w="1418" w:type="dxa"/>
            <w:vAlign w:val="center"/>
          </w:tcPr>
          <w:p w:rsidR="00341117" w:rsidRPr="00BE0EA1" w:rsidRDefault="000C25CC" w:rsidP="00200A78">
            <w:pPr>
              <w:tabs>
                <w:tab w:val="right" w:pos="8732"/>
              </w:tabs>
              <w:spacing w:before="0"/>
              <w:rPr>
                <w:b/>
                <w:bCs/>
                <w:iCs/>
                <w:color w:val="FFFFFF"/>
                <w:sz w:val="30"/>
                <w:szCs w:val="30"/>
                <w:lang w:val="fr-CH"/>
              </w:rPr>
            </w:pPr>
            <w:r w:rsidRPr="00BE0EA1">
              <w:rPr>
                <w:noProof/>
                <w:lang w:val="en-GB"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341117" w:rsidRPr="00BE0EA1" w:rsidRDefault="00341117" w:rsidP="00200A78">
            <w:pPr>
              <w:spacing w:before="0"/>
              <w:rPr>
                <w:rFonts w:cs="Times New Roman Bold"/>
                <w:b/>
                <w:bCs/>
                <w:iCs/>
                <w:smallCaps/>
                <w:sz w:val="34"/>
                <w:szCs w:val="34"/>
                <w:lang w:val="fr-CH"/>
              </w:rPr>
            </w:pPr>
            <w:r w:rsidRPr="00BE0EA1">
              <w:rPr>
                <w:rFonts w:cs="Times New Roman Bold"/>
                <w:b/>
                <w:bCs/>
                <w:iCs/>
                <w:smallCaps/>
                <w:sz w:val="34"/>
                <w:szCs w:val="34"/>
                <w:lang w:val="fr-CH"/>
              </w:rPr>
              <w:t>Union internationale des télécommunications</w:t>
            </w:r>
          </w:p>
          <w:p w:rsidR="00341117" w:rsidRPr="00BE0EA1" w:rsidRDefault="00341117" w:rsidP="00200A78">
            <w:pPr>
              <w:tabs>
                <w:tab w:val="right" w:pos="8732"/>
              </w:tabs>
              <w:spacing w:before="0"/>
              <w:rPr>
                <w:b/>
                <w:bCs/>
                <w:iCs/>
                <w:color w:val="FFFFFF"/>
                <w:sz w:val="30"/>
                <w:szCs w:val="30"/>
                <w:lang w:val="fr-CH"/>
              </w:rPr>
            </w:pPr>
            <w:r w:rsidRPr="00BE0EA1">
              <w:rPr>
                <w:rFonts w:cs="Times New Roman Bold"/>
                <w:b/>
                <w:bCs/>
                <w:iCs/>
                <w:smallCaps/>
                <w:sz w:val="28"/>
                <w:szCs w:val="28"/>
                <w:lang w:val="fr-CH"/>
              </w:rPr>
              <w:t>B</w:t>
            </w:r>
            <w:r w:rsidRPr="00BE0EA1">
              <w:rPr>
                <w:b/>
                <w:bCs/>
                <w:iCs/>
                <w:smallCaps/>
                <w:sz w:val="28"/>
                <w:szCs w:val="28"/>
                <w:lang w:val="fr-CH"/>
              </w:rPr>
              <w:t>ureau de la Normalisation des Télécommunications</w:t>
            </w:r>
          </w:p>
        </w:tc>
        <w:tc>
          <w:tcPr>
            <w:tcW w:w="1984" w:type="dxa"/>
            <w:vAlign w:val="center"/>
          </w:tcPr>
          <w:p w:rsidR="00341117" w:rsidRPr="00BE0EA1" w:rsidRDefault="00341117" w:rsidP="00200A78">
            <w:pPr>
              <w:spacing w:before="0"/>
              <w:jc w:val="right"/>
              <w:rPr>
                <w:color w:val="FFFFFF"/>
                <w:sz w:val="26"/>
                <w:szCs w:val="26"/>
                <w:lang w:val="fr-CH"/>
              </w:rPr>
            </w:pPr>
          </w:p>
        </w:tc>
      </w:tr>
    </w:tbl>
    <w:p w:rsidR="00341117" w:rsidRPr="00BE0EA1" w:rsidRDefault="00341117" w:rsidP="00200A78">
      <w:pPr>
        <w:tabs>
          <w:tab w:val="clear" w:pos="794"/>
          <w:tab w:val="clear" w:pos="1191"/>
          <w:tab w:val="clear" w:pos="1588"/>
          <w:tab w:val="clear" w:pos="1985"/>
          <w:tab w:val="left" w:pos="4962"/>
        </w:tabs>
        <w:spacing w:before="0"/>
        <w:rPr>
          <w:lang w:val="fr-CH"/>
        </w:rPr>
      </w:pPr>
    </w:p>
    <w:p w:rsidR="00517A03" w:rsidRPr="00BE0EA1" w:rsidRDefault="00517A03" w:rsidP="003F09F5">
      <w:pPr>
        <w:tabs>
          <w:tab w:val="clear" w:pos="794"/>
          <w:tab w:val="clear" w:pos="1191"/>
          <w:tab w:val="clear" w:pos="1588"/>
          <w:tab w:val="clear" w:pos="1985"/>
          <w:tab w:val="left" w:pos="4962"/>
        </w:tabs>
        <w:spacing w:before="0"/>
        <w:rPr>
          <w:lang w:val="fr-CH"/>
        </w:rPr>
      </w:pPr>
      <w:r w:rsidRPr="00BE0EA1">
        <w:rPr>
          <w:lang w:val="fr-CH"/>
        </w:rPr>
        <w:tab/>
        <w:t xml:space="preserve">Genève, le </w:t>
      </w:r>
      <w:r w:rsidR="003F09F5">
        <w:rPr>
          <w:lang w:val="fr-CH"/>
        </w:rPr>
        <w:t>10 avril 2019</w:t>
      </w:r>
    </w:p>
    <w:p w:rsidR="00517A03" w:rsidRPr="00BE0EA1" w:rsidRDefault="00517A03" w:rsidP="00200A78">
      <w:pPr>
        <w:spacing w:before="0"/>
        <w:rPr>
          <w:lang w:val="fr-CH"/>
        </w:rPr>
      </w:pPr>
    </w:p>
    <w:tbl>
      <w:tblPr>
        <w:tblW w:w="9923" w:type="dxa"/>
        <w:jc w:val="center"/>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BE0EA1" w:rsidTr="004E3AE8">
        <w:trPr>
          <w:cantSplit/>
          <w:trHeight w:val="340"/>
          <w:jc w:val="center"/>
        </w:trPr>
        <w:tc>
          <w:tcPr>
            <w:tcW w:w="822" w:type="dxa"/>
          </w:tcPr>
          <w:p w:rsidR="00517A03" w:rsidRPr="00BE0EA1" w:rsidRDefault="00517A03" w:rsidP="00200A78">
            <w:pPr>
              <w:tabs>
                <w:tab w:val="left" w:pos="4111"/>
              </w:tabs>
              <w:spacing w:before="10"/>
              <w:ind w:left="57"/>
              <w:rPr>
                <w:lang w:val="fr-CH"/>
              </w:rPr>
            </w:pPr>
            <w:r w:rsidRPr="00BE0EA1">
              <w:rPr>
                <w:lang w:val="fr-CH"/>
              </w:rPr>
              <w:t>Réf.:</w:t>
            </w:r>
          </w:p>
          <w:p w:rsidR="00517A03" w:rsidRPr="00BE0EA1" w:rsidRDefault="00517A03" w:rsidP="00200A78">
            <w:pPr>
              <w:tabs>
                <w:tab w:val="left" w:pos="4111"/>
              </w:tabs>
              <w:spacing w:before="10"/>
              <w:ind w:left="57"/>
              <w:rPr>
                <w:lang w:val="fr-CH"/>
              </w:rPr>
            </w:pPr>
          </w:p>
          <w:p w:rsidR="00517A03" w:rsidRPr="00BE0EA1" w:rsidRDefault="00517A03" w:rsidP="00200A78">
            <w:pPr>
              <w:tabs>
                <w:tab w:val="left" w:pos="4111"/>
              </w:tabs>
              <w:spacing w:before="10"/>
              <w:ind w:left="57"/>
              <w:rPr>
                <w:lang w:val="fr-CH"/>
              </w:rPr>
            </w:pPr>
          </w:p>
          <w:p w:rsidR="00517A03" w:rsidRPr="00BE0EA1" w:rsidRDefault="00517A03" w:rsidP="00200A78">
            <w:pPr>
              <w:tabs>
                <w:tab w:val="left" w:pos="4111"/>
              </w:tabs>
              <w:spacing w:before="10"/>
              <w:ind w:left="57"/>
              <w:rPr>
                <w:lang w:val="fr-CH"/>
              </w:rPr>
            </w:pPr>
            <w:r w:rsidRPr="00BE0EA1">
              <w:rPr>
                <w:lang w:val="fr-CH"/>
              </w:rPr>
              <w:t>Tél.:</w:t>
            </w:r>
            <w:r w:rsidRPr="00BE0EA1">
              <w:rPr>
                <w:lang w:val="fr-CH"/>
              </w:rPr>
              <w:br/>
              <w:t>Fax:</w:t>
            </w:r>
            <w:r w:rsidRPr="00BE0EA1">
              <w:rPr>
                <w:lang w:val="fr-CH"/>
              </w:rPr>
              <w:br/>
              <w:t>E-mail:</w:t>
            </w:r>
          </w:p>
        </w:tc>
        <w:tc>
          <w:tcPr>
            <w:tcW w:w="4055" w:type="dxa"/>
          </w:tcPr>
          <w:p w:rsidR="00517A03" w:rsidRPr="00BE0EA1" w:rsidRDefault="008E2BCB" w:rsidP="003F09F5">
            <w:pPr>
              <w:tabs>
                <w:tab w:val="left" w:pos="4111"/>
              </w:tabs>
              <w:spacing w:before="10"/>
              <w:ind w:left="57"/>
              <w:rPr>
                <w:b/>
                <w:lang w:val="fr-CH"/>
              </w:rPr>
            </w:pPr>
            <w:r w:rsidRPr="00BE0EA1">
              <w:rPr>
                <w:b/>
                <w:lang w:val="fr-CH"/>
              </w:rPr>
              <w:t>Circulaire TSB 1</w:t>
            </w:r>
            <w:r w:rsidR="003F09F5">
              <w:rPr>
                <w:b/>
                <w:lang w:val="fr-CH"/>
              </w:rPr>
              <w:t>64</w:t>
            </w:r>
          </w:p>
          <w:p w:rsidR="00517A03" w:rsidRPr="00BE0EA1" w:rsidRDefault="00517A03" w:rsidP="00200A78">
            <w:pPr>
              <w:tabs>
                <w:tab w:val="left" w:pos="4111"/>
              </w:tabs>
              <w:spacing w:before="10"/>
              <w:ind w:left="57"/>
              <w:rPr>
                <w:b/>
                <w:lang w:val="fr-CH"/>
              </w:rPr>
            </w:pPr>
          </w:p>
          <w:p w:rsidR="00517A03" w:rsidRPr="00BE0EA1" w:rsidRDefault="00517A03" w:rsidP="00200A78">
            <w:pPr>
              <w:tabs>
                <w:tab w:val="left" w:pos="4111"/>
              </w:tabs>
              <w:spacing w:before="10"/>
              <w:ind w:left="57"/>
              <w:rPr>
                <w:lang w:val="fr-CH"/>
              </w:rPr>
            </w:pPr>
          </w:p>
          <w:p w:rsidR="00517A03" w:rsidRPr="00BE0EA1" w:rsidRDefault="00517A03" w:rsidP="00200A78">
            <w:pPr>
              <w:tabs>
                <w:tab w:val="left" w:pos="4111"/>
              </w:tabs>
              <w:spacing w:before="10"/>
              <w:ind w:left="57"/>
              <w:rPr>
                <w:lang w:val="fr-CH"/>
              </w:rPr>
            </w:pPr>
            <w:r w:rsidRPr="00BE0EA1">
              <w:rPr>
                <w:lang w:val="fr-CH"/>
              </w:rPr>
              <w:t xml:space="preserve">+41 22 730 </w:t>
            </w:r>
            <w:r w:rsidR="008E2BCB" w:rsidRPr="00BE0EA1">
              <w:rPr>
                <w:lang w:val="fr-CH"/>
              </w:rPr>
              <w:t>5860</w:t>
            </w:r>
            <w:r w:rsidRPr="00BE0EA1">
              <w:rPr>
                <w:lang w:val="fr-CH"/>
              </w:rPr>
              <w:br/>
              <w:t>+41 22 730 5853</w:t>
            </w:r>
            <w:r w:rsidRPr="00BE0EA1">
              <w:rPr>
                <w:lang w:val="fr-CH"/>
              </w:rPr>
              <w:br/>
            </w:r>
            <w:hyperlink r:id="rId9" w:history="1">
              <w:r w:rsidR="008E2BCB" w:rsidRPr="00BE0EA1">
                <w:rPr>
                  <w:rStyle w:val="Hyperlink"/>
                  <w:lang w:val="fr-CH"/>
                </w:rPr>
                <w:t>tsbfgml5@itu.int</w:t>
              </w:r>
            </w:hyperlink>
          </w:p>
        </w:tc>
        <w:tc>
          <w:tcPr>
            <w:tcW w:w="5046" w:type="dxa"/>
            <w:gridSpan w:val="2"/>
          </w:tcPr>
          <w:p w:rsidR="00517A03" w:rsidRPr="00BE0EA1" w:rsidRDefault="00517A03" w:rsidP="00200A78">
            <w:pPr>
              <w:tabs>
                <w:tab w:val="clear" w:pos="794"/>
                <w:tab w:val="clear" w:pos="1191"/>
                <w:tab w:val="clear" w:pos="1588"/>
                <w:tab w:val="clear" w:pos="1985"/>
                <w:tab w:val="left" w:pos="284"/>
              </w:tabs>
              <w:spacing w:before="0"/>
              <w:ind w:left="284" w:hanging="227"/>
              <w:rPr>
                <w:lang w:val="fr-CH"/>
              </w:rPr>
            </w:pPr>
            <w:bookmarkStart w:id="0" w:name="Addressee_F"/>
            <w:bookmarkEnd w:id="0"/>
            <w:r w:rsidRPr="00BE0EA1">
              <w:rPr>
                <w:lang w:val="fr-CH"/>
              </w:rPr>
              <w:t>-</w:t>
            </w:r>
            <w:r w:rsidRPr="00BE0EA1">
              <w:rPr>
                <w:lang w:val="fr-CH"/>
              </w:rPr>
              <w:tab/>
              <w:t xml:space="preserve">Aux administrations des </w:t>
            </w:r>
            <w:r w:rsidR="003B18D7" w:rsidRPr="00BE0EA1">
              <w:rPr>
                <w:lang w:val="fr-CH"/>
              </w:rPr>
              <w:t>États</w:t>
            </w:r>
            <w:r w:rsidRPr="00BE0EA1">
              <w:rPr>
                <w:lang w:val="fr-CH"/>
              </w:rPr>
              <w:t xml:space="preserve"> Membres de l</w:t>
            </w:r>
            <w:r w:rsidR="00167472" w:rsidRPr="00BE0EA1">
              <w:rPr>
                <w:lang w:val="fr-CH"/>
              </w:rPr>
              <w:t>'</w:t>
            </w:r>
            <w:r w:rsidRPr="00BE0EA1">
              <w:rPr>
                <w:lang w:val="fr-CH"/>
              </w:rPr>
              <w:t>Union</w:t>
            </w:r>
            <w:r w:rsidR="008E2BCB" w:rsidRPr="00BE0EA1">
              <w:rPr>
                <w:lang w:val="fr-CH"/>
              </w:rPr>
              <w:t>;</w:t>
            </w:r>
          </w:p>
          <w:p w:rsidR="008E2BCB" w:rsidRPr="00BE0EA1" w:rsidRDefault="008E2BCB" w:rsidP="00200A78">
            <w:pPr>
              <w:pStyle w:val="Tabletext0"/>
              <w:ind w:left="283" w:hanging="283"/>
              <w:rPr>
                <w:color w:val="000000"/>
                <w:lang w:val="fr-CH"/>
              </w:rPr>
            </w:pPr>
            <w:r w:rsidRPr="00BE0EA1">
              <w:rPr>
                <w:color w:val="000000"/>
                <w:lang w:val="fr-CH"/>
              </w:rPr>
              <w:t>-</w:t>
            </w:r>
            <w:r w:rsidRPr="00BE0EA1">
              <w:rPr>
                <w:color w:val="000000"/>
                <w:lang w:val="fr-CH"/>
              </w:rPr>
              <w:tab/>
              <w:t>Aux Membres du Secteur de l'UIT-T;</w:t>
            </w:r>
          </w:p>
          <w:p w:rsidR="008E2BCB" w:rsidRPr="00BE0EA1" w:rsidRDefault="008E2BCB" w:rsidP="00200A78">
            <w:pPr>
              <w:pStyle w:val="Tabletext0"/>
              <w:ind w:left="283" w:hanging="283"/>
              <w:rPr>
                <w:color w:val="000000"/>
                <w:lang w:val="fr-CH"/>
              </w:rPr>
            </w:pPr>
            <w:r w:rsidRPr="00BE0EA1">
              <w:rPr>
                <w:color w:val="000000"/>
                <w:lang w:val="fr-CH"/>
              </w:rPr>
              <w:t>-</w:t>
            </w:r>
            <w:r w:rsidRPr="00BE0EA1">
              <w:rPr>
                <w:color w:val="000000"/>
                <w:lang w:val="fr-CH"/>
              </w:rPr>
              <w:tab/>
              <w:t>Aux Associés de l'UIT-T;</w:t>
            </w:r>
          </w:p>
          <w:p w:rsidR="008E2BCB" w:rsidRPr="00BE0EA1" w:rsidRDefault="008E2BCB" w:rsidP="00200A78">
            <w:pPr>
              <w:tabs>
                <w:tab w:val="clear" w:pos="794"/>
                <w:tab w:val="clear" w:pos="1191"/>
                <w:tab w:val="clear" w:pos="1588"/>
                <w:tab w:val="clear" w:pos="1985"/>
                <w:tab w:val="left" w:pos="284"/>
              </w:tabs>
              <w:spacing w:before="0"/>
              <w:ind w:left="284" w:hanging="227"/>
              <w:rPr>
                <w:lang w:val="fr-CH"/>
              </w:rPr>
            </w:pPr>
            <w:r w:rsidRPr="00BE0EA1">
              <w:rPr>
                <w:color w:val="000000"/>
                <w:lang w:val="fr-CH"/>
              </w:rPr>
              <w:t>-</w:t>
            </w:r>
            <w:r w:rsidRPr="00BE0EA1">
              <w:rPr>
                <w:color w:val="000000"/>
                <w:lang w:val="fr-CH"/>
              </w:rPr>
              <w:tab/>
              <w:t>Aux établissements universitaires participant aux travaux de l'UIT</w:t>
            </w:r>
          </w:p>
        </w:tc>
      </w:tr>
      <w:tr w:rsidR="00517A03" w:rsidRPr="00BE0EA1" w:rsidTr="004E3AE8">
        <w:trPr>
          <w:cantSplit/>
          <w:jc w:val="center"/>
        </w:trPr>
        <w:tc>
          <w:tcPr>
            <w:tcW w:w="822" w:type="dxa"/>
          </w:tcPr>
          <w:p w:rsidR="00517A03" w:rsidRPr="00BE0EA1" w:rsidRDefault="00517A03" w:rsidP="00200A78">
            <w:pPr>
              <w:tabs>
                <w:tab w:val="left" w:pos="4111"/>
              </w:tabs>
              <w:spacing w:before="10"/>
              <w:ind w:left="57"/>
              <w:rPr>
                <w:sz w:val="20"/>
                <w:lang w:val="fr-CH"/>
              </w:rPr>
            </w:pPr>
          </w:p>
        </w:tc>
        <w:tc>
          <w:tcPr>
            <w:tcW w:w="4055" w:type="dxa"/>
          </w:tcPr>
          <w:p w:rsidR="00517A03" w:rsidRPr="00BE0EA1" w:rsidRDefault="00517A03" w:rsidP="00200A78">
            <w:pPr>
              <w:tabs>
                <w:tab w:val="left" w:pos="4111"/>
              </w:tabs>
              <w:spacing w:before="0"/>
              <w:ind w:left="57"/>
              <w:rPr>
                <w:lang w:val="fr-CH"/>
              </w:rPr>
            </w:pPr>
          </w:p>
        </w:tc>
        <w:tc>
          <w:tcPr>
            <w:tcW w:w="5046" w:type="dxa"/>
            <w:gridSpan w:val="2"/>
          </w:tcPr>
          <w:p w:rsidR="00517A03" w:rsidRPr="00BE0EA1" w:rsidRDefault="00517A03" w:rsidP="00200A78">
            <w:pPr>
              <w:tabs>
                <w:tab w:val="left" w:pos="4111"/>
              </w:tabs>
              <w:spacing w:before="0"/>
              <w:rPr>
                <w:lang w:val="fr-CH"/>
              </w:rPr>
            </w:pPr>
            <w:r w:rsidRPr="00BE0EA1">
              <w:rPr>
                <w:b/>
                <w:lang w:val="fr-CH"/>
              </w:rPr>
              <w:t>Copie</w:t>
            </w:r>
            <w:r w:rsidRPr="00BE0EA1">
              <w:rPr>
                <w:lang w:val="fr-CH"/>
              </w:rPr>
              <w:t>:</w:t>
            </w:r>
          </w:p>
          <w:p w:rsidR="008E2BCB" w:rsidRPr="00BE0EA1" w:rsidRDefault="008E2BCB" w:rsidP="00200A78">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BE0EA1">
              <w:rPr>
                <w:lang w:val="fr-CH"/>
              </w:rPr>
              <w:t>-</w:t>
            </w:r>
            <w:r w:rsidRPr="00BE0EA1">
              <w:rPr>
                <w:lang w:val="fr-CH"/>
              </w:rPr>
              <w:tab/>
              <w:t>Aux Présidents et Vice-Présidents des Commissions d'études;</w:t>
            </w:r>
          </w:p>
          <w:p w:rsidR="008E2BCB" w:rsidRPr="00BE0EA1" w:rsidRDefault="000F41B1" w:rsidP="00200A78">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Pr>
                <w:lang w:val="fr-CH"/>
              </w:rPr>
              <w:t>-</w:t>
            </w:r>
            <w:r>
              <w:rPr>
                <w:lang w:val="fr-CH"/>
              </w:rPr>
              <w:tab/>
              <w:t>À la Direct</w:t>
            </w:r>
            <w:r w:rsidR="008E2BCB" w:rsidRPr="00BE0EA1">
              <w:rPr>
                <w:lang w:val="fr-CH"/>
              </w:rPr>
              <w:t>r</w:t>
            </w:r>
            <w:r>
              <w:rPr>
                <w:lang w:val="fr-CH"/>
              </w:rPr>
              <w:t>ice</w:t>
            </w:r>
            <w:r w:rsidR="008E2BCB" w:rsidRPr="00BE0EA1">
              <w:rPr>
                <w:lang w:val="fr-CH"/>
              </w:rPr>
              <w:t xml:space="preserve"> du Bureau de développement des télécommunications;</w:t>
            </w:r>
          </w:p>
          <w:p w:rsidR="00517A03" w:rsidRPr="00BE0EA1" w:rsidRDefault="008E2BCB" w:rsidP="00200A78">
            <w:pPr>
              <w:tabs>
                <w:tab w:val="clear" w:pos="794"/>
                <w:tab w:val="left" w:pos="226"/>
                <w:tab w:val="left" w:pos="4111"/>
              </w:tabs>
              <w:spacing w:before="0"/>
              <w:ind w:left="226" w:hanging="226"/>
              <w:rPr>
                <w:lang w:val="fr-CH"/>
              </w:rPr>
            </w:pPr>
            <w:r w:rsidRPr="00BE0EA1">
              <w:rPr>
                <w:lang w:val="fr-CH"/>
              </w:rPr>
              <w:t>-</w:t>
            </w:r>
            <w:r w:rsidRPr="00BE0EA1">
              <w:rPr>
                <w:lang w:val="fr-CH"/>
              </w:rPr>
              <w:tab/>
              <w:t>Au Directeur du Bureau des radiocommunications</w:t>
            </w:r>
          </w:p>
        </w:tc>
      </w:tr>
      <w:tr w:rsidR="00517A03" w:rsidRPr="00BE0EA1" w:rsidTr="004E3AE8">
        <w:trPr>
          <w:gridAfter w:val="1"/>
          <w:wAfter w:w="8" w:type="dxa"/>
          <w:cantSplit/>
          <w:trHeight w:val="680"/>
          <w:jc w:val="center"/>
        </w:trPr>
        <w:tc>
          <w:tcPr>
            <w:tcW w:w="822" w:type="dxa"/>
          </w:tcPr>
          <w:p w:rsidR="00517A03" w:rsidRPr="00BE0EA1" w:rsidRDefault="00517A03" w:rsidP="00F8620D">
            <w:pPr>
              <w:tabs>
                <w:tab w:val="left" w:pos="4111"/>
              </w:tabs>
              <w:spacing w:before="240" w:after="120"/>
              <w:ind w:left="57"/>
              <w:rPr>
                <w:sz w:val="22"/>
                <w:lang w:val="fr-CH"/>
              </w:rPr>
            </w:pPr>
            <w:r w:rsidRPr="00BE0EA1">
              <w:rPr>
                <w:szCs w:val="22"/>
                <w:lang w:val="fr-CH"/>
              </w:rPr>
              <w:t>Objet:</w:t>
            </w:r>
          </w:p>
        </w:tc>
        <w:tc>
          <w:tcPr>
            <w:tcW w:w="9093" w:type="dxa"/>
            <w:gridSpan w:val="2"/>
          </w:tcPr>
          <w:p w:rsidR="00517A03" w:rsidRPr="00BE0EA1" w:rsidRDefault="003F09F5" w:rsidP="00F8620D">
            <w:pPr>
              <w:tabs>
                <w:tab w:val="left" w:pos="4111"/>
              </w:tabs>
              <w:spacing w:before="240" w:after="120"/>
              <w:ind w:left="57"/>
              <w:rPr>
                <w:lang w:val="fr-CH"/>
              </w:rPr>
            </w:pPr>
            <w:r>
              <w:rPr>
                <w:b/>
                <w:lang w:val="fr-CH"/>
              </w:rPr>
              <w:t>Atelier de l'UIT sur le thème "</w:t>
            </w:r>
            <w:r w:rsidRPr="003F09F5">
              <w:rPr>
                <w:b/>
                <w:lang w:val="fr-CH"/>
              </w:rPr>
              <w:t>Apprentissage automatique pour les réseaux 5G et au-delà</w:t>
            </w:r>
            <w:r>
              <w:rPr>
                <w:b/>
                <w:lang w:val="fr-CH"/>
              </w:rPr>
              <w:t>" (17 juin 2019) et réunion du Groupe spécialisé FG-ML5G (18-20 juin 2019), Genève, Suisse</w:t>
            </w:r>
          </w:p>
        </w:tc>
      </w:tr>
    </w:tbl>
    <w:p w:rsidR="004E3AE8" w:rsidRDefault="004E3AE8" w:rsidP="004E3AE8">
      <w:pPr>
        <w:spacing w:before="360"/>
        <w:rPr>
          <w:bCs/>
          <w:lang w:val="fr-CH"/>
        </w:rPr>
      </w:pPr>
      <w:bookmarkStart w:id="1" w:name="StartTyping_F"/>
      <w:bookmarkEnd w:id="1"/>
      <w:r>
        <w:rPr>
          <w:bCs/>
          <w:lang w:val="fr-CH"/>
        </w:rPr>
        <w:t>Madame, Monsieur,</w:t>
      </w:r>
    </w:p>
    <w:p w:rsidR="008E2BCB" w:rsidRDefault="008E2BCB" w:rsidP="003F09F5">
      <w:pPr>
        <w:rPr>
          <w:szCs w:val="22"/>
          <w:lang w:val="fr-CH"/>
        </w:rPr>
      </w:pPr>
      <w:r w:rsidRPr="00BE0EA1">
        <w:rPr>
          <w:bCs/>
          <w:lang w:val="fr-CH"/>
        </w:rPr>
        <w:t>1</w:t>
      </w:r>
      <w:r w:rsidRPr="00BE0EA1">
        <w:rPr>
          <w:bCs/>
          <w:lang w:val="fr-CH"/>
        </w:rPr>
        <w:tab/>
        <w:t>J'ai l'honneur de vous informer qu</w:t>
      </w:r>
      <w:r w:rsidR="003F09F5">
        <w:rPr>
          <w:bCs/>
          <w:lang w:val="fr-CH"/>
        </w:rPr>
        <w:t>e l'Union internationale des télécommunications organise un atelier sur le thème "</w:t>
      </w:r>
      <w:r w:rsidR="003F09F5" w:rsidRPr="000F41B1">
        <w:rPr>
          <w:b/>
          <w:bCs/>
          <w:szCs w:val="22"/>
          <w:lang w:val="fr-CH"/>
        </w:rPr>
        <w:t>Apprentissage automatique pour les réseaux 5G et au-delà</w:t>
      </w:r>
      <w:r w:rsidR="003F09F5">
        <w:rPr>
          <w:szCs w:val="22"/>
          <w:lang w:val="fr-CH"/>
        </w:rPr>
        <w:t>", qui aura lieu le lundi 17 juin 2019 au siège de l'UIT à Genève (Suisse).</w:t>
      </w:r>
    </w:p>
    <w:p w:rsidR="003F09F5" w:rsidRDefault="003F09F5" w:rsidP="003F09F5">
      <w:pPr>
        <w:rPr>
          <w:szCs w:val="22"/>
          <w:lang w:val="fr-CH"/>
        </w:rPr>
      </w:pPr>
      <w:r>
        <w:rPr>
          <w:szCs w:val="22"/>
          <w:lang w:val="fr-CH"/>
        </w:rPr>
        <w:t xml:space="preserve">L'atelier sera suivi de la </w:t>
      </w:r>
      <w:r w:rsidRPr="00FA19AF">
        <w:rPr>
          <w:szCs w:val="22"/>
          <w:lang w:val="fr-CH"/>
        </w:rPr>
        <w:t>6ème</w:t>
      </w:r>
      <w:r>
        <w:rPr>
          <w:szCs w:val="22"/>
          <w:lang w:val="fr-CH"/>
        </w:rPr>
        <w:t xml:space="preserve"> réunion du </w:t>
      </w:r>
      <w:hyperlink r:id="rId10" w:history="1">
        <w:r w:rsidRPr="00FA19AF">
          <w:rPr>
            <w:rStyle w:val="Hyperlink"/>
            <w:szCs w:val="22"/>
            <w:lang w:val="fr-CH"/>
          </w:rPr>
          <w:t>Groupe spécialisé sur l'apprentissage automatique pour les réseaux futurs, y compris les réseaux 5G (FG-ML5G)</w:t>
        </w:r>
      </w:hyperlink>
      <w:r>
        <w:rPr>
          <w:szCs w:val="22"/>
          <w:lang w:val="fr-CH"/>
        </w:rPr>
        <w:t>, qui aura lieu du 18 au 20 juin 2019 dans les locaux de l'UIT.</w:t>
      </w:r>
    </w:p>
    <w:p w:rsidR="00FA19AF" w:rsidRDefault="00FA19AF" w:rsidP="003F09F5">
      <w:pPr>
        <w:rPr>
          <w:szCs w:val="22"/>
          <w:lang w:val="fr-CH"/>
        </w:rPr>
      </w:pPr>
      <w:r>
        <w:rPr>
          <w:szCs w:val="22"/>
          <w:lang w:val="fr-CH"/>
        </w:rPr>
        <w:t>2</w:t>
      </w:r>
      <w:r>
        <w:rPr>
          <w:szCs w:val="22"/>
          <w:lang w:val="fr-CH"/>
        </w:rPr>
        <w:tab/>
        <w:t>Ces manifestations se tiendront en parallèle des réunions suivantes:</w:t>
      </w:r>
    </w:p>
    <w:p w:rsidR="00F91186" w:rsidRDefault="00FA19AF" w:rsidP="001F4816">
      <w:pPr>
        <w:pStyle w:val="enumlev1"/>
        <w:rPr>
          <w:lang w:val="fr-CH"/>
        </w:rPr>
      </w:pPr>
      <w:r w:rsidRPr="001A231D">
        <w:rPr>
          <w:lang w:val="fr-CH"/>
        </w:rPr>
        <w:t>•</w:t>
      </w:r>
      <w:r w:rsidRPr="001A231D">
        <w:rPr>
          <w:lang w:val="fr-CH"/>
        </w:rPr>
        <w:tab/>
      </w:r>
      <w:r w:rsidR="001A231D" w:rsidRPr="001A231D">
        <w:rPr>
          <w:lang w:val="fr-CH"/>
        </w:rPr>
        <w:t xml:space="preserve">réunions des Groupes du Rapporteur de la CE 11 de l'UIT-T du 17 </w:t>
      </w:r>
      <w:r w:rsidR="001A231D">
        <w:rPr>
          <w:lang w:val="fr-CH"/>
        </w:rPr>
        <w:t>au</w:t>
      </w:r>
      <w:r w:rsidR="001A231D" w:rsidRPr="001A231D">
        <w:rPr>
          <w:lang w:val="fr-CH"/>
        </w:rPr>
        <w:t xml:space="preserve"> 26 </w:t>
      </w:r>
      <w:r w:rsidR="001A231D">
        <w:rPr>
          <w:lang w:val="fr-CH"/>
        </w:rPr>
        <w:t>juin suivies des réunions du GT </w:t>
      </w:r>
      <w:r w:rsidRPr="001A231D">
        <w:rPr>
          <w:lang w:val="fr-CH"/>
        </w:rPr>
        <w:t xml:space="preserve">1/11, </w:t>
      </w:r>
      <w:r w:rsidR="001A231D">
        <w:rPr>
          <w:lang w:val="fr-CH"/>
        </w:rPr>
        <w:t>du GT </w:t>
      </w:r>
      <w:r w:rsidRPr="001A231D">
        <w:rPr>
          <w:lang w:val="fr-CH"/>
        </w:rPr>
        <w:t xml:space="preserve">2/11 </w:t>
      </w:r>
      <w:r w:rsidR="001A231D">
        <w:rPr>
          <w:lang w:val="fr-CH"/>
        </w:rPr>
        <w:t>et du GT </w:t>
      </w:r>
      <w:r w:rsidRPr="001A231D">
        <w:rPr>
          <w:lang w:val="fr-CH"/>
        </w:rPr>
        <w:t xml:space="preserve">3/11 </w:t>
      </w:r>
      <w:r w:rsidR="001A231D">
        <w:rPr>
          <w:lang w:val="fr-CH"/>
        </w:rPr>
        <w:t xml:space="preserve">le </w:t>
      </w:r>
      <w:r w:rsidRPr="001A231D">
        <w:rPr>
          <w:lang w:val="fr-CH"/>
        </w:rPr>
        <w:t xml:space="preserve">26 </w:t>
      </w:r>
      <w:r w:rsidR="001A231D">
        <w:rPr>
          <w:lang w:val="fr-CH"/>
        </w:rPr>
        <w:t xml:space="preserve">juin </w:t>
      </w:r>
      <w:r w:rsidRPr="001A231D">
        <w:rPr>
          <w:lang w:val="fr-CH"/>
        </w:rPr>
        <w:t xml:space="preserve">2019: </w:t>
      </w:r>
      <w:hyperlink r:id="rId11" w:history="1">
        <w:r w:rsidR="00611A04">
          <w:rPr>
            <w:rStyle w:val="Hyperlink"/>
          </w:rPr>
          <w:t>https://www.itu.int/fr/ITU-T/studygroups/2017-2020/11/Pages/default.aspx</w:t>
        </w:r>
      </w:hyperlink>
    </w:p>
    <w:p w:rsidR="00FA19AF" w:rsidRPr="00F91186" w:rsidRDefault="00FA19AF" w:rsidP="001F4816">
      <w:pPr>
        <w:pStyle w:val="enumlev1"/>
      </w:pPr>
      <w:r w:rsidRPr="00F91186">
        <w:t>•</w:t>
      </w:r>
      <w:r w:rsidRPr="00F91186">
        <w:tab/>
      </w:r>
      <w:r w:rsidR="00F91186" w:rsidRPr="001A231D">
        <w:rPr>
          <w:lang w:val="fr-CH"/>
        </w:rPr>
        <w:t>réunions des Groupes du Rapporteur de la CE 1</w:t>
      </w:r>
      <w:r w:rsidR="00F91186">
        <w:rPr>
          <w:lang w:val="fr-CH"/>
        </w:rPr>
        <w:t>3</w:t>
      </w:r>
      <w:r w:rsidR="00F91186" w:rsidRPr="001A231D">
        <w:rPr>
          <w:lang w:val="fr-CH"/>
        </w:rPr>
        <w:t xml:space="preserve"> de l'UIT-T du 17 </w:t>
      </w:r>
      <w:r w:rsidR="00F91186">
        <w:rPr>
          <w:lang w:val="fr-CH"/>
        </w:rPr>
        <w:t>au</w:t>
      </w:r>
      <w:r w:rsidR="00F91186" w:rsidRPr="001A231D">
        <w:rPr>
          <w:lang w:val="fr-CH"/>
        </w:rPr>
        <w:t xml:space="preserve"> 2</w:t>
      </w:r>
      <w:r w:rsidR="00F91186">
        <w:rPr>
          <w:lang w:val="fr-CH"/>
        </w:rPr>
        <w:t>8</w:t>
      </w:r>
      <w:r w:rsidR="00F91186" w:rsidRPr="001A231D">
        <w:rPr>
          <w:lang w:val="fr-CH"/>
        </w:rPr>
        <w:t xml:space="preserve"> </w:t>
      </w:r>
      <w:r w:rsidR="00F91186">
        <w:rPr>
          <w:lang w:val="fr-CH"/>
        </w:rPr>
        <w:t>juin suivies des réunions du GT </w:t>
      </w:r>
      <w:r w:rsidRPr="00F91186">
        <w:t>1/1</w:t>
      </w:r>
      <w:r w:rsidR="00F91186">
        <w:t>3</w:t>
      </w:r>
      <w:r w:rsidRPr="00F91186">
        <w:t xml:space="preserve">, </w:t>
      </w:r>
      <w:r w:rsidR="00F91186">
        <w:t>du GT </w:t>
      </w:r>
      <w:r w:rsidRPr="00F91186">
        <w:t>2/1</w:t>
      </w:r>
      <w:r w:rsidR="00F91186">
        <w:t>3</w:t>
      </w:r>
      <w:r w:rsidRPr="00F91186">
        <w:t xml:space="preserve"> </w:t>
      </w:r>
      <w:r w:rsidR="00F91186">
        <w:t>et du GT 3/13</w:t>
      </w:r>
      <w:r w:rsidRPr="00F91186">
        <w:t xml:space="preserve"> </w:t>
      </w:r>
      <w:r w:rsidR="00F91186">
        <w:t xml:space="preserve">le </w:t>
      </w:r>
      <w:r w:rsidRPr="00F91186">
        <w:t xml:space="preserve">28 </w:t>
      </w:r>
      <w:r w:rsidR="00F91186">
        <w:t>juin </w:t>
      </w:r>
      <w:r w:rsidRPr="00F91186">
        <w:t xml:space="preserve">2019: </w:t>
      </w:r>
      <w:hyperlink r:id="rId12" w:history="1">
        <w:r w:rsidR="00611A04">
          <w:rPr>
            <w:rStyle w:val="Hyperlink"/>
          </w:rPr>
          <w:t>https://www.itu.int/fr/ITU-T/studygroups/2017-2020/13/Pages/default.aspx</w:t>
        </w:r>
      </w:hyperlink>
    </w:p>
    <w:p w:rsidR="00FA19AF" w:rsidRPr="00BE0EA1" w:rsidRDefault="00FA19AF" w:rsidP="001F4816">
      <w:pPr>
        <w:pStyle w:val="enumlev1"/>
        <w:rPr>
          <w:bCs/>
          <w:lang w:val="fr-CH"/>
        </w:rPr>
      </w:pPr>
      <w:r w:rsidRPr="00283327">
        <w:t>•</w:t>
      </w:r>
      <w:r w:rsidRPr="00283327">
        <w:tab/>
      </w:r>
      <w:r w:rsidR="00283327" w:rsidRPr="00283327">
        <w:t>réunion de la JCA-IMT2020</w:t>
      </w:r>
      <w:r>
        <w:t xml:space="preserve"> </w:t>
      </w:r>
      <w:r w:rsidR="00283327">
        <w:t>le</w:t>
      </w:r>
      <w:r>
        <w:t xml:space="preserve"> 21 </w:t>
      </w:r>
      <w:r w:rsidR="00283327">
        <w:t xml:space="preserve">juin </w:t>
      </w:r>
      <w:r>
        <w:t>2019:</w:t>
      </w:r>
      <w:r w:rsidRPr="00063284">
        <w:t xml:space="preserve"> </w:t>
      </w:r>
      <w:hyperlink r:id="rId13" w:history="1">
        <w:r w:rsidR="00283327">
          <w:rPr>
            <w:rStyle w:val="Hyperlink"/>
          </w:rPr>
          <w:t>https://www.itu.int/fr/ITU-T/jca/imt2020/Pages/default.aspx</w:t>
        </w:r>
      </w:hyperlink>
    </w:p>
    <w:p w:rsidR="008E2BCB" w:rsidRPr="00BE0EA1" w:rsidRDefault="002A0E16" w:rsidP="009B2B46">
      <w:pPr>
        <w:rPr>
          <w:bCs/>
          <w:lang w:val="fr-CH"/>
        </w:rPr>
      </w:pPr>
      <w:r>
        <w:rPr>
          <w:bCs/>
          <w:lang w:val="fr-CH"/>
        </w:rPr>
        <w:t>3</w:t>
      </w:r>
      <w:r w:rsidR="008E2BCB" w:rsidRPr="00BE0EA1">
        <w:rPr>
          <w:bCs/>
          <w:lang w:val="fr-CH"/>
        </w:rPr>
        <w:tab/>
      </w:r>
      <w:r w:rsidR="009B2B46">
        <w:rPr>
          <w:bCs/>
          <w:lang w:val="fr-CH"/>
        </w:rPr>
        <w:t>L'atelier</w:t>
      </w:r>
      <w:r w:rsidR="008E2BCB" w:rsidRPr="00BE0EA1">
        <w:rPr>
          <w:bCs/>
          <w:lang w:val="fr-CH"/>
        </w:rPr>
        <w:t xml:space="preserve"> débutera à 9 h 30 le </w:t>
      </w:r>
      <w:r w:rsidR="009B2B46">
        <w:rPr>
          <w:bCs/>
          <w:lang w:val="fr-CH"/>
        </w:rPr>
        <w:t xml:space="preserve">17 juin </w:t>
      </w:r>
      <w:r w:rsidR="008E2BCB" w:rsidRPr="00BE0EA1">
        <w:rPr>
          <w:bCs/>
          <w:lang w:val="fr-CH"/>
        </w:rPr>
        <w:t>2019</w:t>
      </w:r>
      <w:r w:rsidR="009B2B46">
        <w:rPr>
          <w:bCs/>
          <w:lang w:val="fr-CH"/>
        </w:rPr>
        <w:t>. Les précisions relatives à la salle de réunion seront affichées à l'entrée du lieu accueillant la manifestation. L'atelier se déroulera en anglais seulement et il sera possible de participer à distance.</w:t>
      </w:r>
    </w:p>
    <w:p w:rsidR="001F4816" w:rsidRDefault="001F4816" w:rsidP="00200A78">
      <w:pPr>
        <w:rPr>
          <w:bCs/>
          <w:lang w:val="fr-CH"/>
        </w:rPr>
      </w:pPr>
      <w:r>
        <w:rPr>
          <w:bCs/>
          <w:lang w:val="fr-CH"/>
        </w:rPr>
        <w:br w:type="page"/>
      </w:r>
    </w:p>
    <w:p w:rsidR="008E2BCB" w:rsidRPr="00BE0EA1" w:rsidRDefault="008022F3" w:rsidP="00200A78">
      <w:pPr>
        <w:rPr>
          <w:bCs/>
          <w:lang w:val="fr-CH"/>
        </w:rPr>
      </w:pPr>
      <w:r>
        <w:rPr>
          <w:bCs/>
          <w:lang w:val="fr-CH"/>
        </w:rPr>
        <w:lastRenderedPageBreak/>
        <w:t>4</w:t>
      </w:r>
      <w:r w:rsidR="008E2BCB" w:rsidRPr="00BE0EA1">
        <w:rPr>
          <w:bCs/>
          <w:lang w:val="fr-CH"/>
        </w:rPr>
        <w:tab/>
        <w:t xml:space="preserve">La participation est ouverte aux </w:t>
      </w:r>
      <w:r w:rsidR="003B18D7" w:rsidRPr="00BE0EA1">
        <w:rPr>
          <w:bCs/>
          <w:lang w:val="fr-CH"/>
        </w:rPr>
        <w:t>États</w:t>
      </w:r>
      <w:r w:rsidR="008E2BCB" w:rsidRPr="00BE0EA1">
        <w:rPr>
          <w:bCs/>
          <w:lang w:val="fr-CH"/>
        </w:rPr>
        <w:t xml:space="preserve">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Aucune bourse ne sera accordée. </w:t>
      </w:r>
    </w:p>
    <w:p w:rsidR="008E2BCB" w:rsidRPr="00BE0EA1" w:rsidRDefault="008022F3" w:rsidP="000F41B1">
      <w:pPr>
        <w:rPr>
          <w:bCs/>
          <w:lang w:val="fr-CH"/>
        </w:rPr>
      </w:pPr>
      <w:r>
        <w:rPr>
          <w:bCs/>
          <w:lang w:val="fr-CH"/>
        </w:rPr>
        <w:t>5</w:t>
      </w:r>
      <w:r w:rsidR="008E2BCB" w:rsidRPr="00BE0EA1">
        <w:rPr>
          <w:bCs/>
          <w:lang w:val="fr-CH"/>
        </w:rPr>
        <w:tab/>
        <w:t>Des informations relatives à l'atelier, et notamment le projet de programme, seront disponibles sur le site web de la manifestation à l'adresse:</w:t>
      </w:r>
      <w:r w:rsidR="008E2BCB" w:rsidRPr="00BE0EA1">
        <w:rPr>
          <w:lang w:val="fr-CH"/>
        </w:rPr>
        <w:t xml:space="preserve"> </w:t>
      </w:r>
      <w:hyperlink r:id="rId14" w:history="1">
        <w:r w:rsidRPr="008022F3">
          <w:rPr>
            <w:rStyle w:val="Hyperlink"/>
          </w:rPr>
          <w:t>https://www.itu.int/en/ITU-T/focusgroups/ml5g/Pages/default.aspx</w:t>
        </w:r>
      </w:hyperlink>
      <w:r w:rsidR="008E2BCB" w:rsidRPr="00BE0EA1">
        <w:rPr>
          <w:bCs/>
          <w:lang w:val="fr-CH"/>
        </w:rPr>
        <w:t xml:space="preserve">. </w:t>
      </w:r>
      <w:r w:rsidRPr="00E601F7">
        <w:rPr>
          <w:szCs w:val="24"/>
          <w:lang w:val="fr-CH"/>
        </w:rPr>
        <w:t xml:space="preserve">Ce site web sera </w:t>
      </w:r>
      <w:r w:rsidR="000F41B1">
        <w:rPr>
          <w:szCs w:val="24"/>
          <w:lang w:val="fr-CH"/>
        </w:rPr>
        <w:t xml:space="preserve">mis à jour périodiquement </w:t>
      </w:r>
      <w:r w:rsidRPr="00E601F7">
        <w:rPr>
          <w:szCs w:val="24"/>
          <w:lang w:val="fr-CH"/>
        </w:rPr>
        <w:t>à mesure que parviendront des informations nouvelles ou modifiées. Les participants sont priés de consulter régulièrement le site pour prendre connaissance des dernières informations.</w:t>
      </w:r>
    </w:p>
    <w:p w:rsidR="008E2BCB" w:rsidRPr="00BE0EA1" w:rsidRDefault="008022F3" w:rsidP="00200A78">
      <w:pPr>
        <w:rPr>
          <w:bCs/>
          <w:lang w:val="fr-CH"/>
        </w:rPr>
      </w:pPr>
      <w:r>
        <w:rPr>
          <w:bCs/>
          <w:lang w:val="fr-CH"/>
        </w:rPr>
        <w:t>6</w:t>
      </w:r>
      <w:r w:rsidR="008E2BCB" w:rsidRPr="00BE0EA1">
        <w:rPr>
          <w:bCs/>
          <w:lang w:val="fr-CH"/>
        </w:rPr>
        <w:tab/>
        <w:t>Des équipements de réseau local sans fil sont à la disposition des délégués.</w:t>
      </w:r>
    </w:p>
    <w:p w:rsidR="008022F3" w:rsidRPr="00E601F7" w:rsidRDefault="008022F3" w:rsidP="008022F3">
      <w:pPr>
        <w:rPr>
          <w:b/>
          <w:szCs w:val="24"/>
          <w:lang w:val="fr-CH"/>
        </w:rPr>
      </w:pPr>
      <w:r>
        <w:rPr>
          <w:szCs w:val="24"/>
          <w:lang w:val="fr-CH"/>
        </w:rPr>
        <w:t>7</w:t>
      </w:r>
      <w:r w:rsidRPr="00E601F7">
        <w:rPr>
          <w:szCs w:val="24"/>
          <w:lang w:val="fr-CH"/>
        </w:rPr>
        <w:tab/>
        <w:t>L'inscription est obligatoire pour toutes les personnes qui souhaitent participer à l'atelier</w:t>
      </w:r>
      <w:r>
        <w:rPr>
          <w:szCs w:val="24"/>
          <w:lang w:val="fr-CH"/>
        </w:rPr>
        <w:t xml:space="preserve"> et à la réunion</w:t>
      </w:r>
      <w:r w:rsidRPr="00E601F7">
        <w:rPr>
          <w:szCs w:val="24"/>
          <w:lang w:val="fr-CH"/>
        </w:rPr>
        <w:t xml:space="preserve">. </w:t>
      </w:r>
      <w:r>
        <w:rPr>
          <w:szCs w:val="24"/>
          <w:lang w:val="fr-CH"/>
        </w:rPr>
        <w:t xml:space="preserve">Afin de permettre au TSB de prendre les dispositions nécessaires concernant l'organisation de la réunion du Groupe spécialisé et de l'atelier, les délégués sont invités à s'inscrire au moyen du </w:t>
      </w:r>
      <w:hyperlink r:id="rId15" w:history="1">
        <w:r w:rsidRPr="000F41B1">
          <w:rPr>
            <w:rStyle w:val="Hyperlink"/>
            <w:szCs w:val="24"/>
            <w:lang w:val="fr-CH"/>
          </w:rPr>
          <w:t>formulaire en ligne</w:t>
        </w:r>
      </w:hyperlink>
      <w:r>
        <w:rPr>
          <w:szCs w:val="24"/>
          <w:lang w:val="fr-CH"/>
        </w:rPr>
        <w:t xml:space="preserve"> dès que possible</w:t>
      </w:r>
      <w:r w:rsidR="000F41B1">
        <w:rPr>
          <w:szCs w:val="24"/>
          <w:lang w:val="fr-CH"/>
        </w:rPr>
        <w:t>,</w:t>
      </w:r>
      <w:r>
        <w:rPr>
          <w:szCs w:val="24"/>
          <w:lang w:val="fr-CH"/>
        </w:rPr>
        <w:t xml:space="preserve"> et </w:t>
      </w:r>
      <w:r w:rsidRPr="000F41B1">
        <w:rPr>
          <w:b/>
          <w:bCs/>
          <w:szCs w:val="24"/>
          <w:lang w:val="fr-CH"/>
        </w:rPr>
        <w:t>au plus tard le</w:t>
      </w:r>
      <w:r>
        <w:rPr>
          <w:szCs w:val="24"/>
          <w:lang w:val="fr-CH"/>
        </w:rPr>
        <w:t> </w:t>
      </w:r>
      <w:r>
        <w:rPr>
          <w:b/>
          <w:bCs/>
          <w:szCs w:val="24"/>
          <w:lang w:val="fr-CH"/>
        </w:rPr>
        <w:t>9</w:t>
      </w:r>
      <w:r w:rsidRPr="00E601F7">
        <w:rPr>
          <w:b/>
          <w:bCs/>
          <w:szCs w:val="24"/>
          <w:lang w:val="fr-CH"/>
        </w:rPr>
        <w:t> </w:t>
      </w:r>
      <w:r>
        <w:rPr>
          <w:b/>
          <w:bCs/>
          <w:szCs w:val="24"/>
          <w:lang w:val="fr-CH"/>
        </w:rPr>
        <w:t>juin</w:t>
      </w:r>
      <w:r w:rsidRPr="00E601F7">
        <w:rPr>
          <w:b/>
          <w:bCs/>
          <w:szCs w:val="24"/>
          <w:lang w:val="fr-CH"/>
        </w:rPr>
        <w:t> 2019</w:t>
      </w:r>
      <w:r w:rsidRPr="00E601F7">
        <w:rPr>
          <w:b/>
          <w:szCs w:val="24"/>
          <w:lang w:val="fr-CH"/>
        </w:rPr>
        <w:t xml:space="preserve">. Veuillez noter que l'inscription préalable des participants se fait exclusivement </w:t>
      </w:r>
      <w:r w:rsidRPr="00E601F7">
        <w:rPr>
          <w:b/>
          <w:i/>
          <w:iCs/>
          <w:szCs w:val="24"/>
          <w:lang w:val="fr-CH"/>
        </w:rPr>
        <w:t>en ligne</w:t>
      </w:r>
      <w:r>
        <w:rPr>
          <w:b/>
          <w:szCs w:val="24"/>
          <w:lang w:val="fr-CH"/>
        </w:rPr>
        <w:t xml:space="preserve"> à la fois pour la participation à distance et pour la participation sur place</w:t>
      </w:r>
      <w:r w:rsidRPr="00E601F7">
        <w:rPr>
          <w:b/>
          <w:szCs w:val="24"/>
          <w:lang w:val="fr-CH"/>
        </w:rPr>
        <w:t>.</w:t>
      </w:r>
    </w:p>
    <w:p w:rsidR="008022F3" w:rsidRPr="00E601F7" w:rsidRDefault="007F40F4" w:rsidP="008022F3">
      <w:pPr>
        <w:rPr>
          <w:bCs/>
          <w:szCs w:val="24"/>
          <w:lang w:val="fr-CH" w:eastAsia="en-GB"/>
        </w:rPr>
      </w:pPr>
      <w:r>
        <w:rPr>
          <w:bCs/>
          <w:szCs w:val="24"/>
          <w:lang w:val="fr-CH"/>
        </w:rPr>
        <w:t>8</w:t>
      </w:r>
      <w:r w:rsidR="008022F3" w:rsidRPr="00E601F7">
        <w:rPr>
          <w:bCs/>
          <w:szCs w:val="24"/>
          <w:lang w:val="fr-CH"/>
        </w:rPr>
        <w:tab/>
        <w:t xml:space="preserve">Pour faciliter vos démarches, vous trouverez une liste des hôtels recommandés et d'autres informations pratiques à l'adresse suivante: </w:t>
      </w:r>
      <w:hyperlink r:id="rId16" w:history="1">
        <w:r w:rsidR="008022F3" w:rsidRPr="00E601F7">
          <w:rPr>
            <w:rStyle w:val="Hyperlink"/>
            <w:szCs w:val="24"/>
            <w:lang w:val="fr-CH" w:eastAsia="zh-CN"/>
          </w:rPr>
          <w:t>http://itu.int/en/delegates-corner</w:t>
        </w:r>
      </w:hyperlink>
      <w:r w:rsidR="008022F3" w:rsidRPr="00E601F7">
        <w:rPr>
          <w:szCs w:val="24"/>
          <w:lang w:val="fr-CH"/>
        </w:rPr>
        <w:t>.</w:t>
      </w:r>
    </w:p>
    <w:p w:rsidR="007F40F4" w:rsidRPr="007F40F4" w:rsidRDefault="007F40F4" w:rsidP="007F40F4">
      <w:pPr>
        <w:tabs>
          <w:tab w:val="left" w:pos="709"/>
        </w:tabs>
        <w:snapToGrid w:val="0"/>
        <w:rPr>
          <w:szCs w:val="24"/>
          <w:lang w:val="fr-CH"/>
        </w:rPr>
      </w:pPr>
      <w:r>
        <w:rPr>
          <w:szCs w:val="24"/>
          <w:lang w:val="fr-CH"/>
        </w:rPr>
        <w:t>9</w:t>
      </w:r>
      <w:r w:rsidR="008022F3" w:rsidRPr="00E601F7">
        <w:rPr>
          <w:szCs w:val="24"/>
          <w:lang w:val="fr-CH"/>
        </w:rPr>
        <w:tab/>
      </w:r>
      <w:r>
        <w:rPr>
          <w:szCs w:val="24"/>
          <w:lang w:val="fr-CH"/>
        </w:rPr>
        <w:t xml:space="preserve">Pour la réunion du Groupe spécialisé, les participants doivent soumettre leurs contributions en version électronique à l'UIT (à l'adresse: </w:t>
      </w:r>
      <w:hyperlink r:id="rId17" w:history="1">
        <w:r w:rsidRPr="003A646D">
          <w:rPr>
            <w:rStyle w:val="Hyperlink"/>
          </w:rPr>
          <w:t>tsbfgml5g@itu.int</w:t>
        </w:r>
      </w:hyperlink>
      <w:r>
        <w:rPr>
          <w:szCs w:val="24"/>
          <w:lang w:val="fr-CH"/>
        </w:rPr>
        <w:t xml:space="preserve">) en utilisant le modèle de document de base, avant le </w:t>
      </w:r>
      <w:r>
        <w:rPr>
          <w:b/>
          <w:bCs/>
          <w:szCs w:val="24"/>
          <w:lang w:val="fr-CH"/>
        </w:rPr>
        <w:t>9 juin 2019</w:t>
      </w:r>
      <w:r>
        <w:rPr>
          <w:szCs w:val="24"/>
          <w:lang w:val="fr-CH"/>
        </w:rPr>
        <w:t>.</w:t>
      </w:r>
    </w:p>
    <w:p w:rsidR="008022F3" w:rsidRPr="00E601F7" w:rsidRDefault="00A91869" w:rsidP="00A91869">
      <w:pPr>
        <w:tabs>
          <w:tab w:val="left" w:pos="709"/>
        </w:tabs>
        <w:snapToGrid w:val="0"/>
        <w:rPr>
          <w:szCs w:val="24"/>
          <w:lang w:val="fr-CH"/>
        </w:rPr>
      </w:pPr>
      <w:r>
        <w:rPr>
          <w:szCs w:val="24"/>
          <w:lang w:val="fr-CH"/>
        </w:rPr>
        <w:t>10</w:t>
      </w:r>
      <w:r>
        <w:rPr>
          <w:szCs w:val="24"/>
          <w:lang w:val="fr-CH"/>
        </w:rPr>
        <w:tab/>
        <w:t>Je vous rappelle que</w:t>
      </w:r>
      <w:r w:rsidR="008022F3" w:rsidRPr="00E601F7">
        <w:rPr>
          <w:szCs w:val="24"/>
          <w:lang w:val="fr-CH"/>
        </w:rPr>
        <w:t>, pour les ressortissants de certains pays, l'entrée et le séjour</w:t>
      </w:r>
      <w:r>
        <w:rPr>
          <w:szCs w:val="24"/>
          <w:lang w:val="fr-CH"/>
        </w:rPr>
        <w:t>, quelle qu'en soit la durée, sur le territoire de la</w:t>
      </w:r>
      <w:r w:rsidR="008022F3" w:rsidRPr="00E601F7">
        <w:rPr>
          <w:szCs w:val="24"/>
          <w:lang w:val="fr-CH"/>
        </w:rPr>
        <w:t xml:space="preserve"> Suisse sont soumis à l'obtention d'un visa. </w:t>
      </w:r>
      <w:r w:rsidR="008022F3" w:rsidRPr="00E601F7">
        <w:rPr>
          <w:b/>
          <w:bCs/>
          <w:szCs w:val="24"/>
          <w:lang w:val="fr-CH"/>
        </w:rPr>
        <w:t xml:space="preserve">Ce visa doit être demandé au moins quatre (4) semaines avant la date de début de l'atelier </w:t>
      </w:r>
      <w:r w:rsidR="008022F3" w:rsidRPr="00E601F7">
        <w:rPr>
          <w:szCs w:val="24"/>
          <w:lang w:val="fr-CH"/>
        </w:rPr>
        <w:t>et obtenu auprès de la représentation de la Suisse (ambassade ou consulat) dans votre pays ou, à défaut, dans le pays le plus proche de votre pays de départ.</w:t>
      </w:r>
    </w:p>
    <w:p w:rsidR="008E2BCB" w:rsidRDefault="008022F3" w:rsidP="000223C0">
      <w:pPr>
        <w:rPr>
          <w:szCs w:val="24"/>
          <w:lang w:val="fr-CH"/>
        </w:rPr>
      </w:pPr>
      <w:r w:rsidRPr="00E601F7">
        <w:rPr>
          <w:szCs w:val="24"/>
          <w:lang w:val="fr-CH"/>
        </w:rPr>
        <w:t>Les demandes doivent être effectuées en cochant la case correspondante du formulaire d'inscription, au plus tard quatre semaines avant la date de la manifestation. Elles doivent être envoyées à la Section des voyages de l'UIT (</w:t>
      </w:r>
      <w:hyperlink r:id="rId18" w:history="1">
        <w:r w:rsidRPr="00E601F7">
          <w:rPr>
            <w:rStyle w:val="Hyperlink"/>
            <w:szCs w:val="24"/>
            <w:lang w:val="fr-CH"/>
          </w:rPr>
          <w:t>travel@itu.int</w:t>
        </w:r>
      </w:hyperlink>
      <w:r w:rsidRPr="00E601F7">
        <w:rPr>
          <w:szCs w:val="24"/>
          <w:lang w:val="fr-CH"/>
        </w:rPr>
        <w:t>), avec la mention "</w:t>
      </w:r>
      <w:r w:rsidRPr="00E601F7">
        <w:rPr>
          <w:b/>
          <w:bCs/>
          <w:szCs w:val="24"/>
          <w:lang w:val="fr-CH"/>
        </w:rPr>
        <w:t>assistance pour l</w:t>
      </w:r>
      <w:r w:rsidR="000223C0">
        <w:rPr>
          <w:b/>
          <w:bCs/>
          <w:szCs w:val="24"/>
          <w:lang w:val="fr-CH"/>
        </w:rPr>
        <w:t>'obtention d'un</w:t>
      </w:r>
      <w:r w:rsidRPr="00E601F7">
        <w:rPr>
          <w:b/>
          <w:bCs/>
          <w:szCs w:val="24"/>
          <w:lang w:val="fr-CH"/>
        </w:rPr>
        <w:t xml:space="preserve"> visa</w:t>
      </w:r>
      <w:r w:rsidRPr="00E601F7">
        <w:rPr>
          <w:szCs w:val="24"/>
          <w:lang w:val="fr-CH"/>
        </w:rPr>
        <w:t>".</w:t>
      </w:r>
    </w:p>
    <w:p w:rsidR="009052FB" w:rsidRPr="00D05D89" w:rsidRDefault="009052FB" w:rsidP="009052FB">
      <w:pPr>
        <w:pStyle w:val="headingb"/>
        <w:spacing w:after="120"/>
        <w:rPr>
          <w:szCs w:val="22"/>
        </w:rPr>
      </w:pPr>
      <w:r w:rsidRPr="00D05D89">
        <w:rPr>
          <w:szCs w:val="22"/>
        </w:rPr>
        <w:t>Principales échéances: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363"/>
      </w:tblGrid>
      <w:tr w:rsidR="009052FB" w:rsidRPr="00D05D89" w:rsidTr="001F4816">
        <w:tc>
          <w:tcPr>
            <w:tcW w:w="1413" w:type="dxa"/>
            <w:shd w:val="clear" w:color="auto" w:fill="auto"/>
            <w:vAlign w:val="center"/>
          </w:tcPr>
          <w:p w:rsidR="009052FB" w:rsidRPr="00D05D89" w:rsidRDefault="009052FB" w:rsidP="00636578">
            <w:pPr>
              <w:pStyle w:val="TableText"/>
              <w:rPr>
                <w:szCs w:val="22"/>
              </w:rPr>
            </w:pPr>
            <w:r>
              <w:rPr>
                <w:szCs w:val="22"/>
              </w:rPr>
              <w:t>17 mai</w:t>
            </w:r>
            <w:r w:rsidRPr="00D05D89">
              <w:rPr>
                <w:szCs w:val="22"/>
              </w:rPr>
              <w:t xml:space="preserve"> 2019</w:t>
            </w:r>
          </w:p>
        </w:tc>
        <w:tc>
          <w:tcPr>
            <w:tcW w:w="8363" w:type="dxa"/>
            <w:shd w:val="clear" w:color="auto" w:fill="auto"/>
            <w:vAlign w:val="center"/>
          </w:tcPr>
          <w:p w:rsidR="009052FB" w:rsidRPr="00D05D89" w:rsidRDefault="009052FB" w:rsidP="009052FB">
            <w:pPr>
              <w:pStyle w:val="TableText"/>
              <w:ind w:left="284" w:hanging="284"/>
              <w:rPr>
                <w:szCs w:val="22"/>
              </w:rPr>
            </w:pPr>
            <w:r w:rsidRPr="00D05D89">
              <w:rPr>
                <w:szCs w:val="22"/>
              </w:rPr>
              <w:t>–</w:t>
            </w:r>
            <w:r w:rsidRPr="00D05D89">
              <w:rPr>
                <w:szCs w:val="22"/>
              </w:rPr>
              <w:tab/>
            </w:r>
            <w:r w:rsidRPr="009052FB">
              <w:rPr>
                <w:szCs w:val="22"/>
              </w:rPr>
              <w:t xml:space="preserve">Soumission des </w:t>
            </w:r>
            <w:r>
              <w:rPr>
                <w:szCs w:val="22"/>
              </w:rPr>
              <w:t xml:space="preserve">demandes de lettres pour faciliter l'obtention du visa (un modèle de demande est disponible </w:t>
            </w:r>
            <w:hyperlink r:id="rId19" w:history="1">
              <w:r w:rsidRPr="000369A8">
                <w:rPr>
                  <w:rStyle w:val="Hyperlink"/>
                  <w:szCs w:val="22"/>
                </w:rPr>
                <w:t>ici</w:t>
              </w:r>
            </w:hyperlink>
            <w:r>
              <w:rPr>
                <w:szCs w:val="22"/>
              </w:rPr>
              <w:t>)</w:t>
            </w:r>
            <w:r w:rsidRPr="00D05D89">
              <w:rPr>
                <w:szCs w:val="22"/>
              </w:rPr>
              <w:t>.</w:t>
            </w:r>
          </w:p>
        </w:tc>
      </w:tr>
      <w:tr w:rsidR="009052FB" w:rsidRPr="00D05D89" w:rsidTr="001F4816">
        <w:tc>
          <w:tcPr>
            <w:tcW w:w="1413" w:type="dxa"/>
            <w:shd w:val="clear" w:color="auto" w:fill="auto"/>
            <w:vAlign w:val="center"/>
          </w:tcPr>
          <w:p w:rsidR="009052FB" w:rsidRPr="00D05D89" w:rsidRDefault="009052FB" w:rsidP="00636578">
            <w:pPr>
              <w:pStyle w:val="TableText"/>
              <w:rPr>
                <w:szCs w:val="22"/>
              </w:rPr>
            </w:pPr>
            <w:r>
              <w:rPr>
                <w:szCs w:val="22"/>
              </w:rPr>
              <w:t>9 juin</w:t>
            </w:r>
            <w:r w:rsidRPr="00D05D89">
              <w:rPr>
                <w:szCs w:val="22"/>
              </w:rPr>
              <w:t xml:space="preserve"> 2019</w:t>
            </w:r>
          </w:p>
        </w:tc>
        <w:tc>
          <w:tcPr>
            <w:tcW w:w="8363" w:type="dxa"/>
            <w:shd w:val="clear" w:color="auto" w:fill="auto"/>
            <w:vAlign w:val="center"/>
          </w:tcPr>
          <w:p w:rsidR="009052FB" w:rsidRPr="00D05D89" w:rsidRDefault="009052FB" w:rsidP="00BD18D3">
            <w:pPr>
              <w:pStyle w:val="TableText"/>
              <w:ind w:left="284" w:hanging="284"/>
              <w:rPr>
                <w:szCs w:val="22"/>
              </w:rPr>
            </w:pPr>
            <w:r w:rsidRPr="00D05D89">
              <w:rPr>
                <w:szCs w:val="22"/>
              </w:rPr>
              <w:t>–</w:t>
            </w:r>
            <w:r w:rsidRPr="00D05D89">
              <w:rPr>
                <w:szCs w:val="22"/>
              </w:rPr>
              <w:tab/>
              <w:t>Inscription préalable (en ligne depuis la</w:t>
            </w:r>
            <w:r w:rsidR="00BD18D3">
              <w:rPr>
                <w:szCs w:val="22"/>
              </w:rPr>
              <w:t xml:space="preserve"> page d'accueil</w:t>
            </w:r>
            <w:r w:rsidRPr="00D05D89">
              <w:rPr>
                <w:szCs w:val="22"/>
              </w:rPr>
              <w:t xml:space="preserve"> </w:t>
            </w:r>
            <w:hyperlink r:id="rId20" w:history="1">
              <w:r w:rsidR="00BD18D3" w:rsidRPr="00BD18D3">
                <w:rPr>
                  <w:rStyle w:val="Hyperlink"/>
                  <w:szCs w:val="22"/>
                </w:rPr>
                <w:t>du Groupe spécialisé FG-ML5G</w:t>
              </w:r>
            </w:hyperlink>
            <w:r w:rsidRPr="00D05D89">
              <w:rPr>
                <w:szCs w:val="22"/>
              </w:rPr>
              <w:t>).</w:t>
            </w:r>
          </w:p>
          <w:p w:rsidR="009052FB" w:rsidRPr="00D05D89" w:rsidRDefault="009052FB" w:rsidP="00BD18D3">
            <w:pPr>
              <w:pStyle w:val="TableText"/>
              <w:ind w:left="284" w:hanging="284"/>
              <w:rPr>
                <w:szCs w:val="22"/>
              </w:rPr>
            </w:pPr>
            <w:r w:rsidRPr="00D05D89">
              <w:rPr>
                <w:szCs w:val="22"/>
              </w:rPr>
              <w:t>–</w:t>
            </w:r>
            <w:r w:rsidRPr="00D05D89">
              <w:rPr>
                <w:szCs w:val="22"/>
              </w:rPr>
              <w:tab/>
              <w:t>Soumission des</w:t>
            </w:r>
            <w:r w:rsidR="00BD18D3">
              <w:rPr>
                <w:szCs w:val="22"/>
              </w:rPr>
              <w:t xml:space="preserve"> contributions écrites (par courrier électronique à l'adresse </w:t>
            </w:r>
            <w:hyperlink r:id="rId21" w:history="1">
              <w:r w:rsidR="00BD18D3" w:rsidRPr="00BD18D3">
                <w:rPr>
                  <w:rStyle w:val="Hyperlink"/>
                  <w:szCs w:val="22"/>
                </w:rPr>
                <w:t>tsbfgml5g@itu.int</w:t>
              </w:r>
            </w:hyperlink>
            <w:r w:rsidR="00BD18D3">
              <w:rPr>
                <w:szCs w:val="22"/>
              </w:rPr>
              <w:t>).</w:t>
            </w:r>
          </w:p>
        </w:tc>
      </w:tr>
    </w:tbl>
    <w:p w:rsidR="009052FB" w:rsidRPr="009052FB" w:rsidRDefault="00ED5625" w:rsidP="000223C0">
      <w:pPr>
        <w:rPr>
          <w:bCs/>
        </w:rPr>
      </w:pPr>
      <w:r>
        <w:rPr>
          <w:bCs/>
        </w:rPr>
        <w:t>Je vous souhaite un atelier et une réunion du Groupe spécialisé FG-ML5G constructifs et agréables.</w:t>
      </w:r>
    </w:p>
    <w:p w:rsidR="008E2BCB" w:rsidRPr="00BE0EA1" w:rsidRDefault="008E2BCB" w:rsidP="00200A78">
      <w:pPr>
        <w:rPr>
          <w:bCs/>
          <w:lang w:val="fr-CH"/>
        </w:rPr>
      </w:pPr>
      <w:r w:rsidRPr="00BE0EA1">
        <w:rPr>
          <w:bCs/>
          <w:lang w:val="fr-CH"/>
        </w:rPr>
        <w:t>Veuillez agréer, Madame, Monsieur, l'assurance de ma considération distinguée.</w:t>
      </w:r>
    </w:p>
    <w:p w:rsidR="00552DEF" w:rsidRPr="00BE5752" w:rsidRDefault="00BE5752" w:rsidP="001F4816">
      <w:pPr>
        <w:spacing w:before="240" w:after="120"/>
        <w:rPr>
          <w:i/>
          <w:iCs/>
          <w:lang w:val="fr-CH"/>
        </w:rPr>
      </w:pPr>
      <w:bookmarkStart w:id="2" w:name="_GoBack"/>
      <w:r w:rsidRPr="00BE5752">
        <w:rPr>
          <w:i/>
          <w:iCs/>
          <w:lang w:val="fr-CH"/>
        </w:rPr>
        <w:t>(</w:t>
      </w:r>
      <w:proofErr w:type="gramStart"/>
      <w:r w:rsidRPr="00BE5752">
        <w:rPr>
          <w:i/>
          <w:iCs/>
          <w:lang w:val="fr-CH"/>
        </w:rPr>
        <w:t>signé</w:t>
      </w:r>
      <w:proofErr w:type="gramEnd"/>
      <w:r w:rsidRPr="00BE5752">
        <w:rPr>
          <w:i/>
          <w:iCs/>
          <w:lang w:val="fr-CH"/>
        </w:rPr>
        <w:t>)</w:t>
      </w:r>
    </w:p>
    <w:bookmarkEnd w:id="2"/>
    <w:p w:rsidR="00517A03" w:rsidRPr="00BE0EA1" w:rsidRDefault="008E2BCB" w:rsidP="00200A78">
      <w:pPr>
        <w:rPr>
          <w:lang w:val="fr-CH"/>
        </w:rPr>
      </w:pPr>
      <w:r w:rsidRPr="00BE0EA1">
        <w:rPr>
          <w:lang w:val="fr-CH"/>
        </w:rPr>
        <w:t>Chaesub Lee</w:t>
      </w:r>
      <w:r w:rsidRPr="00BE0EA1">
        <w:rPr>
          <w:lang w:val="fr-CH"/>
        </w:rPr>
        <w:br/>
        <w:t xml:space="preserve">Directeur du Bureau de la normalisation </w:t>
      </w:r>
      <w:r w:rsidRPr="00BE0EA1">
        <w:rPr>
          <w:lang w:val="fr-CH"/>
        </w:rPr>
        <w:br/>
        <w:t>des télécommunications</w:t>
      </w:r>
    </w:p>
    <w:sectPr w:rsidR="00517A03" w:rsidRPr="00BE0EA1" w:rsidSect="00A15179">
      <w:headerReference w:type="default" r:id="rId22"/>
      <w:footerReference w:type="first" r:id="rId2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77E" w:rsidRDefault="006B577E">
      <w:r>
        <w:separator/>
      </w:r>
    </w:p>
  </w:endnote>
  <w:endnote w:type="continuationSeparator" w:id="0">
    <w:p w:rsidR="006B577E" w:rsidRDefault="006B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Century Gothic"/>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77E" w:rsidRDefault="006B577E">
      <w:r>
        <w:t>____________________</w:t>
      </w:r>
    </w:p>
  </w:footnote>
  <w:footnote w:type="continuationSeparator" w:id="0">
    <w:p w:rsidR="006B577E" w:rsidRDefault="006B5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F8620D" w:rsidP="00CB5F03">
    <w:pPr>
      <w:pStyle w:val="Header"/>
      <w:spacing w:after="240"/>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8E2BCB">
      <w:rPr>
        <w:noProof/>
        <w:sz w:val="18"/>
        <w:szCs w:val="16"/>
      </w:rPr>
      <w:br/>
      <w:t>Circulaire TSB 1</w:t>
    </w:r>
    <w:r w:rsidR="00CB5F03">
      <w:rPr>
        <w:noProof/>
        <w:sz w:val="18"/>
        <w:szCs w:val="16"/>
      </w:rPr>
      <w:t>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7E"/>
    <w:rsid w:val="000039EE"/>
    <w:rsid w:val="00005622"/>
    <w:rsid w:val="000223C0"/>
    <w:rsid w:val="0002519E"/>
    <w:rsid w:val="00035B43"/>
    <w:rsid w:val="000369A8"/>
    <w:rsid w:val="00062F63"/>
    <w:rsid w:val="000758B3"/>
    <w:rsid w:val="00085F5A"/>
    <w:rsid w:val="000B0D96"/>
    <w:rsid w:val="000B59D8"/>
    <w:rsid w:val="000C1F6B"/>
    <w:rsid w:val="000C25CC"/>
    <w:rsid w:val="000C56BE"/>
    <w:rsid w:val="000F41B1"/>
    <w:rsid w:val="001026FD"/>
    <w:rsid w:val="001077FD"/>
    <w:rsid w:val="0011567D"/>
    <w:rsid w:val="00115DD7"/>
    <w:rsid w:val="00167472"/>
    <w:rsid w:val="00167F92"/>
    <w:rsid w:val="00173738"/>
    <w:rsid w:val="001A231D"/>
    <w:rsid w:val="001B79A3"/>
    <w:rsid w:val="001F4816"/>
    <w:rsid w:val="00200A78"/>
    <w:rsid w:val="002152A3"/>
    <w:rsid w:val="00260537"/>
    <w:rsid w:val="00283327"/>
    <w:rsid w:val="002A0E16"/>
    <w:rsid w:val="002E395D"/>
    <w:rsid w:val="00301A5B"/>
    <w:rsid w:val="003131F0"/>
    <w:rsid w:val="00333A80"/>
    <w:rsid w:val="00341117"/>
    <w:rsid w:val="00364E95"/>
    <w:rsid w:val="00372875"/>
    <w:rsid w:val="003B18D7"/>
    <w:rsid w:val="003B1E80"/>
    <w:rsid w:val="003B66E8"/>
    <w:rsid w:val="003E1C07"/>
    <w:rsid w:val="003F09F5"/>
    <w:rsid w:val="004033F1"/>
    <w:rsid w:val="00414B0C"/>
    <w:rsid w:val="00415FCC"/>
    <w:rsid w:val="00423C21"/>
    <w:rsid w:val="004257AC"/>
    <w:rsid w:val="004267C1"/>
    <w:rsid w:val="0043711B"/>
    <w:rsid w:val="00457709"/>
    <w:rsid w:val="004977C9"/>
    <w:rsid w:val="004B732E"/>
    <w:rsid w:val="004D51F4"/>
    <w:rsid w:val="004D64E0"/>
    <w:rsid w:val="004E3AE8"/>
    <w:rsid w:val="005120A2"/>
    <w:rsid w:val="0051210D"/>
    <w:rsid w:val="005136D2"/>
    <w:rsid w:val="00517A03"/>
    <w:rsid w:val="00552DEF"/>
    <w:rsid w:val="005A3DD9"/>
    <w:rsid w:val="005B1DFC"/>
    <w:rsid w:val="00601682"/>
    <w:rsid w:val="00611A04"/>
    <w:rsid w:val="00625E79"/>
    <w:rsid w:val="006333F7"/>
    <w:rsid w:val="006427A1"/>
    <w:rsid w:val="00644741"/>
    <w:rsid w:val="00656C0A"/>
    <w:rsid w:val="00661B10"/>
    <w:rsid w:val="00697BC1"/>
    <w:rsid w:val="006A11A8"/>
    <w:rsid w:val="006A6FFE"/>
    <w:rsid w:val="006B577E"/>
    <w:rsid w:val="006C5A91"/>
    <w:rsid w:val="00716BBC"/>
    <w:rsid w:val="007321BC"/>
    <w:rsid w:val="00760063"/>
    <w:rsid w:val="00775E4B"/>
    <w:rsid w:val="0079553B"/>
    <w:rsid w:val="00795679"/>
    <w:rsid w:val="007A40FE"/>
    <w:rsid w:val="007F40F4"/>
    <w:rsid w:val="008022F3"/>
    <w:rsid w:val="00810105"/>
    <w:rsid w:val="008157E0"/>
    <w:rsid w:val="00850477"/>
    <w:rsid w:val="00850C4B"/>
    <w:rsid w:val="00854E1D"/>
    <w:rsid w:val="00887FA6"/>
    <w:rsid w:val="008C4397"/>
    <w:rsid w:val="008C465A"/>
    <w:rsid w:val="008E2BCB"/>
    <w:rsid w:val="008F2C9B"/>
    <w:rsid w:val="009052FB"/>
    <w:rsid w:val="00923CD6"/>
    <w:rsid w:val="00935AA8"/>
    <w:rsid w:val="00971C9A"/>
    <w:rsid w:val="009B2B46"/>
    <w:rsid w:val="009D51FA"/>
    <w:rsid w:val="009F1E23"/>
    <w:rsid w:val="00A15179"/>
    <w:rsid w:val="00A51537"/>
    <w:rsid w:val="00A5280F"/>
    <w:rsid w:val="00A60FC1"/>
    <w:rsid w:val="00A91869"/>
    <w:rsid w:val="00A97C37"/>
    <w:rsid w:val="00AC37B5"/>
    <w:rsid w:val="00AD752F"/>
    <w:rsid w:val="00AF08A4"/>
    <w:rsid w:val="00B27B41"/>
    <w:rsid w:val="00B42659"/>
    <w:rsid w:val="00B65DB1"/>
    <w:rsid w:val="00B8573E"/>
    <w:rsid w:val="00BB24C0"/>
    <w:rsid w:val="00BD18D3"/>
    <w:rsid w:val="00BD6ECF"/>
    <w:rsid w:val="00BE0EA1"/>
    <w:rsid w:val="00BE5752"/>
    <w:rsid w:val="00C26F2E"/>
    <w:rsid w:val="00C302E3"/>
    <w:rsid w:val="00C45376"/>
    <w:rsid w:val="00C9028F"/>
    <w:rsid w:val="00CA0416"/>
    <w:rsid w:val="00CB1125"/>
    <w:rsid w:val="00CB5F03"/>
    <w:rsid w:val="00CD042E"/>
    <w:rsid w:val="00CF2560"/>
    <w:rsid w:val="00CF5B46"/>
    <w:rsid w:val="00D46B68"/>
    <w:rsid w:val="00D542A5"/>
    <w:rsid w:val="00DC3D47"/>
    <w:rsid w:val="00DD77DA"/>
    <w:rsid w:val="00E06C61"/>
    <w:rsid w:val="00E13DB3"/>
    <w:rsid w:val="00E2408B"/>
    <w:rsid w:val="00E35AF0"/>
    <w:rsid w:val="00E62CEA"/>
    <w:rsid w:val="00E72AE1"/>
    <w:rsid w:val="00ED5625"/>
    <w:rsid w:val="00ED6A7A"/>
    <w:rsid w:val="00EE4C36"/>
    <w:rsid w:val="00EF4601"/>
    <w:rsid w:val="00F346CE"/>
    <w:rsid w:val="00F34F98"/>
    <w:rsid w:val="00F40540"/>
    <w:rsid w:val="00F67402"/>
    <w:rsid w:val="00F766A2"/>
    <w:rsid w:val="00F8620D"/>
    <w:rsid w:val="00F91186"/>
    <w:rsid w:val="00F9451D"/>
    <w:rsid w:val="00FA19AF"/>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54A0FBC-3DF5-45D7-B415-E434A55B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8E2BC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styleId="FollowedHyperlink">
    <w:name w:val="FollowedHyperlink"/>
    <w:basedOn w:val="DefaultParagraphFont"/>
    <w:semiHidden/>
    <w:unhideWhenUsed/>
    <w:rsid w:val="00E35A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fr/ITU-T/jca/imt2020/Pages/default.aspx" TargetMode="External"/><Relationship Id="rId18" Type="http://schemas.openxmlformats.org/officeDocument/2006/relationships/hyperlink" Target="mailto:travel@itu.int" TargetMode="External"/><Relationship Id="rId3" Type="http://schemas.openxmlformats.org/officeDocument/2006/relationships/styles" Target="styles.xml"/><Relationship Id="rId21" Type="http://schemas.openxmlformats.org/officeDocument/2006/relationships/hyperlink" Target="mailto:tsbfgml5g@itu.int" TargetMode="External"/><Relationship Id="rId7" Type="http://schemas.openxmlformats.org/officeDocument/2006/relationships/endnotes" Target="endnotes.xml"/><Relationship Id="rId12" Type="http://schemas.openxmlformats.org/officeDocument/2006/relationships/hyperlink" Target="https://www.itu.int/fr/ITU-T/studygroups/2017-2020/13/Pages/default.aspx" TargetMode="External"/><Relationship Id="rId17" Type="http://schemas.openxmlformats.org/officeDocument/2006/relationships/hyperlink" Target="mailto:tsbfgml5g@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fr/delegates-corner/Pages/default.aspx" TargetMode="External"/><Relationship Id="rId20" Type="http://schemas.openxmlformats.org/officeDocument/2006/relationships/hyperlink" Target="https://www.itu.int/en/ITU-T/focusgroups/ml5g/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studygroups/2017-2020/11/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4/CRM/xreg/web/Registration.aspx?Event=C-00005971" TargetMode="External"/><Relationship Id="rId23" Type="http://schemas.openxmlformats.org/officeDocument/2006/relationships/footer" Target="footer1.xml"/><Relationship Id="rId10" Type="http://schemas.openxmlformats.org/officeDocument/2006/relationships/hyperlink" Target="https://www.itu.int/en/ITU-T/focusgroups/ml5g/Pages/default.aspx" TargetMode="External"/><Relationship Id="rId19" Type="http://schemas.openxmlformats.org/officeDocument/2006/relationships/hyperlink" Target="http://itu.int/en/ITU-T/info/Documents/Visa-support-letter_MODEL.pdf" TargetMode="External"/><Relationship Id="rId4" Type="http://schemas.openxmlformats.org/officeDocument/2006/relationships/settings" Target="settings.xml"/><Relationship Id="rId9" Type="http://schemas.openxmlformats.org/officeDocument/2006/relationships/hyperlink" Target="mailto:tsbfgml5@itu.int" TargetMode="External"/><Relationship Id="rId14" Type="http://schemas.openxmlformats.org/officeDocument/2006/relationships/hyperlink" Target="https://www.itu.int/en/ITU-T/focusgroups/ml5g/Pages/default.aspx"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3587E-1B03-4925-AF7E-1F99E98C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85</TotalTime>
  <Pages>2</Pages>
  <Words>797</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6261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Millet, Lia</cp:lastModifiedBy>
  <cp:revision>23</cp:revision>
  <cp:lastPrinted>2019-04-26T15:38:00Z</cp:lastPrinted>
  <dcterms:created xsi:type="dcterms:W3CDTF">2019-04-23T07:19:00Z</dcterms:created>
  <dcterms:modified xsi:type="dcterms:W3CDTF">2019-04-26T15:38:00Z</dcterms:modified>
</cp:coreProperties>
</file>