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E40C0E" w:rsidRPr="006255EF" w:rsidTr="007E42A8">
        <w:tc>
          <w:tcPr>
            <w:tcW w:w="10065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8"/>
              <w:gridCol w:w="4902"/>
            </w:tblGrid>
            <w:tr w:rsidR="00E40C0E" w:rsidRPr="006255EF" w:rsidTr="007E42A8">
              <w:tc>
                <w:tcPr>
                  <w:tcW w:w="4898" w:type="dxa"/>
                  <w:shd w:val="clear" w:color="auto" w:fill="auto"/>
                </w:tcPr>
                <w:p w:rsidR="00E40C0E" w:rsidRPr="006255EF" w:rsidRDefault="00E40C0E" w:rsidP="00E40C0E">
                  <w:pPr>
                    <w:rPr>
                      <w:rFonts w:cstheme="minorHAnsi"/>
                      <w:b/>
                      <w:bCs/>
                      <w:color w:val="808080"/>
                      <w:sz w:val="28"/>
                      <w:szCs w:val="28"/>
                    </w:rPr>
                  </w:pPr>
                  <w:r w:rsidRPr="00E40C0E">
                    <w:rPr>
                      <w:rFonts w:cstheme="minorHAnsi"/>
                      <w:b/>
                      <w:bCs/>
                      <w:color w:val="808080"/>
                      <w:sz w:val="28"/>
                      <w:szCs w:val="28"/>
                    </w:rPr>
                    <w:t xml:space="preserve">Oficina de Normalización </w:t>
                  </w:r>
                  <w:r>
                    <w:rPr>
                      <w:rFonts w:cstheme="minorHAnsi"/>
                      <w:b/>
                      <w:bCs/>
                      <w:color w:val="808080"/>
                      <w:sz w:val="28"/>
                      <w:szCs w:val="28"/>
                    </w:rPr>
                    <w:br/>
                  </w:r>
                  <w:r w:rsidRPr="00E40C0E">
                    <w:rPr>
                      <w:rFonts w:cstheme="minorHAnsi"/>
                      <w:b/>
                      <w:bCs/>
                      <w:color w:val="808080"/>
                      <w:sz w:val="28"/>
                      <w:szCs w:val="28"/>
                    </w:rPr>
                    <w:t>de las Telecomunicaciones (TSB)</w:t>
                  </w:r>
                </w:p>
              </w:tc>
              <w:tc>
                <w:tcPr>
                  <w:tcW w:w="4902" w:type="dxa"/>
                  <w:shd w:val="clear" w:color="auto" w:fill="auto"/>
                </w:tcPr>
                <w:p w:rsidR="00E40C0E" w:rsidRPr="006255EF" w:rsidRDefault="00E40C0E" w:rsidP="00E40C0E">
                  <w:pPr>
                    <w:jc w:val="right"/>
                    <w:rPr>
                      <w:rFonts w:cstheme="minorHAnsi"/>
                      <w:b/>
                      <w:bCs/>
                      <w:color w:val="808080"/>
                      <w:sz w:val="28"/>
                      <w:szCs w:val="28"/>
                    </w:rPr>
                  </w:pPr>
                  <w:r w:rsidRPr="00E40C0E">
                    <w:rPr>
                      <w:rFonts w:cstheme="minorHAnsi"/>
                      <w:b/>
                      <w:bCs/>
                      <w:color w:val="808080"/>
                      <w:sz w:val="28"/>
                      <w:szCs w:val="28"/>
                    </w:rPr>
                    <w:t>Oficina de Desarrollo</w:t>
                  </w:r>
                  <w:r>
                    <w:rPr>
                      <w:rFonts w:cstheme="minorHAnsi"/>
                      <w:b/>
                      <w:bCs/>
                      <w:color w:val="808080"/>
                      <w:sz w:val="28"/>
                      <w:szCs w:val="28"/>
                    </w:rPr>
                    <w:br/>
                  </w:r>
                  <w:r w:rsidRPr="00E40C0E">
                    <w:rPr>
                      <w:rFonts w:cstheme="minorHAnsi"/>
                      <w:b/>
                      <w:bCs/>
                      <w:color w:val="808080"/>
                      <w:sz w:val="28"/>
                      <w:szCs w:val="28"/>
                    </w:rPr>
                    <w:t>de las Telecomunicaciones (BDT)</w:t>
                  </w:r>
                </w:p>
              </w:tc>
            </w:tr>
          </w:tbl>
          <w:p w:rsidR="00E40C0E" w:rsidRPr="006255EF" w:rsidRDefault="00E40C0E" w:rsidP="007E42A8">
            <w:pPr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E40C0E" w:rsidRPr="006255EF" w:rsidTr="007E42A8">
        <w:tc>
          <w:tcPr>
            <w:tcW w:w="10065" w:type="dxa"/>
            <w:shd w:val="clear" w:color="auto" w:fill="auto"/>
          </w:tcPr>
          <w:p w:rsidR="00E40C0E" w:rsidRPr="006255EF" w:rsidRDefault="00E40C0E" w:rsidP="007E42A8">
            <w:pPr>
              <w:spacing w:before="0"/>
              <w:rPr>
                <w:rFonts w:cstheme="minorHAnsi"/>
              </w:rPr>
            </w:pPr>
          </w:p>
        </w:tc>
      </w:tr>
    </w:tbl>
    <w:p w:rsidR="00E40C0E" w:rsidRDefault="00E40C0E" w:rsidP="00E26C0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E26C0C" w:rsidRDefault="00E26C0C" w:rsidP="00E26C0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</w:r>
      <w:r w:rsidRPr="00E26C0C">
        <w:t>Ginebra, 1 de abril de 2019</w:t>
      </w:r>
    </w:p>
    <w:p w:rsidR="00B16067" w:rsidRPr="00BA5CAA" w:rsidRDefault="00B16067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</w:p>
    <w:tbl>
      <w:tblPr>
        <w:tblW w:w="1005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5180"/>
      </w:tblGrid>
      <w:tr w:rsidR="00B16067" w:rsidRPr="00BA5CAA" w:rsidTr="00B16067">
        <w:trPr>
          <w:cantSplit/>
          <w:trHeight w:val="340"/>
        </w:trPr>
        <w:tc>
          <w:tcPr>
            <w:tcW w:w="985" w:type="dxa"/>
          </w:tcPr>
          <w:p w:rsidR="00B16067" w:rsidRPr="00E40C0E" w:rsidRDefault="00B16067" w:rsidP="00E40C0E">
            <w:pPr>
              <w:spacing w:before="40"/>
              <w:ind w:left="57"/>
              <w:rPr>
                <w:lang w:val="es-ES"/>
              </w:rPr>
            </w:pPr>
            <w:r w:rsidRPr="00E40C0E">
              <w:rPr>
                <w:lang w:val="es-ES"/>
              </w:rPr>
              <w:t>Ref.:</w:t>
            </w:r>
          </w:p>
        </w:tc>
        <w:tc>
          <w:tcPr>
            <w:tcW w:w="9072" w:type="dxa"/>
            <w:gridSpan w:val="2"/>
          </w:tcPr>
          <w:p w:rsidR="00B16067" w:rsidRPr="00E40C0E" w:rsidRDefault="00B16067" w:rsidP="00E40C0E">
            <w:pPr>
              <w:spacing w:before="40"/>
              <w:ind w:left="57"/>
              <w:rPr>
                <w:b/>
                <w:bCs/>
                <w:szCs w:val="24"/>
                <w:lang w:val="es-ES"/>
              </w:rPr>
            </w:pPr>
            <w:r w:rsidRPr="00E40C0E">
              <w:rPr>
                <w:b/>
                <w:bCs/>
                <w:lang w:val="es-ES"/>
              </w:rPr>
              <w:t>Circular BDT</w:t>
            </w:r>
            <w:r w:rsidR="000E55F7" w:rsidRPr="00E40C0E">
              <w:rPr>
                <w:b/>
                <w:bCs/>
                <w:lang w:val="es-ES"/>
              </w:rPr>
              <w:t xml:space="preserve"> 20</w:t>
            </w:r>
            <w:r w:rsidRPr="00E40C0E">
              <w:rPr>
                <w:b/>
                <w:bCs/>
                <w:lang w:val="es-ES"/>
              </w:rPr>
              <w:t xml:space="preserve"> y Circular TSB 1</w:t>
            </w:r>
            <w:r w:rsidR="000E55F7" w:rsidRPr="00E40C0E">
              <w:rPr>
                <w:b/>
                <w:bCs/>
                <w:lang w:val="es-ES"/>
              </w:rPr>
              <w:t>60</w:t>
            </w:r>
          </w:p>
        </w:tc>
      </w:tr>
      <w:tr w:rsidR="00B16067" w:rsidRPr="00BA5CAA" w:rsidTr="00B16067">
        <w:trPr>
          <w:cantSplit/>
        </w:trPr>
        <w:tc>
          <w:tcPr>
            <w:tcW w:w="985" w:type="dxa"/>
          </w:tcPr>
          <w:p w:rsidR="00B16067" w:rsidRPr="00BA5CAA" w:rsidRDefault="00B16067" w:rsidP="00BB76B1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</w:p>
        </w:tc>
        <w:tc>
          <w:tcPr>
            <w:tcW w:w="3892" w:type="dxa"/>
          </w:tcPr>
          <w:p w:rsidR="00B16067" w:rsidRPr="00BA5CAA" w:rsidRDefault="00B16067" w:rsidP="00BB76B1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</w:p>
        </w:tc>
        <w:tc>
          <w:tcPr>
            <w:tcW w:w="5180" w:type="dxa"/>
          </w:tcPr>
          <w:p w:rsidR="00B16067" w:rsidRPr="00BA5CAA" w:rsidRDefault="00B16067" w:rsidP="00B160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Cs/>
                <w:lang w:val="es-ES"/>
              </w:rPr>
            </w:pPr>
            <w:r w:rsidRPr="00BA5CAA">
              <w:rPr>
                <w:b/>
                <w:bCs/>
                <w:lang w:val="es-ES"/>
              </w:rPr>
              <w:t>A:</w:t>
            </w:r>
          </w:p>
          <w:p w:rsidR="00B16067" w:rsidRPr="00BA5CAA" w:rsidRDefault="00B16067" w:rsidP="00B160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lang w:val="es-ES"/>
              </w:rPr>
            </w:pPr>
            <w:r w:rsidRPr="00BA5CAA">
              <w:rPr>
                <w:lang w:val="es-ES"/>
              </w:rPr>
              <w:t>–</w:t>
            </w:r>
            <w:r w:rsidRPr="00BA5CAA">
              <w:rPr>
                <w:lang w:val="es-ES"/>
              </w:rPr>
              <w:tab/>
              <w:t xml:space="preserve">las Administraciones de los Estados Miembros </w:t>
            </w:r>
            <w:r w:rsidRPr="00BA5CAA">
              <w:rPr>
                <w:lang w:val="es-ES"/>
              </w:rPr>
              <w:br/>
              <w:t>de la Unión;</w:t>
            </w:r>
          </w:p>
          <w:p w:rsidR="00B16067" w:rsidRPr="00BA5CAA" w:rsidRDefault="00B16067" w:rsidP="00B160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lang w:val="es-ES"/>
              </w:rPr>
            </w:pPr>
            <w:r w:rsidRPr="00BA5CAA">
              <w:rPr>
                <w:lang w:val="es-ES"/>
              </w:rPr>
              <w:t>–</w:t>
            </w:r>
            <w:r w:rsidRPr="00BA5CAA">
              <w:rPr>
                <w:lang w:val="es-ES"/>
              </w:rPr>
              <w:tab/>
              <w:t>los Ministerios y Organismos Reguladores;</w:t>
            </w:r>
          </w:p>
          <w:p w:rsidR="00B16067" w:rsidRPr="00BA5CAA" w:rsidRDefault="00B16067" w:rsidP="00B160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lang w:val="es-ES"/>
              </w:rPr>
            </w:pPr>
            <w:r w:rsidRPr="00BA5CAA">
              <w:rPr>
                <w:lang w:val="es-ES"/>
              </w:rPr>
              <w:t>–</w:t>
            </w:r>
            <w:r w:rsidRPr="00BA5CAA">
              <w:rPr>
                <w:lang w:val="es-ES"/>
              </w:rPr>
              <w:tab/>
              <w:t>los Miembros de Sector del UIT-T y del UIT</w:t>
            </w:r>
            <w:r w:rsidRPr="00BA5CAA">
              <w:rPr>
                <w:lang w:val="es-ES"/>
              </w:rPr>
              <w:noBreakHyphen/>
              <w:t>D;</w:t>
            </w:r>
          </w:p>
          <w:p w:rsidR="00B16067" w:rsidRPr="00BA5CAA" w:rsidRDefault="00B16067" w:rsidP="00B160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lang w:val="es-ES"/>
              </w:rPr>
            </w:pPr>
            <w:r w:rsidRPr="00BA5CAA">
              <w:rPr>
                <w:lang w:val="es-ES"/>
              </w:rPr>
              <w:t>–</w:t>
            </w:r>
            <w:r w:rsidRPr="00BA5CAA">
              <w:rPr>
                <w:lang w:val="es-ES"/>
              </w:rPr>
              <w:tab/>
              <w:t>los Asociados del UIT-T y del UIT</w:t>
            </w:r>
            <w:r w:rsidRPr="00BA5CAA">
              <w:rPr>
                <w:lang w:val="es-ES"/>
              </w:rPr>
              <w:noBreakHyphen/>
              <w:t>D;</w:t>
            </w:r>
          </w:p>
          <w:p w:rsidR="00B16067" w:rsidRPr="00BA5CAA" w:rsidRDefault="00B16067" w:rsidP="00E40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szCs w:val="24"/>
                <w:lang w:val="es-ES"/>
              </w:rPr>
            </w:pPr>
            <w:r w:rsidRPr="00BA5CAA">
              <w:rPr>
                <w:lang w:val="es-ES"/>
              </w:rPr>
              <w:t>–</w:t>
            </w:r>
            <w:r w:rsidRPr="00BA5CAA">
              <w:rPr>
                <w:lang w:val="es-ES"/>
              </w:rPr>
              <w:tab/>
              <w:t>las Instituciones Académicas de la UIT</w:t>
            </w:r>
          </w:p>
          <w:p w:rsidR="00B16067" w:rsidRPr="00BA5CAA" w:rsidRDefault="00B16067" w:rsidP="00B16067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  <w:r w:rsidRPr="00BA5CAA">
              <w:rPr>
                <w:b/>
                <w:lang w:val="es-ES"/>
              </w:rPr>
              <w:t>Copia</w:t>
            </w:r>
            <w:r w:rsidRPr="00BA5CAA">
              <w:rPr>
                <w:lang w:val="es-ES"/>
              </w:rPr>
              <w:t>:</w:t>
            </w:r>
          </w:p>
          <w:p w:rsidR="00B16067" w:rsidRPr="00BA5CAA" w:rsidRDefault="00B16067" w:rsidP="000E55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lang w:val="es-ES"/>
              </w:rPr>
            </w:pPr>
            <w:r w:rsidRPr="00BA5CAA">
              <w:rPr>
                <w:lang w:val="es-ES"/>
              </w:rPr>
              <w:t>–</w:t>
            </w:r>
            <w:r w:rsidRPr="00BA5CAA">
              <w:rPr>
                <w:lang w:val="es-ES"/>
              </w:rPr>
              <w:tab/>
              <w:t>a los Presidentes y Vicepresidentes de las Comisiones de Estudio del UIT-</w:t>
            </w:r>
            <w:r w:rsidR="000E55F7" w:rsidRPr="00BA5CAA">
              <w:rPr>
                <w:lang w:val="es-ES"/>
              </w:rPr>
              <w:t>D</w:t>
            </w:r>
            <w:r w:rsidRPr="00BA5CAA">
              <w:rPr>
                <w:lang w:val="es-ES"/>
              </w:rPr>
              <w:t xml:space="preserve"> y del UIT</w:t>
            </w:r>
            <w:r w:rsidRPr="00BA5CAA">
              <w:rPr>
                <w:lang w:val="es-ES"/>
              </w:rPr>
              <w:noBreakHyphen/>
            </w:r>
            <w:r w:rsidR="000E55F7" w:rsidRPr="00BA5CAA">
              <w:rPr>
                <w:lang w:val="es-ES"/>
              </w:rPr>
              <w:t>T</w:t>
            </w:r>
            <w:r w:rsidRPr="00BA5CAA">
              <w:rPr>
                <w:lang w:val="es-ES"/>
              </w:rPr>
              <w:t>;</w:t>
            </w:r>
          </w:p>
          <w:p w:rsidR="00B16067" w:rsidRPr="00BA5CAA" w:rsidRDefault="00B16067" w:rsidP="00E40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szCs w:val="24"/>
                <w:lang w:val="es-ES"/>
              </w:rPr>
            </w:pPr>
            <w:r w:rsidRPr="00BA5CAA">
              <w:rPr>
                <w:lang w:val="es-ES"/>
              </w:rPr>
              <w:t>–</w:t>
            </w:r>
            <w:r w:rsidRPr="00BA5CAA">
              <w:rPr>
                <w:lang w:val="es-ES"/>
              </w:rPr>
              <w:tab/>
              <w:t>al Director de la Oficina de Radiocomunicaciones</w:t>
            </w:r>
          </w:p>
        </w:tc>
      </w:tr>
      <w:tr w:rsidR="00B16067" w:rsidRPr="00BA5CAA" w:rsidTr="00B16067">
        <w:trPr>
          <w:cantSplit/>
          <w:trHeight w:val="680"/>
        </w:trPr>
        <w:tc>
          <w:tcPr>
            <w:tcW w:w="985" w:type="dxa"/>
          </w:tcPr>
          <w:p w:rsidR="00B16067" w:rsidRPr="00BA5CAA" w:rsidRDefault="00B16067" w:rsidP="00BB76B1">
            <w:pPr>
              <w:tabs>
                <w:tab w:val="left" w:pos="4111"/>
              </w:tabs>
              <w:ind w:left="57"/>
              <w:rPr>
                <w:bCs/>
                <w:szCs w:val="24"/>
                <w:lang w:val="es-ES"/>
              </w:rPr>
            </w:pPr>
            <w:r w:rsidRPr="00BA5CAA">
              <w:rPr>
                <w:lang w:val="es-ES"/>
              </w:rPr>
              <w:t>Asunto:</w:t>
            </w:r>
          </w:p>
        </w:tc>
        <w:tc>
          <w:tcPr>
            <w:tcW w:w="9072" w:type="dxa"/>
            <w:gridSpan w:val="2"/>
          </w:tcPr>
          <w:p w:rsidR="00B16067" w:rsidRPr="00BA5CAA" w:rsidRDefault="00A1509F" w:rsidP="00E40C0E">
            <w:pPr>
              <w:ind w:left="57"/>
              <w:rPr>
                <w:szCs w:val="24"/>
                <w:lang w:val="es-ES"/>
              </w:rPr>
            </w:pPr>
            <w:r w:rsidRPr="00E40C0E">
              <w:rPr>
                <w:b/>
                <w:bCs/>
                <w:lang w:val="es-ES"/>
              </w:rPr>
              <w:t>Foro</w:t>
            </w:r>
            <w:r w:rsidR="00B16067" w:rsidRPr="00E40C0E">
              <w:rPr>
                <w:b/>
                <w:bCs/>
                <w:lang w:val="es-ES"/>
              </w:rPr>
              <w:t xml:space="preserve"> de la UIT sobre "</w:t>
            </w:r>
            <w:r w:rsidRPr="00E40C0E">
              <w:rPr>
                <w:b/>
                <w:bCs/>
                <w:lang w:val="es-ES"/>
              </w:rPr>
              <w:t>Internet de las cosas: futuras aplicaciones y servicios. Perspectiva de 2030</w:t>
            </w:r>
            <w:r w:rsidR="00B16067" w:rsidRPr="00E40C0E">
              <w:rPr>
                <w:b/>
                <w:bCs/>
                <w:lang w:val="es-ES"/>
              </w:rPr>
              <w:t>"</w:t>
            </w:r>
            <w:r w:rsidRPr="00E40C0E">
              <w:rPr>
                <w:b/>
                <w:bCs/>
                <w:lang w:val="es-ES"/>
              </w:rPr>
              <w:t xml:space="preserve">/4º </w:t>
            </w:r>
            <w:r w:rsidR="00E0440F">
              <w:rPr>
                <w:b/>
                <w:bCs/>
                <w:lang w:val="es-ES"/>
              </w:rPr>
              <w:t>T</w:t>
            </w:r>
            <w:r w:rsidR="00E0440F" w:rsidRPr="00E40C0E">
              <w:rPr>
                <w:b/>
                <w:bCs/>
                <w:lang w:val="es-ES"/>
              </w:rPr>
              <w:t xml:space="preserve">aller </w:t>
            </w:r>
            <w:r w:rsidRPr="00E40C0E">
              <w:rPr>
                <w:b/>
                <w:bCs/>
                <w:lang w:val="es-ES"/>
              </w:rPr>
              <w:t xml:space="preserve">de la UIT sobre Redes 2030 </w:t>
            </w:r>
            <w:r w:rsidR="00B16067" w:rsidRPr="00E40C0E">
              <w:rPr>
                <w:b/>
                <w:bCs/>
                <w:lang w:val="es-ES"/>
              </w:rPr>
              <w:t>(</w:t>
            </w:r>
            <w:r w:rsidR="000E55F7" w:rsidRPr="00E40C0E">
              <w:rPr>
                <w:b/>
                <w:bCs/>
                <w:lang w:val="es-ES"/>
              </w:rPr>
              <w:t>San Petersburgo</w:t>
            </w:r>
            <w:r w:rsidR="00361400" w:rsidRPr="00E40C0E">
              <w:rPr>
                <w:b/>
                <w:bCs/>
                <w:lang w:val="es-ES"/>
              </w:rPr>
              <w:t xml:space="preserve"> (</w:t>
            </w:r>
            <w:r w:rsidR="000E55F7" w:rsidRPr="00E40C0E">
              <w:rPr>
                <w:b/>
                <w:bCs/>
                <w:lang w:val="es-ES"/>
              </w:rPr>
              <w:t>Federación de Rusia</w:t>
            </w:r>
            <w:r w:rsidR="00361400" w:rsidRPr="00E40C0E">
              <w:rPr>
                <w:b/>
                <w:bCs/>
                <w:lang w:val="es-ES"/>
              </w:rPr>
              <w:t>)</w:t>
            </w:r>
            <w:r w:rsidR="00B16067" w:rsidRPr="00E40C0E">
              <w:rPr>
                <w:b/>
                <w:bCs/>
                <w:lang w:val="es-ES"/>
              </w:rPr>
              <w:t xml:space="preserve">, </w:t>
            </w:r>
            <w:r w:rsidR="00AA5750" w:rsidRPr="00E40C0E">
              <w:rPr>
                <w:b/>
                <w:bCs/>
                <w:lang w:val="es-ES"/>
              </w:rPr>
              <w:br/>
            </w:r>
            <w:r w:rsidR="000E55F7" w:rsidRPr="00E40C0E">
              <w:rPr>
                <w:b/>
                <w:bCs/>
                <w:lang w:val="es-ES"/>
              </w:rPr>
              <w:t>21-23</w:t>
            </w:r>
            <w:r w:rsidR="00B16067" w:rsidRPr="00E40C0E">
              <w:rPr>
                <w:b/>
                <w:bCs/>
                <w:lang w:val="es-ES"/>
              </w:rPr>
              <w:t xml:space="preserve"> de </w:t>
            </w:r>
            <w:r w:rsidR="000E55F7" w:rsidRPr="00E40C0E">
              <w:rPr>
                <w:b/>
                <w:bCs/>
                <w:lang w:val="es-ES"/>
              </w:rPr>
              <w:t>mayo</w:t>
            </w:r>
            <w:r w:rsidR="00B16067" w:rsidRPr="00E40C0E">
              <w:rPr>
                <w:b/>
                <w:bCs/>
                <w:lang w:val="es-ES"/>
              </w:rPr>
              <w:t xml:space="preserve"> de 201</w:t>
            </w:r>
            <w:r w:rsidR="000E55F7" w:rsidRPr="00E40C0E">
              <w:rPr>
                <w:b/>
                <w:bCs/>
                <w:lang w:val="es-ES"/>
              </w:rPr>
              <w:t>9</w:t>
            </w:r>
            <w:r w:rsidR="00B16067" w:rsidRPr="00E40C0E">
              <w:rPr>
                <w:b/>
                <w:bCs/>
                <w:lang w:val="es-ES"/>
              </w:rPr>
              <w:t>)</w:t>
            </w:r>
          </w:p>
        </w:tc>
      </w:tr>
    </w:tbl>
    <w:p w:rsidR="00E20463" w:rsidRPr="00BA5CAA" w:rsidRDefault="00E20463" w:rsidP="00D25D1D">
      <w:pPr>
        <w:pStyle w:val="Normalaftertitle0"/>
        <w:rPr>
          <w:lang w:val="es-ES"/>
        </w:rPr>
      </w:pPr>
      <w:r w:rsidRPr="00BA5CAA">
        <w:rPr>
          <w:lang w:val="es-ES"/>
        </w:rPr>
        <w:t>Muy Señora mía/Muy Señor mío</w:t>
      </w:r>
      <w:r w:rsidR="00D25D1D">
        <w:rPr>
          <w:lang w:val="es-ES"/>
        </w:rPr>
        <w:t>:</w:t>
      </w:r>
    </w:p>
    <w:p w:rsidR="008A0334" w:rsidRPr="00BA5CAA" w:rsidRDefault="00E20463" w:rsidP="00D317F8">
      <w:pPr>
        <w:rPr>
          <w:lang w:val="es-ES"/>
        </w:rPr>
      </w:pPr>
      <w:r w:rsidRPr="00BA5CAA">
        <w:rPr>
          <w:lang w:val="es-ES"/>
        </w:rPr>
        <w:t>1</w:t>
      </w:r>
      <w:r w:rsidRPr="00BA5CAA">
        <w:rPr>
          <w:lang w:val="es-ES"/>
        </w:rPr>
        <w:tab/>
      </w:r>
      <w:r w:rsidR="00A1509F" w:rsidRPr="00BA5CAA">
        <w:rPr>
          <w:lang w:val="es-ES"/>
        </w:rPr>
        <w:t>Nos complace</w:t>
      </w:r>
      <w:r w:rsidRPr="00BA5CAA">
        <w:rPr>
          <w:lang w:val="es-ES"/>
        </w:rPr>
        <w:t xml:space="preserve"> informarle </w:t>
      </w:r>
      <w:r w:rsidR="00E52BE9">
        <w:rPr>
          <w:lang w:val="es-ES"/>
        </w:rPr>
        <w:t xml:space="preserve">de </w:t>
      </w:r>
      <w:r w:rsidRPr="00BA5CAA">
        <w:rPr>
          <w:lang w:val="es-ES"/>
        </w:rPr>
        <w:t xml:space="preserve">que </w:t>
      </w:r>
      <w:r w:rsidR="00A1509F" w:rsidRPr="00BA5CAA">
        <w:rPr>
          <w:lang w:val="es-ES"/>
        </w:rPr>
        <w:t xml:space="preserve">el </w:t>
      </w:r>
      <w:r w:rsidR="00A1509F" w:rsidRPr="00D317F8">
        <w:rPr>
          <w:b/>
          <w:bCs/>
          <w:lang w:val="es-ES"/>
        </w:rPr>
        <w:t xml:space="preserve">Foro de la UIT sobre "Internet de las cosas: futuras aplicaciones y servicios. Perspectiva de 2030"/4º </w:t>
      </w:r>
      <w:r w:rsidR="00E0440F" w:rsidRPr="00D317F8">
        <w:rPr>
          <w:b/>
          <w:bCs/>
          <w:lang w:val="es-ES"/>
        </w:rPr>
        <w:t xml:space="preserve">Taller </w:t>
      </w:r>
      <w:r w:rsidR="00A1509F" w:rsidRPr="00D317F8">
        <w:rPr>
          <w:b/>
          <w:bCs/>
          <w:lang w:val="es-ES"/>
        </w:rPr>
        <w:t>de la UIT sobre Redes 2030</w:t>
      </w:r>
      <w:r w:rsidR="00A1509F" w:rsidRPr="00BA5CAA">
        <w:rPr>
          <w:lang w:val="es-ES"/>
        </w:rPr>
        <w:t>, será organizado conjuntamente por la Unión Internacional de Telecomunicaciones (UIT) y PJSC Rostelecom</w:t>
      </w:r>
      <w:r w:rsidR="008A0334" w:rsidRPr="00BA5CAA">
        <w:rPr>
          <w:lang w:val="es-ES"/>
        </w:rPr>
        <w:t xml:space="preserve"> con el apoyo de la Universidad Estatal de Telecomunicaciones </w:t>
      </w:r>
      <w:r w:rsidR="008A0334" w:rsidRPr="00D317F8">
        <w:rPr>
          <w:lang w:val="es-ES"/>
        </w:rPr>
        <w:t>Bonch-Bruevich de San Petersburgo, del 21 al 23 de mayo de 201</w:t>
      </w:r>
      <w:r w:rsidR="00D317F8" w:rsidRPr="00D317F8">
        <w:rPr>
          <w:lang w:val="es-ES"/>
        </w:rPr>
        <w:t>9</w:t>
      </w:r>
      <w:r w:rsidR="008A0334" w:rsidRPr="00D317F8">
        <w:rPr>
          <w:lang w:val="es-ES"/>
        </w:rPr>
        <w:t xml:space="preserve"> en San Petersburgo (Federación de Rusia) en la sede de la Universidad (Avenida Bolshevikov 22, edificio 1).</w:t>
      </w:r>
    </w:p>
    <w:p w:rsidR="00E20463" w:rsidRPr="00BA5CAA" w:rsidRDefault="008A0334" w:rsidP="00E0440F">
      <w:pPr>
        <w:rPr>
          <w:lang w:val="es-ES"/>
        </w:rPr>
      </w:pPr>
      <w:r w:rsidRPr="00BA5CAA">
        <w:rPr>
          <w:lang w:val="es-ES"/>
        </w:rPr>
        <w:t>El Foro/</w:t>
      </w:r>
      <w:r w:rsidR="00E0440F">
        <w:rPr>
          <w:lang w:val="es-ES"/>
        </w:rPr>
        <w:t>T</w:t>
      </w:r>
      <w:r w:rsidR="00E0440F" w:rsidRPr="00BA5CAA">
        <w:rPr>
          <w:lang w:val="es-ES"/>
        </w:rPr>
        <w:t xml:space="preserve">aller </w:t>
      </w:r>
      <w:r w:rsidR="00DA175E">
        <w:rPr>
          <w:lang w:val="es-ES"/>
        </w:rPr>
        <w:t>coincidirá</w:t>
      </w:r>
      <w:r w:rsidRPr="00BA5CAA">
        <w:rPr>
          <w:lang w:val="es-ES"/>
        </w:rPr>
        <w:t xml:space="preserve"> con la cuarta reunión del </w:t>
      </w:r>
      <w:hyperlink r:id="rId8" w:history="1">
        <w:r w:rsidRPr="00E40C0E">
          <w:rPr>
            <w:rStyle w:val="Hyperlink"/>
          </w:rPr>
          <w:t>Grupo Temático del UIT-T sobre Tecnologías de red 2030 (FG NET2030)</w:t>
        </w:r>
      </w:hyperlink>
      <w:r w:rsidRPr="00E40C0E">
        <w:rPr>
          <w:lang w:val="es-ES"/>
        </w:rPr>
        <w:t xml:space="preserve"> que se celebrará las tardes del 21 y el 22 de mayo</w:t>
      </w:r>
      <w:r w:rsidR="0062352E" w:rsidRPr="00E40C0E">
        <w:rPr>
          <w:lang w:val="es-ES"/>
        </w:rPr>
        <w:t>, y el 23 de m</w:t>
      </w:r>
      <w:r w:rsidRPr="00E40C0E">
        <w:rPr>
          <w:lang w:val="es-ES"/>
        </w:rPr>
        <w:t>ayo de</w:t>
      </w:r>
      <w:r w:rsidR="00E0440F">
        <w:rPr>
          <w:lang w:val="es-ES"/>
        </w:rPr>
        <w:t> </w:t>
      </w:r>
      <w:r w:rsidRPr="00E40C0E">
        <w:rPr>
          <w:lang w:val="es-ES"/>
        </w:rPr>
        <w:t>2019</w:t>
      </w:r>
      <w:r w:rsidR="00D07C39" w:rsidRPr="00BA5CAA">
        <w:rPr>
          <w:lang w:val="es-ES"/>
        </w:rPr>
        <w:t>.</w:t>
      </w:r>
    </w:p>
    <w:p w:rsidR="00E20463" w:rsidRPr="005A207C" w:rsidRDefault="00E20463" w:rsidP="00E40C0E">
      <w:r w:rsidRPr="00BA5CAA">
        <w:rPr>
          <w:lang w:val="es-ES"/>
        </w:rPr>
        <w:t>2</w:t>
      </w:r>
      <w:r w:rsidRPr="00BA5CAA">
        <w:rPr>
          <w:lang w:val="es-ES"/>
        </w:rPr>
        <w:tab/>
      </w:r>
      <w:r w:rsidR="003660E9" w:rsidRPr="00BA5CAA">
        <w:rPr>
          <w:lang w:val="es-ES"/>
        </w:rPr>
        <w:t xml:space="preserve">El </w:t>
      </w:r>
      <w:r w:rsidR="003660E9" w:rsidRPr="00BA5CAA">
        <w:rPr>
          <w:b/>
          <w:bCs/>
          <w:lang w:val="es-ES"/>
        </w:rPr>
        <w:t>Foro/</w:t>
      </w:r>
      <w:r w:rsidR="00E0440F">
        <w:rPr>
          <w:b/>
          <w:bCs/>
          <w:lang w:val="es-ES"/>
        </w:rPr>
        <w:t>T</w:t>
      </w:r>
      <w:r w:rsidR="00E0440F" w:rsidRPr="00BA5CAA">
        <w:rPr>
          <w:b/>
          <w:bCs/>
          <w:lang w:val="es-ES"/>
        </w:rPr>
        <w:t xml:space="preserve">aller </w:t>
      </w:r>
      <w:r w:rsidR="003660E9" w:rsidRPr="00BA5CAA">
        <w:rPr>
          <w:b/>
          <w:bCs/>
          <w:lang w:val="es-ES"/>
        </w:rPr>
        <w:t>de la UIT</w:t>
      </w:r>
      <w:r w:rsidR="003660E9" w:rsidRPr="00BA5CAA">
        <w:rPr>
          <w:lang w:val="es-ES"/>
        </w:rPr>
        <w:t xml:space="preserve"> se celebrará en ruso e inglés. La organización anfitriona ofrecerá interpretación simultánea en ambos eventos</w:t>
      </w:r>
      <w:r w:rsidR="005A207C">
        <w:rPr>
          <w:lang w:val="es-ES"/>
        </w:rPr>
        <w:t>.</w:t>
      </w:r>
    </w:p>
    <w:p w:rsidR="0063444C" w:rsidRPr="00BA5CAA" w:rsidRDefault="00E20463" w:rsidP="005A207C">
      <w:pPr>
        <w:rPr>
          <w:lang w:val="es-ES"/>
        </w:rPr>
      </w:pPr>
      <w:r w:rsidRPr="00BA5CAA">
        <w:rPr>
          <w:bCs/>
          <w:lang w:val="es-ES"/>
        </w:rPr>
        <w:t>3</w:t>
      </w:r>
      <w:r w:rsidRPr="00BA5CAA">
        <w:rPr>
          <w:lang w:val="es-ES"/>
        </w:rPr>
        <w:tab/>
      </w:r>
      <w:r w:rsidR="003660E9" w:rsidRPr="00BA5CAA">
        <w:rPr>
          <w:lang w:val="es-ES"/>
        </w:rPr>
        <w:t xml:space="preserve">El </w:t>
      </w:r>
      <w:r w:rsidR="003660E9" w:rsidRPr="00BA5CAA">
        <w:rPr>
          <w:b/>
          <w:bCs/>
          <w:lang w:val="es-ES"/>
        </w:rPr>
        <w:t>Foro/</w:t>
      </w:r>
      <w:r w:rsidR="00E0440F">
        <w:rPr>
          <w:b/>
          <w:bCs/>
          <w:lang w:val="es-ES"/>
        </w:rPr>
        <w:t>T</w:t>
      </w:r>
      <w:r w:rsidR="00E0440F" w:rsidRPr="00BA5CAA">
        <w:rPr>
          <w:b/>
          <w:bCs/>
          <w:lang w:val="es-ES"/>
        </w:rPr>
        <w:t xml:space="preserve">aller </w:t>
      </w:r>
      <w:r w:rsidR="003660E9" w:rsidRPr="00BA5CAA">
        <w:rPr>
          <w:b/>
          <w:bCs/>
          <w:lang w:val="es-ES"/>
        </w:rPr>
        <w:t>de la UIT</w:t>
      </w:r>
      <w:r w:rsidR="003660E9" w:rsidRPr="00BA5CAA">
        <w:rPr>
          <w:lang w:val="es-ES"/>
        </w:rPr>
        <w:t xml:space="preserve"> está abierto a los Estados Miembros de la UIT, los Miembros de Sector, los Asociados y las Instituciones Académicas, así como a cualquier ciudadano de un país Miembro de la UIT que desee contribuir a los trabajos. Esto incluye a las personas que también sean miembros de organizaciones internacionales, regionales y nacionales. La participaci</w:t>
      </w:r>
      <w:r w:rsidR="00DA175E">
        <w:rPr>
          <w:lang w:val="es-ES"/>
        </w:rPr>
        <w:t>ón en el Foro/</w:t>
      </w:r>
      <w:r w:rsidR="00E0440F">
        <w:rPr>
          <w:lang w:val="es-ES"/>
        </w:rPr>
        <w:t>Taller</w:t>
      </w:r>
      <w:r w:rsidR="00E0440F" w:rsidRPr="00BA5CAA">
        <w:rPr>
          <w:lang w:val="es-ES"/>
        </w:rPr>
        <w:t xml:space="preserve"> </w:t>
      </w:r>
      <w:r w:rsidR="003660E9" w:rsidRPr="00BA5CAA">
        <w:rPr>
          <w:lang w:val="es-ES"/>
        </w:rPr>
        <w:t>es gratuita.</w:t>
      </w:r>
    </w:p>
    <w:p w:rsidR="00E20463" w:rsidRPr="00BA5CAA" w:rsidRDefault="00E20463" w:rsidP="005A207C">
      <w:pPr>
        <w:rPr>
          <w:lang w:val="es-ES"/>
        </w:rPr>
      </w:pPr>
      <w:r w:rsidRPr="00BA5CAA">
        <w:rPr>
          <w:lang w:val="es-ES"/>
        </w:rPr>
        <w:lastRenderedPageBreak/>
        <w:t>4</w:t>
      </w:r>
      <w:r w:rsidRPr="00BA5CAA">
        <w:rPr>
          <w:lang w:val="es-ES"/>
        </w:rPr>
        <w:tab/>
      </w:r>
      <w:r w:rsidR="003A4582" w:rsidRPr="00BA5CAA">
        <w:rPr>
          <w:lang w:val="es-ES"/>
        </w:rPr>
        <w:t xml:space="preserve">El </w:t>
      </w:r>
      <w:r w:rsidR="003A4582" w:rsidRPr="00D317F8">
        <w:t>Foro/</w:t>
      </w:r>
      <w:r w:rsidR="00E0440F" w:rsidRPr="00D317F8">
        <w:t xml:space="preserve">Taller </w:t>
      </w:r>
      <w:r w:rsidR="003A4582" w:rsidRPr="00D317F8">
        <w:t>de la UIT</w:t>
      </w:r>
      <w:r w:rsidR="003A4582" w:rsidRPr="00BA5CAA">
        <w:rPr>
          <w:lang w:val="es-ES"/>
        </w:rPr>
        <w:t xml:space="preserve"> tiene por objeto proporcionar una plataforma que permita a los representantes de la industria y el sector académico intercambiar ideas sobre las redes de comunicaciones de datos para 2030 y años </w:t>
      </w:r>
      <w:r w:rsidR="00A860BE">
        <w:rPr>
          <w:lang w:val="es-ES"/>
        </w:rPr>
        <w:t>sucesivos</w:t>
      </w:r>
      <w:r w:rsidR="003A4582" w:rsidRPr="00BA5CAA">
        <w:rPr>
          <w:lang w:val="es-ES"/>
        </w:rPr>
        <w:t xml:space="preserve">. Los ponentes y los participantes podrán compartir sus </w:t>
      </w:r>
      <w:r w:rsidR="009764C0" w:rsidRPr="00BA5CAA">
        <w:rPr>
          <w:lang w:val="es-ES"/>
        </w:rPr>
        <w:t>ideas</w:t>
      </w:r>
      <w:r w:rsidR="003A4582" w:rsidRPr="00BA5CAA">
        <w:rPr>
          <w:lang w:val="es-ES"/>
        </w:rPr>
        <w:t xml:space="preserve">, </w:t>
      </w:r>
      <w:r w:rsidR="009764C0" w:rsidRPr="00BA5CAA">
        <w:rPr>
          <w:lang w:val="es-ES"/>
        </w:rPr>
        <w:t>opiniones, conclusiones</w:t>
      </w:r>
      <w:r w:rsidR="003A4582" w:rsidRPr="00BA5CAA">
        <w:rPr>
          <w:lang w:val="es-ES"/>
        </w:rPr>
        <w:t xml:space="preserve">, </w:t>
      </w:r>
      <w:r w:rsidR="009764C0" w:rsidRPr="00BA5CAA">
        <w:rPr>
          <w:lang w:val="es-ES"/>
        </w:rPr>
        <w:t xml:space="preserve">últimas investigaciones, así como las descripciones </w:t>
      </w:r>
      <w:r w:rsidR="003A4582" w:rsidRPr="00BA5CAA">
        <w:rPr>
          <w:lang w:val="es-ES"/>
        </w:rPr>
        <w:t>y los objetivos de sus proyectos</w:t>
      </w:r>
      <w:r w:rsidRPr="00BA5CAA">
        <w:rPr>
          <w:lang w:val="es-ES"/>
        </w:rPr>
        <w:t>.</w:t>
      </w:r>
    </w:p>
    <w:p w:rsidR="00E20463" w:rsidRPr="00BA5CAA" w:rsidRDefault="00E20463" w:rsidP="005A207C">
      <w:pPr>
        <w:rPr>
          <w:lang w:val="es-ES"/>
        </w:rPr>
      </w:pPr>
      <w:r w:rsidRPr="00BA5CAA">
        <w:rPr>
          <w:lang w:val="es-ES"/>
        </w:rPr>
        <w:t>5</w:t>
      </w:r>
      <w:r w:rsidRPr="00BA5CAA">
        <w:rPr>
          <w:lang w:val="es-ES"/>
        </w:rPr>
        <w:tab/>
      </w:r>
      <w:r w:rsidR="00CD5B4F" w:rsidRPr="00BA5CAA">
        <w:rPr>
          <w:lang w:val="es-ES"/>
        </w:rPr>
        <w:t xml:space="preserve">La información relativa a este </w:t>
      </w:r>
      <w:r w:rsidR="00CD5B4F" w:rsidRPr="00A860BE">
        <w:rPr>
          <w:lang w:val="es-ES"/>
        </w:rPr>
        <w:t>Foro/</w:t>
      </w:r>
      <w:r w:rsidR="00E0440F">
        <w:rPr>
          <w:lang w:val="es-ES"/>
        </w:rPr>
        <w:t>T</w:t>
      </w:r>
      <w:r w:rsidR="00E0440F" w:rsidRPr="00A860BE">
        <w:rPr>
          <w:lang w:val="es-ES"/>
        </w:rPr>
        <w:t xml:space="preserve">aller </w:t>
      </w:r>
      <w:r w:rsidR="00CD5B4F" w:rsidRPr="00A860BE">
        <w:rPr>
          <w:lang w:val="es-ES"/>
        </w:rPr>
        <w:t>de la UIT</w:t>
      </w:r>
      <w:r w:rsidR="00CD5B4F" w:rsidRPr="00BA5CAA">
        <w:rPr>
          <w:lang w:val="es-ES"/>
        </w:rPr>
        <w:t xml:space="preserve">, </w:t>
      </w:r>
      <w:r w:rsidR="008906DD" w:rsidRPr="00BA5CAA">
        <w:rPr>
          <w:lang w:val="es-ES"/>
        </w:rPr>
        <w:t xml:space="preserve">entre ellos los </w:t>
      </w:r>
      <w:r w:rsidR="00A860BE">
        <w:rPr>
          <w:lang w:val="es-ES"/>
        </w:rPr>
        <w:t>contenidos</w:t>
      </w:r>
      <w:r w:rsidR="00CD5B4F" w:rsidRPr="00BA5CAA">
        <w:rPr>
          <w:lang w:val="es-ES"/>
        </w:rPr>
        <w:t xml:space="preserve"> de carácter práctico y </w:t>
      </w:r>
      <w:r w:rsidR="008906DD" w:rsidRPr="00BA5CAA">
        <w:rPr>
          <w:lang w:val="es-ES"/>
        </w:rPr>
        <w:t>el</w:t>
      </w:r>
      <w:r w:rsidR="00CD5B4F" w:rsidRPr="00BA5CAA">
        <w:rPr>
          <w:lang w:val="es-ES"/>
        </w:rPr>
        <w:t xml:space="preserve"> programa </w:t>
      </w:r>
      <w:r w:rsidR="008906DD" w:rsidRPr="00BA5CAA">
        <w:rPr>
          <w:lang w:val="es-ES"/>
        </w:rPr>
        <w:t xml:space="preserve">de actos, </w:t>
      </w:r>
      <w:r w:rsidR="00CD5B4F" w:rsidRPr="00BA5CAA">
        <w:rPr>
          <w:lang w:val="es-ES"/>
        </w:rPr>
        <w:t>se publicará en las páginas web del Foro/</w:t>
      </w:r>
      <w:r w:rsidR="00E0440F">
        <w:rPr>
          <w:lang w:val="es-ES"/>
        </w:rPr>
        <w:t>T</w:t>
      </w:r>
      <w:r w:rsidR="00E0440F" w:rsidRPr="00BA5CAA">
        <w:rPr>
          <w:lang w:val="es-ES"/>
        </w:rPr>
        <w:t>aller</w:t>
      </w:r>
      <w:r w:rsidR="00CD5B4F" w:rsidRPr="00BA5CAA">
        <w:rPr>
          <w:lang w:val="es-ES"/>
        </w:rPr>
        <w:t xml:space="preserve">: </w:t>
      </w:r>
      <w:hyperlink r:id="rId9" w:history="1">
        <w:r w:rsidR="00E40C0E" w:rsidRPr="00024876">
          <w:rPr>
            <w:rStyle w:val="Hyperlink"/>
          </w:rPr>
          <w:t>https://www.itu.int/en/ITU-D/Regional-Presence/CIS/Pages/EVENTS/2019/05_St_Petersburg/05_St_Petersburg.aspx</w:t>
        </w:r>
      </w:hyperlink>
      <w:r w:rsidR="00CD5B4F" w:rsidRPr="00E40C0E">
        <w:rPr>
          <w:lang w:val="es-ES"/>
        </w:rPr>
        <w:t xml:space="preserve"> y</w:t>
      </w:r>
      <w:r w:rsidR="00E40C0E" w:rsidRPr="00E40C0E">
        <w:rPr>
          <w:lang w:val="es-ES"/>
        </w:rPr>
        <w:t xml:space="preserve"> </w:t>
      </w:r>
      <w:hyperlink r:id="rId10" w:history="1">
        <w:r w:rsidR="00E40C0E" w:rsidRPr="00024876">
          <w:rPr>
            <w:rStyle w:val="Hyperlink"/>
          </w:rPr>
          <w:t>https://www.itu.int/en/ITU-T/Workshops-and-Seminars/201905/Pages/default.aspx</w:t>
        </w:r>
      </w:hyperlink>
      <w:r w:rsidR="00CD5B4F" w:rsidRPr="00E40C0E">
        <w:rPr>
          <w:lang w:val="es-ES"/>
        </w:rPr>
        <w:t xml:space="preserve">. Estas páginas se actualizarán periódicamente con la información nueva o modificada. Se invita a los participantes a consultar con regularidad la página web y sus </w:t>
      </w:r>
      <w:r w:rsidR="008906DD" w:rsidRPr="00E40C0E">
        <w:rPr>
          <w:lang w:val="es-ES"/>
        </w:rPr>
        <w:t>actualizaciones</w:t>
      </w:r>
      <w:r w:rsidR="00CD5B4F" w:rsidRPr="00E40C0E">
        <w:rPr>
          <w:lang w:val="es-ES"/>
        </w:rPr>
        <w:t>.</w:t>
      </w:r>
    </w:p>
    <w:p w:rsidR="00E20463" w:rsidRPr="00BA5CAA" w:rsidRDefault="00E20463" w:rsidP="00E40C0E">
      <w:pPr>
        <w:rPr>
          <w:lang w:val="es-ES"/>
        </w:rPr>
      </w:pPr>
      <w:r w:rsidRPr="00BA5CAA">
        <w:rPr>
          <w:lang w:val="es-ES"/>
        </w:rPr>
        <w:t>6</w:t>
      </w:r>
      <w:r w:rsidRPr="00BA5CAA">
        <w:rPr>
          <w:lang w:val="es-ES"/>
        </w:rPr>
        <w:tab/>
      </w:r>
      <w:r w:rsidR="00301E1C">
        <w:rPr>
          <w:lang w:val="es-ES"/>
        </w:rPr>
        <w:t>E</w:t>
      </w:r>
      <w:r w:rsidR="005C4BFC">
        <w:rPr>
          <w:lang w:val="es-ES"/>
        </w:rPr>
        <w:t>n e</w:t>
      </w:r>
      <w:r w:rsidRPr="00BA5CAA">
        <w:rPr>
          <w:lang w:val="es-ES"/>
        </w:rPr>
        <w:t>l lugar de celebración del evento</w:t>
      </w:r>
      <w:r w:rsidR="00301E1C" w:rsidRPr="00301E1C">
        <w:rPr>
          <w:lang w:val="es-ES"/>
        </w:rPr>
        <w:t xml:space="preserve"> </w:t>
      </w:r>
      <w:r w:rsidR="005C4BFC">
        <w:rPr>
          <w:lang w:val="es-ES"/>
        </w:rPr>
        <w:t xml:space="preserve">habrá instalada una </w:t>
      </w:r>
      <w:r w:rsidR="00301E1C" w:rsidRPr="00BA5CAA">
        <w:rPr>
          <w:lang w:val="es-ES"/>
        </w:rPr>
        <w:t>red de área local inalámbrica</w:t>
      </w:r>
      <w:r w:rsidRPr="00BA5CAA">
        <w:rPr>
          <w:lang w:val="es-ES"/>
        </w:rPr>
        <w:t>.</w:t>
      </w:r>
    </w:p>
    <w:p w:rsidR="00E20463" w:rsidRPr="00E40C0E" w:rsidRDefault="00E20463" w:rsidP="005A207C">
      <w:pPr>
        <w:rPr>
          <w:lang w:val="es-ES"/>
        </w:rPr>
      </w:pPr>
      <w:r w:rsidRPr="00BA5CAA">
        <w:rPr>
          <w:lang w:val="es-ES"/>
        </w:rPr>
        <w:t>7</w:t>
      </w:r>
      <w:r w:rsidRPr="00BA5CAA">
        <w:rPr>
          <w:lang w:val="es-ES"/>
        </w:rPr>
        <w:tab/>
      </w:r>
      <w:r w:rsidR="008906DD" w:rsidRPr="00BA5CAA">
        <w:rPr>
          <w:lang w:val="es-ES"/>
        </w:rPr>
        <w:t xml:space="preserve">La inscripción tiene carácter obligatorio para todos los participantes que proyecten </w:t>
      </w:r>
      <w:r w:rsidR="008906DD" w:rsidRPr="00E40C0E">
        <w:rPr>
          <w:lang w:val="es-ES"/>
        </w:rPr>
        <w:t>asistir a este Foro/</w:t>
      </w:r>
      <w:r w:rsidR="00E0440F">
        <w:rPr>
          <w:lang w:val="es-ES"/>
        </w:rPr>
        <w:t>T</w:t>
      </w:r>
      <w:r w:rsidR="00E0440F" w:rsidRPr="00E40C0E">
        <w:rPr>
          <w:lang w:val="es-ES"/>
        </w:rPr>
        <w:t>aller</w:t>
      </w:r>
      <w:r w:rsidR="008906DD" w:rsidRPr="00E40C0E">
        <w:rPr>
          <w:lang w:val="es-ES"/>
        </w:rPr>
        <w:t xml:space="preserve">. Para facilitar </w:t>
      </w:r>
      <w:r w:rsidR="00A40189" w:rsidRPr="00E40C0E">
        <w:rPr>
          <w:lang w:val="es-ES"/>
        </w:rPr>
        <w:t>la adopción, por parte del</w:t>
      </w:r>
      <w:r w:rsidR="008906DD" w:rsidRPr="00E40C0E">
        <w:rPr>
          <w:lang w:val="es-ES"/>
        </w:rPr>
        <w:t xml:space="preserve"> anfitrión y la UIT</w:t>
      </w:r>
      <w:r w:rsidR="00A40189" w:rsidRPr="00E40C0E">
        <w:rPr>
          <w:lang w:val="es-ES"/>
        </w:rPr>
        <w:t>,</w:t>
      </w:r>
      <w:r w:rsidR="008906DD" w:rsidRPr="00E40C0E">
        <w:rPr>
          <w:lang w:val="es-ES"/>
        </w:rPr>
        <w:t xml:space="preserve"> </w:t>
      </w:r>
      <w:r w:rsidR="00A40189" w:rsidRPr="00E40C0E">
        <w:rPr>
          <w:lang w:val="es-ES"/>
        </w:rPr>
        <w:t>de</w:t>
      </w:r>
      <w:r w:rsidR="008906DD" w:rsidRPr="00E40C0E">
        <w:rPr>
          <w:lang w:val="es-ES"/>
        </w:rPr>
        <w:t xml:space="preserve"> las medidas necesarias para el correcto funcionamiento de este Foro/</w:t>
      </w:r>
      <w:r w:rsidR="00E0440F" w:rsidRPr="00E40C0E">
        <w:rPr>
          <w:lang w:val="es-ES"/>
        </w:rPr>
        <w:t>Taller</w:t>
      </w:r>
      <w:r w:rsidR="008906DD" w:rsidRPr="00E40C0E">
        <w:rPr>
          <w:lang w:val="es-ES"/>
        </w:rPr>
        <w:t xml:space="preserve">, se ruega a los delegados que se inscriban utilizando el </w:t>
      </w:r>
      <w:hyperlink r:id="rId11" w:history="1">
        <w:r w:rsidR="008906DD" w:rsidRPr="00E40C0E">
          <w:rPr>
            <w:rStyle w:val="Hyperlink"/>
          </w:rPr>
          <w:t>formulario en línea</w:t>
        </w:r>
      </w:hyperlink>
      <w:r w:rsidR="008906DD" w:rsidRPr="00E40C0E">
        <w:rPr>
          <w:lang w:val="es-ES"/>
        </w:rPr>
        <w:t xml:space="preserve"> </w:t>
      </w:r>
      <w:r w:rsidR="003203B9" w:rsidRPr="00E40C0E">
        <w:rPr>
          <w:lang w:val="es-ES"/>
        </w:rPr>
        <w:t>lo antes posible</w:t>
      </w:r>
      <w:r w:rsidR="00347D11" w:rsidRPr="00E40C0E">
        <w:rPr>
          <w:lang w:val="es-ES"/>
        </w:rPr>
        <w:t xml:space="preserve">, a más tardar el </w:t>
      </w:r>
      <w:r w:rsidR="00347D11" w:rsidRPr="00E40C0E">
        <w:rPr>
          <w:b/>
          <w:bCs/>
          <w:lang w:val="es-ES"/>
        </w:rPr>
        <w:t>19 de abril de 2019. Sírvase tener en cuenta que la preinscripción de los participantes sólo puede efectuarse en línea</w:t>
      </w:r>
      <w:r w:rsidR="00347D11" w:rsidRPr="00E40C0E">
        <w:rPr>
          <w:lang w:val="es-ES"/>
        </w:rPr>
        <w:t>.</w:t>
      </w:r>
    </w:p>
    <w:p w:rsidR="00AA5750" w:rsidRPr="00BA5CAA" w:rsidRDefault="00E20463" w:rsidP="00D317F8">
      <w:pPr>
        <w:rPr>
          <w:lang w:val="es-ES"/>
        </w:rPr>
      </w:pPr>
      <w:r w:rsidRPr="00BA5CAA">
        <w:rPr>
          <w:lang w:val="es-ES"/>
        </w:rPr>
        <w:t>8</w:t>
      </w:r>
      <w:r w:rsidRPr="00BA5CAA">
        <w:rPr>
          <w:lang w:val="es-ES"/>
        </w:rPr>
        <w:tab/>
        <w:t xml:space="preserve">Le recordamos que los ciudadanos procedentes de ciertos países necesitan visado para entrar y permanecer en </w:t>
      </w:r>
      <w:r w:rsidR="0023357D" w:rsidRPr="00BA5CAA">
        <w:rPr>
          <w:lang w:val="es-ES"/>
        </w:rPr>
        <w:t>la Federación de Rusia</w:t>
      </w:r>
      <w:r w:rsidRPr="00BA5CAA">
        <w:rPr>
          <w:lang w:val="es-ES"/>
        </w:rPr>
        <w:t xml:space="preserve">. </w:t>
      </w:r>
      <w:r w:rsidR="0023357D" w:rsidRPr="00BA5CAA">
        <w:rPr>
          <w:lang w:val="es-ES"/>
        </w:rPr>
        <w:t>Este visado</w:t>
      </w:r>
      <w:r w:rsidRPr="00BA5CAA">
        <w:rPr>
          <w:lang w:val="es-ES"/>
        </w:rPr>
        <w:t xml:space="preserve"> tendría que </w:t>
      </w:r>
      <w:r w:rsidR="0023357D" w:rsidRPr="00BA5CAA">
        <w:rPr>
          <w:lang w:val="es-ES"/>
        </w:rPr>
        <w:t>solicitarlo y obtenerlo</w:t>
      </w:r>
      <w:r w:rsidRPr="00BA5CAA">
        <w:rPr>
          <w:lang w:val="es-ES"/>
        </w:rPr>
        <w:t xml:space="preserve"> en la </w:t>
      </w:r>
      <w:r w:rsidR="0023357D" w:rsidRPr="00BA5CAA">
        <w:rPr>
          <w:lang w:val="es-ES"/>
        </w:rPr>
        <w:t>Oficina (</w:t>
      </w:r>
      <w:r w:rsidR="00D317F8">
        <w:rPr>
          <w:lang w:val="es-ES"/>
        </w:rPr>
        <w:t>e</w:t>
      </w:r>
      <w:r w:rsidRPr="00BA5CAA">
        <w:rPr>
          <w:lang w:val="es-ES"/>
        </w:rPr>
        <w:t xml:space="preserve">mbajada o </w:t>
      </w:r>
      <w:r w:rsidR="00D317F8">
        <w:rPr>
          <w:lang w:val="es-ES"/>
        </w:rPr>
        <w:t>c</w:t>
      </w:r>
      <w:r w:rsidRPr="00BA5CAA">
        <w:rPr>
          <w:lang w:val="es-ES"/>
        </w:rPr>
        <w:t>onsulado</w:t>
      </w:r>
      <w:r w:rsidR="0023357D" w:rsidRPr="00BA5CAA">
        <w:rPr>
          <w:lang w:val="es-ES"/>
        </w:rPr>
        <w:t>)</w:t>
      </w:r>
      <w:r w:rsidRPr="00BA5CAA">
        <w:rPr>
          <w:lang w:val="es-ES"/>
        </w:rPr>
        <w:t xml:space="preserve"> de </w:t>
      </w:r>
      <w:r w:rsidR="0023357D" w:rsidRPr="00BA5CAA">
        <w:rPr>
          <w:lang w:val="es-ES"/>
        </w:rPr>
        <w:t>la Federación de Rusia en su país</w:t>
      </w:r>
      <w:r w:rsidRPr="00BA5CAA">
        <w:rPr>
          <w:lang w:val="es-ES"/>
        </w:rPr>
        <w:t xml:space="preserve"> o, de no existir </w:t>
      </w:r>
      <w:r w:rsidR="00CF302B" w:rsidRPr="00BA5CAA">
        <w:rPr>
          <w:lang w:val="es-ES"/>
        </w:rPr>
        <w:t xml:space="preserve">en su país </w:t>
      </w:r>
      <w:r w:rsidRPr="00BA5CAA">
        <w:rPr>
          <w:lang w:val="es-ES"/>
        </w:rPr>
        <w:t xml:space="preserve">tal oficina, </w:t>
      </w:r>
      <w:r w:rsidR="0023357D" w:rsidRPr="00BA5CAA">
        <w:rPr>
          <w:lang w:val="es-ES"/>
        </w:rPr>
        <w:t>de la</w:t>
      </w:r>
      <w:r w:rsidRPr="00BA5CAA">
        <w:rPr>
          <w:lang w:val="es-ES"/>
        </w:rPr>
        <w:t xml:space="preserve"> </w:t>
      </w:r>
      <w:r w:rsidR="0023357D" w:rsidRPr="00BA5CAA">
        <w:rPr>
          <w:lang w:val="es-ES"/>
        </w:rPr>
        <w:t>más cercana</w:t>
      </w:r>
      <w:r w:rsidRPr="00BA5CAA">
        <w:rPr>
          <w:lang w:val="es-ES"/>
        </w:rPr>
        <w:t xml:space="preserve"> al país de partida. </w:t>
      </w:r>
      <w:r w:rsidR="0023357D" w:rsidRPr="00BA5CAA">
        <w:rPr>
          <w:lang w:val="es-ES"/>
        </w:rPr>
        <w:t xml:space="preserve">Dada la variabilidad de los plazos, le proponemos </w:t>
      </w:r>
      <w:r w:rsidR="00891A87" w:rsidRPr="00BA5CAA">
        <w:rPr>
          <w:lang w:val="es-ES"/>
        </w:rPr>
        <w:t xml:space="preserve">visite directamente la oficina de representación </w:t>
      </w:r>
      <w:r w:rsidR="00BA5CAA" w:rsidRPr="00BA5CAA">
        <w:rPr>
          <w:lang w:val="es-ES"/>
        </w:rPr>
        <w:t>idónea</w:t>
      </w:r>
      <w:r w:rsidR="00891A87" w:rsidRPr="00BA5CAA">
        <w:rPr>
          <w:lang w:val="es-ES"/>
        </w:rPr>
        <w:t xml:space="preserve"> y solicite </w:t>
      </w:r>
      <w:r w:rsidR="00CF302B">
        <w:rPr>
          <w:lang w:val="es-ES"/>
        </w:rPr>
        <w:t xml:space="preserve">el visado </w:t>
      </w:r>
      <w:r w:rsidR="00891A87" w:rsidRPr="00BA5CAA">
        <w:rPr>
          <w:lang w:val="es-ES"/>
        </w:rPr>
        <w:t>con la mayor antelación posible</w:t>
      </w:r>
      <w:r w:rsidRPr="00BA5CAA">
        <w:rPr>
          <w:lang w:val="es-ES"/>
        </w:rPr>
        <w:t>.</w:t>
      </w:r>
    </w:p>
    <w:p w:rsidR="004B0CF3" w:rsidRPr="004B0CF3" w:rsidRDefault="004B0CF3" w:rsidP="004B0CF3">
      <w:pPr>
        <w:rPr>
          <w:lang w:val="es-ES"/>
        </w:rPr>
      </w:pPr>
      <w:r w:rsidRPr="004B0CF3">
        <w:rPr>
          <w:lang w:val="es-ES"/>
        </w:rPr>
        <w:t xml:space="preserve">Se invita a los delegados a cumplimentar el formulario disponible en </w:t>
      </w:r>
      <w:hyperlink r:id="rId12" w:history="1">
        <w:r w:rsidRPr="004B0CF3">
          <w:rPr>
            <w:rStyle w:val="Hyperlink"/>
            <w:lang w:val="es-ES"/>
          </w:rPr>
          <w:t>practical information</w:t>
        </w:r>
      </w:hyperlink>
      <w:r w:rsidRPr="004B0CF3">
        <w:rPr>
          <w:lang w:val="es-ES"/>
        </w:rPr>
        <w:t xml:space="preserve"> y remitirlo por correo-e a la atención de la Sra. Vera Soloveva, de la Oficina Regional de la UIT para la CEI, a </w:t>
      </w:r>
      <w:hyperlink r:id="rId13" w:history="1">
        <w:r w:rsidRPr="004B0CF3">
          <w:rPr>
            <w:rStyle w:val="Hyperlink"/>
            <w:lang w:val="es-ES"/>
          </w:rPr>
          <w:t>itumoscow@itu.int</w:t>
        </w:r>
      </w:hyperlink>
      <w:r w:rsidRPr="004B0CF3">
        <w:rPr>
          <w:lang w:val="es-ES"/>
        </w:rPr>
        <w:t xml:space="preserve"> con copia a la TSB: </w:t>
      </w:r>
      <w:hyperlink r:id="rId14" w:history="1">
        <w:r w:rsidRPr="004B0CF3">
          <w:rPr>
            <w:rStyle w:val="Hyperlink"/>
            <w:lang w:val="es-ES"/>
          </w:rPr>
          <w:t>tsbfgnet2030@itu.int</w:t>
        </w:r>
      </w:hyperlink>
      <w:r w:rsidRPr="004B0CF3">
        <w:rPr>
          <w:lang w:val="es-ES"/>
        </w:rPr>
        <w:t xml:space="preserve">, indicando en el asunto </w:t>
      </w:r>
      <w:r>
        <w:rPr>
          <w:lang w:val="es-ES"/>
        </w:rPr>
        <w:t>"</w:t>
      </w:r>
      <w:r w:rsidRPr="004B0CF3">
        <w:rPr>
          <w:b/>
          <w:bCs/>
          <w:lang w:val="es-ES"/>
        </w:rPr>
        <w:t>Carta para la solicitud de visado</w:t>
      </w:r>
      <w:r>
        <w:rPr>
          <w:lang w:val="es-ES"/>
        </w:rPr>
        <w:t>"</w:t>
      </w:r>
      <w:r w:rsidRPr="004B0CF3">
        <w:rPr>
          <w:lang w:val="es-ES"/>
        </w:rPr>
        <w:t xml:space="preserve">, antes del </w:t>
      </w:r>
      <w:r w:rsidRPr="004B0CF3">
        <w:rPr>
          <w:b/>
          <w:bCs/>
          <w:lang w:val="es-ES"/>
        </w:rPr>
        <w:t>19 de abril de 2019</w:t>
      </w:r>
      <w:r w:rsidRPr="004B0CF3">
        <w:rPr>
          <w:lang w:val="es-ES"/>
        </w:rPr>
        <w:t>, fecha de finalización del plazo.</w:t>
      </w:r>
    </w:p>
    <w:p w:rsidR="00E20463" w:rsidRPr="00BA5CAA" w:rsidRDefault="00E20463" w:rsidP="00E20463">
      <w:pPr>
        <w:spacing w:after="600"/>
        <w:rPr>
          <w:lang w:val="es-ES"/>
        </w:rPr>
      </w:pPr>
      <w:r w:rsidRPr="00BA5CAA">
        <w:rPr>
          <w:lang w:val="es-ES"/>
        </w:rPr>
        <w:t>Atentamente,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37"/>
        <w:gridCol w:w="4802"/>
      </w:tblGrid>
      <w:tr w:rsidR="00E20463" w:rsidRPr="00BA5CAA" w:rsidTr="00113030">
        <w:trPr>
          <w:trHeight w:val="1464"/>
        </w:trPr>
        <w:tc>
          <w:tcPr>
            <w:tcW w:w="4837" w:type="dxa"/>
            <w:shd w:val="clear" w:color="auto" w:fill="auto"/>
          </w:tcPr>
          <w:p w:rsidR="00E20463" w:rsidRPr="00BA5CAA" w:rsidRDefault="00E20463" w:rsidP="00E40C0E">
            <w:pPr>
              <w:tabs>
                <w:tab w:val="left" w:pos="1418"/>
                <w:tab w:val="left" w:pos="1702"/>
                <w:tab w:val="left" w:pos="2160"/>
              </w:tabs>
              <w:spacing w:before="600"/>
              <w:ind w:right="92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BA5CAA">
              <w:rPr>
                <w:i/>
                <w:iCs/>
                <w:lang w:val="es-ES"/>
              </w:rPr>
              <w:t>(firmado)</w:t>
            </w:r>
          </w:p>
        </w:tc>
        <w:tc>
          <w:tcPr>
            <w:tcW w:w="4802" w:type="dxa"/>
            <w:shd w:val="clear" w:color="auto" w:fill="auto"/>
          </w:tcPr>
          <w:p w:rsidR="00E20463" w:rsidRPr="00BA5CAA" w:rsidRDefault="00E20463" w:rsidP="00E40C0E">
            <w:pPr>
              <w:tabs>
                <w:tab w:val="left" w:pos="1418"/>
                <w:tab w:val="left" w:pos="1702"/>
                <w:tab w:val="left" w:pos="2160"/>
              </w:tabs>
              <w:spacing w:before="600"/>
              <w:ind w:right="92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BA5CAA">
              <w:rPr>
                <w:i/>
                <w:iCs/>
                <w:lang w:val="es-ES"/>
              </w:rPr>
              <w:t>(firmado)</w:t>
            </w:r>
          </w:p>
        </w:tc>
      </w:tr>
      <w:tr w:rsidR="00E20463" w:rsidRPr="00BA5CAA" w:rsidTr="00113030">
        <w:tc>
          <w:tcPr>
            <w:tcW w:w="4837" w:type="dxa"/>
            <w:shd w:val="clear" w:color="auto" w:fill="auto"/>
          </w:tcPr>
          <w:p w:rsidR="00E20463" w:rsidRPr="00BA5CAA" w:rsidRDefault="00E20463" w:rsidP="001130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ind w:right="91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BA5CAA">
              <w:rPr>
                <w:rFonts w:ascii="Calibri" w:hAnsi="Calibri" w:cs="Arial"/>
                <w:szCs w:val="24"/>
                <w:lang w:val="es-ES" w:eastAsia="zh-CN"/>
              </w:rPr>
              <w:t>Chaesub Lee</w:t>
            </w:r>
            <w:r w:rsidRPr="00BA5CAA">
              <w:rPr>
                <w:rFonts w:ascii="Calibri" w:hAnsi="Calibri" w:cs="Arial"/>
                <w:szCs w:val="24"/>
                <w:lang w:val="es-ES" w:eastAsia="zh-CN"/>
              </w:rPr>
              <w:br/>
              <w:t xml:space="preserve">Director de la Oficina de Normalización </w:t>
            </w:r>
            <w:r w:rsidRPr="00BA5CAA">
              <w:rPr>
                <w:rFonts w:ascii="Calibri" w:hAnsi="Calibri" w:cs="Arial"/>
                <w:szCs w:val="24"/>
                <w:lang w:val="es-ES" w:eastAsia="zh-CN"/>
              </w:rPr>
              <w:br/>
              <w:t>de las Telecomunicaciones (TSB)</w:t>
            </w:r>
          </w:p>
        </w:tc>
        <w:tc>
          <w:tcPr>
            <w:tcW w:w="4802" w:type="dxa"/>
            <w:shd w:val="clear" w:color="auto" w:fill="auto"/>
          </w:tcPr>
          <w:p w:rsidR="00E20463" w:rsidRPr="00BA5CAA" w:rsidRDefault="00D650FA" w:rsidP="001130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ind w:right="91"/>
              <w:rPr>
                <w:rFonts w:ascii="Calibri" w:hAnsi="Calibri"/>
                <w:sz w:val="22"/>
                <w:szCs w:val="22"/>
                <w:lang w:val="es-ES"/>
              </w:rPr>
            </w:pPr>
            <w:r w:rsidRPr="00BA5CAA">
              <w:rPr>
                <w:rFonts w:ascii="Calibri" w:hAnsi="Calibri" w:cs="Arial"/>
                <w:szCs w:val="24"/>
                <w:lang w:val="es-ES" w:eastAsia="zh-CN"/>
              </w:rPr>
              <w:t>Doreen Bogdan-Martin</w:t>
            </w:r>
            <w:r w:rsidR="00E20463" w:rsidRPr="00BA5CAA">
              <w:rPr>
                <w:rFonts w:ascii="Calibri" w:hAnsi="Calibri" w:cs="Arial"/>
                <w:szCs w:val="24"/>
                <w:lang w:val="es-ES" w:eastAsia="zh-CN"/>
              </w:rPr>
              <w:br/>
              <w:t>Director</w:t>
            </w:r>
            <w:r w:rsidRPr="00BA5CAA">
              <w:rPr>
                <w:rFonts w:ascii="Calibri" w:hAnsi="Calibri" w:cs="Arial"/>
                <w:szCs w:val="24"/>
                <w:lang w:val="es-ES" w:eastAsia="zh-CN"/>
              </w:rPr>
              <w:t>a</w:t>
            </w:r>
            <w:r w:rsidR="00E20463" w:rsidRPr="00BA5CAA">
              <w:rPr>
                <w:rFonts w:ascii="Calibri" w:hAnsi="Calibri" w:cs="Arial"/>
                <w:szCs w:val="24"/>
                <w:lang w:val="es-ES" w:eastAsia="zh-CN"/>
              </w:rPr>
              <w:t xml:space="preserve"> de la Oficina de Desarrollo </w:t>
            </w:r>
            <w:r w:rsidR="00E20463" w:rsidRPr="00BA5CAA">
              <w:rPr>
                <w:rFonts w:ascii="Calibri" w:hAnsi="Calibri" w:cs="Arial"/>
                <w:szCs w:val="24"/>
                <w:lang w:val="es-ES" w:eastAsia="zh-CN"/>
              </w:rPr>
              <w:br/>
              <w:t>de las Telecomunicaciones (BDT)</w:t>
            </w:r>
          </w:p>
        </w:tc>
      </w:tr>
    </w:tbl>
    <w:p w:rsidR="00E20463" w:rsidRPr="00BA5CAA" w:rsidRDefault="00E2046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sectPr w:rsidR="00E20463" w:rsidRPr="00BA5CAA">
      <w:head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FB" w:rsidRDefault="00AF67FB">
      <w:r>
        <w:separator/>
      </w:r>
    </w:p>
  </w:endnote>
  <w:endnote w:type="continuationSeparator" w:id="0">
    <w:p w:rsidR="00AF67FB" w:rsidRDefault="00AF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E66" w:rsidRPr="00AA5750" w:rsidRDefault="006E0858" w:rsidP="00AA5750">
    <w:pPr>
      <w:pStyle w:val="FirstFooter"/>
      <w:ind w:left="-397" w:right="-397"/>
      <w:jc w:val="center"/>
      <w:rPr>
        <w:szCs w:val="18"/>
        <w:lang w:val="es-ES"/>
      </w:rPr>
    </w:pPr>
    <w:r w:rsidRPr="00DB11C0">
      <w:rPr>
        <w:szCs w:val="18"/>
        <w:lang w:val="es-ES"/>
      </w:rPr>
      <w:t>Unión Internacional de Telecomunicaciones • Place des Nations, CH</w:t>
    </w:r>
    <w:r w:rsidRPr="00DB11C0">
      <w:rPr>
        <w:szCs w:val="18"/>
        <w:lang w:val="es-ES"/>
      </w:rPr>
      <w:noBreakHyphen/>
      <w:t xml:space="preserve">1211 Ginebra 20, Suiza </w:t>
    </w:r>
    <w:r w:rsidRPr="00DB11C0">
      <w:rPr>
        <w:szCs w:val="18"/>
        <w:lang w:val="es-ES"/>
      </w:rPr>
      <w:br/>
      <w:t>Tel</w:t>
    </w:r>
    <w:r w:rsidR="00272529">
      <w:rPr>
        <w:szCs w:val="18"/>
        <w:lang w:val="es-ES"/>
      </w:rPr>
      <w:t>.</w:t>
    </w:r>
    <w:r w:rsidRPr="00DB11C0">
      <w:rPr>
        <w:szCs w:val="18"/>
        <w:lang w:val="es-ES"/>
      </w:rPr>
      <w:t xml:space="preserve">: +41 22 730 5111 • Fax: +41 22 733 7256 • Correo-e: </w:t>
    </w:r>
    <w:hyperlink r:id="rId1" w:history="1">
      <w:r w:rsidRPr="00DB11C0">
        <w:rPr>
          <w:rStyle w:val="Hyperlink"/>
          <w:lang w:val="es-ES"/>
        </w:rPr>
        <w:t>itumail@itu.int</w:t>
      </w:r>
    </w:hyperlink>
    <w:r w:rsidRPr="00DB11C0">
      <w:rPr>
        <w:szCs w:val="18"/>
        <w:lang w:val="es-ES"/>
      </w:rPr>
      <w:t xml:space="preserve"> • </w:t>
    </w:r>
    <w:hyperlink r:id="rId2" w:history="1">
      <w:r w:rsidRPr="00DB11C0">
        <w:rPr>
          <w:rStyle w:val="Hyperlink"/>
          <w:lang w:val="es-ES"/>
        </w:rPr>
        <w:t>www.itu.int</w:t>
      </w:r>
    </w:hyperlink>
    <w:r w:rsidRPr="00DB11C0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FB" w:rsidRDefault="00AF67FB">
      <w:r>
        <w:t>____________________</w:t>
      </w:r>
    </w:p>
  </w:footnote>
  <w:footnote w:type="continuationSeparator" w:id="0">
    <w:p w:rsidR="00AF67FB" w:rsidRDefault="00AF6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1A46D9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:rsidR="00E20463" w:rsidRPr="00303D62" w:rsidRDefault="00725D83" w:rsidP="00AA5750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 TSB</w:t>
    </w:r>
    <w:r w:rsidR="00E20463">
      <w:rPr>
        <w:rStyle w:val="PageNumber"/>
        <w:sz w:val="18"/>
        <w:szCs w:val="18"/>
      </w:rPr>
      <w:t xml:space="preserve"> 1</w:t>
    </w:r>
    <w:r w:rsidR="00AA5750">
      <w:rPr>
        <w:rStyle w:val="PageNumber"/>
        <w:sz w:val="18"/>
        <w:szCs w:val="18"/>
      </w:rPr>
      <w:t>60</w:t>
    </w:r>
    <w:r>
      <w:rPr>
        <w:rStyle w:val="PageNumber"/>
        <w:sz w:val="18"/>
        <w:szCs w:val="18"/>
      </w:rPr>
      <w:t xml:space="preserve"> </w:t>
    </w:r>
    <w:r>
      <w:rPr>
        <w:rStyle w:val="PageNumber"/>
        <w:rFonts w:cstheme="minorHAnsi"/>
        <w:sz w:val="18"/>
        <w:szCs w:val="18"/>
      </w:rPr>
      <w:t>l</w:t>
    </w:r>
    <w:r>
      <w:rPr>
        <w:rStyle w:val="PageNumber"/>
        <w:sz w:val="18"/>
        <w:szCs w:val="18"/>
      </w:rPr>
      <w:t xml:space="preserve"> Circular BDT</w:t>
    </w:r>
    <w:r w:rsidR="00AA5750">
      <w:rPr>
        <w:rStyle w:val="PageNumber"/>
        <w:sz w:val="18"/>
        <w:szCs w:val="18"/>
      </w:rPr>
      <w:t xml:space="preserve"> 2</w:t>
    </w:r>
    <w:r>
      <w:rPr>
        <w:rStyle w:val="PageNumber"/>
        <w:sz w:val="18"/>
        <w:szCs w:val="18"/>
      </w:rPr>
      <w:t>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jc w:val="center"/>
      <w:tblLook w:val="04A0" w:firstRow="1" w:lastRow="0" w:firstColumn="1" w:lastColumn="0" w:noHBand="0" w:noVBand="1"/>
    </w:tblPr>
    <w:tblGrid>
      <w:gridCol w:w="9640"/>
    </w:tblGrid>
    <w:tr w:rsidR="00E26C0C" w:rsidTr="007E42A8">
      <w:trPr>
        <w:jc w:val="center"/>
      </w:trPr>
      <w:tc>
        <w:tcPr>
          <w:tcW w:w="9640" w:type="dxa"/>
          <w:shd w:val="clear" w:color="auto" w:fill="auto"/>
        </w:tcPr>
        <w:p w:rsidR="00E26C0C" w:rsidRPr="00930FCB" w:rsidRDefault="00E26C0C" w:rsidP="00E26C0C">
          <w:pPr>
            <w:pStyle w:val="Header"/>
            <w:spacing w:line="360" w:lineRule="auto"/>
            <w:rPr>
              <w:rFonts w:cs="Calibri"/>
              <w:lang w:val="fr-CH"/>
            </w:rPr>
          </w:pPr>
          <w:r w:rsidRPr="00F1238A">
            <w:rPr>
              <w:noProof/>
              <w:lang w:val="en-US" w:eastAsia="zh-CN"/>
            </w:rPr>
            <w:drawing>
              <wp:inline distT="0" distB="0" distL="0" distR="0" wp14:anchorId="02DBDD13" wp14:editId="47BCDD52">
                <wp:extent cx="812165" cy="812165"/>
                <wp:effectExtent l="0" t="0" r="0" b="0"/>
                <wp:docPr id="1" name="Picture 1" descr="The International Teleocmmunication Union - Connecting the World." title="IT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he International Teleocmmunication Union - Connecting the World." title="IT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16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16067" w:rsidRPr="00E26C0C" w:rsidRDefault="00B16067" w:rsidP="00E40C0E">
    <w:pPr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7125"/>
    <w:multiLevelType w:val="hybridMultilevel"/>
    <w:tmpl w:val="C1AED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225F3C"/>
    <w:multiLevelType w:val="hybridMultilevel"/>
    <w:tmpl w:val="B62C6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fr-CH" w:vendorID="64" w:dllVersion="131078" w:nlCheck="1" w:checkStyle="0"/>
  <w:activeWritingStyle w:appName="MSWord" w:lang="es-ES_tradnl" w:vendorID="64" w:dllVersion="131078" w:nlCheck="1" w:checkStyle="1"/>
  <w:activeWritingStyle w:appName="MSWord" w:lang="en-GB" w:vendorID="64" w:dllVersion="131078" w:nlCheck="1" w:checkStyle="1"/>
  <w:activeWritingStyle w:appName="MSWord" w:lang="en-IN" w:vendorID="64" w:dllVersion="131078" w:nlCheck="1" w:checkStyle="1"/>
  <w:activeWritingStyle w:appName="MSWord" w:lang="en-US" w:vendorID="64" w:dllVersion="131078" w:nlCheck="1" w:checkStyle="1"/>
  <w:activeWritingStyle w:appName="MSWord" w:lang="es-CO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51"/>
    <w:rsid w:val="00002529"/>
    <w:rsid w:val="00056F9C"/>
    <w:rsid w:val="0009757E"/>
    <w:rsid w:val="000C382F"/>
    <w:rsid w:val="000E55F7"/>
    <w:rsid w:val="001173CC"/>
    <w:rsid w:val="001A46D9"/>
    <w:rsid w:val="001A54CC"/>
    <w:rsid w:val="001F0050"/>
    <w:rsid w:val="0023357D"/>
    <w:rsid w:val="00257FB4"/>
    <w:rsid w:val="00272529"/>
    <w:rsid w:val="002F396B"/>
    <w:rsid w:val="00301E1C"/>
    <w:rsid w:val="00303D62"/>
    <w:rsid w:val="00306D15"/>
    <w:rsid w:val="0031250A"/>
    <w:rsid w:val="003203B9"/>
    <w:rsid w:val="00335367"/>
    <w:rsid w:val="00341EF0"/>
    <w:rsid w:val="00347D11"/>
    <w:rsid w:val="00361400"/>
    <w:rsid w:val="003660E9"/>
    <w:rsid w:val="00370C2D"/>
    <w:rsid w:val="003A4582"/>
    <w:rsid w:val="003D1E8D"/>
    <w:rsid w:val="003D673B"/>
    <w:rsid w:val="003F2855"/>
    <w:rsid w:val="00401C20"/>
    <w:rsid w:val="00401C5D"/>
    <w:rsid w:val="004B0CF3"/>
    <w:rsid w:val="004C4144"/>
    <w:rsid w:val="004C5C40"/>
    <w:rsid w:val="004F52BF"/>
    <w:rsid w:val="00512832"/>
    <w:rsid w:val="00583FF9"/>
    <w:rsid w:val="005A207C"/>
    <w:rsid w:val="005C4BFC"/>
    <w:rsid w:val="00604204"/>
    <w:rsid w:val="0062352E"/>
    <w:rsid w:val="0063444C"/>
    <w:rsid w:val="006969B4"/>
    <w:rsid w:val="006A070D"/>
    <w:rsid w:val="006C484A"/>
    <w:rsid w:val="006E0858"/>
    <w:rsid w:val="007212CF"/>
    <w:rsid w:val="00725D83"/>
    <w:rsid w:val="00725DBE"/>
    <w:rsid w:val="007504BE"/>
    <w:rsid w:val="00762107"/>
    <w:rsid w:val="00765B00"/>
    <w:rsid w:val="00766C24"/>
    <w:rsid w:val="00781E2A"/>
    <w:rsid w:val="007B2033"/>
    <w:rsid w:val="007C3BAB"/>
    <w:rsid w:val="007D2665"/>
    <w:rsid w:val="008258C2"/>
    <w:rsid w:val="008505BD"/>
    <w:rsid w:val="00850C78"/>
    <w:rsid w:val="00867CAE"/>
    <w:rsid w:val="008906DD"/>
    <w:rsid w:val="00891A87"/>
    <w:rsid w:val="008A0334"/>
    <w:rsid w:val="008C17AD"/>
    <w:rsid w:val="008D02CD"/>
    <w:rsid w:val="00930F26"/>
    <w:rsid w:val="0095172A"/>
    <w:rsid w:val="0095294C"/>
    <w:rsid w:val="009764C0"/>
    <w:rsid w:val="009908EB"/>
    <w:rsid w:val="00991430"/>
    <w:rsid w:val="009D3E66"/>
    <w:rsid w:val="009E7FC4"/>
    <w:rsid w:val="009F1DAC"/>
    <w:rsid w:val="00A1509F"/>
    <w:rsid w:val="00A27522"/>
    <w:rsid w:val="00A40189"/>
    <w:rsid w:val="00A54E47"/>
    <w:rsid w:val="00A57AF6"/>
    <w:rsid w:val="00A860BE"/>
    <w:rsid w:val="00A87A0B"/>
    <w:rsid w:val="00A91A0F"/>
    <w:rsid w:val="00A970CE"/>
    <w:rsid w:val="00AA5750"/>
    <w:rsid w:val="00AA68E0"/>
    <w:rsid w:val="00AA73D6"/>
    <w:rsid w:val="00AE7093"/>
    <w:rsid w:val="00AF3479"/>
    <w:rsid w:val="00AF67FB"/>
    <w:rsid w:val="00B14EA9"/>
    <w:rsid w:val="00B16067"/>
    <w:rsid w:val="00B422BC"/>
    <w:rsid w:val="00B43F77"/>
    <w:rsid w:val="00B53651"/>
    <w:rsid w:val="00B95F0A"/>
    <w:rsid w:val="00B96180"/>
    <w:rsid w:val="00BA5CAA"/>
    <w:rsid w:val="00BB2038"/>
    <w:rsid w:val="00C07C30"/>
    <w:rsid w:val="00C17AC0"/>
    <w:rsid w:val="00C34772"/>
    <w:rsid w:val="00C51337"/>
    <w:rsid w:val="00C959A3"/>
    <w:rsid w:val="00CB38E9"/>
    <w:rsid w:val="00CD591A"/>
    <w:rsid w:val="00CD5B4F"/>
    <w:rsid w:val="00CF302B"/>
    <w:rsid w:val="00D07C39"/>
    <w:rsid w:val="00D25D1D"/>
    <w:rsid w:val="00D317F8"/>
    <w:rsid w:val="00D5722C"/>
    <w:rsid w:val="00D650FA"/>
    <w:rsid w:val="00D81346"/>
    <w:rsid w:val="00DA175E"/>
    <w:rsid w:val="00DB11C0"/>
    <w:rsid w:val="00DB24D3"/>
    <w:rsid w:val="00DD77C9"/>
    <w:rsid w:val="00E0440F"/>
    <w:rsid w:val="00E20463"/>
    <w:rsid w:val="00E21C75"/>
    <w:rsid w:val="00E26C0C"/>
    <w:rsid w:val="00E40C0E"/>
    <w:rsid w:val="00E52BE9"/>
    <w:rsid w:val="00E60F18"/>
    <w:rsid w:val="00E839B0"/>
    <w:rsid w:val="00E9195D"/>
    <w:rsid w:val="00E92C09"/>
    <w:rsid w:val="00EC1355"/>
    <w:rsid w:val="00F10F01"/>
    <w:rsid w:val="00F165AC"/>
    <w:rsid w:val="00F314F1"/>
    <w:rsid w:val="00F3604A"/>
    <w:rsid w:val="00F6461F"/>
    <w:rsid w:val="00FA7392"/>
    <w:rsid w:val="00FD2B2D"/>
    <w:rsid w:val="00FE3711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05A00434-2F2A-4F1D-8A7E-4E356A3B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EC13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ListParagraph">
    <w:name w:val="List Paragraph"/>
    <w:basedOn w:val="Normal"/>
    <w:uiPriority w:val="34"/>
    <w:qFormat/>
    <w:rsid w:val="00A1509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D3E6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D3E66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T/focusgroups/net2030/Pages/default.aspx" TargetMode="External"/><Relationship Id="rId13" Type="http://schemas.openxmlformats.org/officeDocument/2006/relationships/hyperlink" Target="mailto:itumoscow@itu.i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net2030/Documents/FGNET2030_practical_information_StP_May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online/edrs/REGISTRATION/edrs.registration.form?_eventid=30011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Workshops-and-Seminars/201905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Regional-Presence/CIS/Pages/EVENTS/2019/05_St_Petersburg/05_St_Petersburg.aspx" TargetMode="External"/><Relationship Id="rId14" Type="http://schemas.openxmlformats.org/officeDocument/2006/relationships/hyperlink" Target="mailto:tsbfgnet2030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ca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AF53B-D47D-447C-82EF-08CD4198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95</TotalTime>
  <Pages>2</Pages>
  <Words>721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5286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Dorca, Alicia</dc:creator>
  <cp:keywords/>
  <dc:description/>
  <cp:lastModifiedBy>Osvath, Alexandra</cp:lastModifiedBy>
  <cp:revision>14</cp:revision>
  <cp:lastPrinted>2019-04-16T15:59:00Z</cp:lastPrinted>
  <dcterms:created xsi:type="dcterms:W3CDTF">2019-04-09T06:49:00Z</dcterms:created>
  <dcterms:modified xsi:type="dcterms:W3CDTF">2019-04-16T15:59:00Z</dcterms:modified>
</cp:coreProperties>
</file>